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2E" w:rsidRPr="00FB3F2E" w:rsidRDefault="00FB3F2E" w:rsidP="00FB3F2E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FB3F2E" w:rsidRPr="00FB3F2E" w:rsidRDefault="00FB3F2E" w:rsidP="00FB3F2E">
      <w:pPr>
        <w:rPr>
          <w:rFonts w:ascii="Times New Roman" w:eastAsia="Times New Roman" w:hAnsi="Times New Roman"/>
          <w:b/>
          <w:sz w:val="18"/>
          <w:szCs w:val="18"/>
          <w:lang w:eastAsia="cs-CZ"/>
        </w:rPr>
      </w:pPr>
      <w:r w:rsidRPr="00FB3F2E">
        <w:rPr>
          <w:rFonts w:ascii="Times New Roman" w:eastAsia="Times New Roman" w:hAnsi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 wp14:anchorId="569A53E2" wp14:editId="7990DC51">
            <wp:simplePos x="0" y="0"/>
            <wp:positionH relativeFrom="column">
              <wp:posOffset>118110</wp:posOffset>
            </wp:positionH>
            <wp:positionV relativeFrom="paragraph">
              <wp:posOffset>-228600</wp:posOffset>
            </wp:positionV>
            <wp:extent cx="2181225" cy="1325880"/>
            <wp:effectExtent l="0" t="0" r="9525" b="7620"/>
            <wp:wrapNone/>
            <wp:docPr id="1" name="Obrázek 1" descr="stará budov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á budova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F2E">
        <w:rPr>
          <w:rFonts w:ascii="Times New Roman" w:eastAsia="Times New Roman" w:hAnsi="Times New Roman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4560F9C0" wp14:editId="345A0B0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0590" cy="914400"/>
            <wp:effectExtent l="0" t="0" r="381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F2E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         ZÁKLADNÍ ŠKOLA, Praha 9 – Horní Počernice</w:t>
      </w:r>
    </w:p>
    <w:p w:rsidR="00FB3F2E" w:rsidRPr="00FB3F2E" w:rsidRDefault="00FB3F2E" w:rsidP="00FB3F2E">
      <w:pPr>
        <w:jc w:val="center"/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</w:pPr>
      <w:r w:rsidRPr="00FB3F2E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Stoliňská 823, 193 00</w:t>
      </w:r>
    </w:p>
    <w:p w:rsidR="00FB3F2E" w:rsidRPr="00FB3F2E" w:rsidRDefault="00FB3F2E" w:rsidP="00FB3F2E">
      <w:pPr>
        <w:jc w:val="center"/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</w:pPr>
      <w:r w:rsidRPr="00FB3F2E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tel.: 2 81 92 11 27, fax: 2 81 92 11 48</w:t>
      </w:r>
    </w:p>
    <w:p w:rsidR="00FB3F2E" w:rsidRPr="00FB3F2E" w:rsidRDefault="00FB3F2E" w:rsidP="00FB3F2E">
      <w:pPr>
        <w:jc w:val="center"/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</w:pPr>
      <w:r w:rsidRPr="00FB3F2E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e-mail: </w:t>
      </w:r>
      <w:hyperlink r:id="rId7" w:history="1">
        <w:r w:rsidRPr="00FB3F2E">
          <w:rPr>
            <w:rFonts w:ascii="Tahoma" w:eastAsia="Times New Roman" w:hAnsi="Tahoma" w:cs="Tahoma"/>
            <w:b/>
            <w:color w:val="943634"/>
            <w:kern w:val="18"/>
            <w:sz w:val="18"/>
            <w:szCs w:val="18"/>
            <w:u w:val="single"/>
            <w:lang w:val="de-DE"/>
          </w:rPr>
          <w:t>zs.stolinska@volny.cz</w:t>
        </w:r>
      </w:hyperlink>
    </w:p>
    <w:p w:rsidR="00FB3F2E" w:rsidRPr="00FB3F2E" w:rsidRDefault="00FB3F2E" w:rsidP="00FB3F2E">
      <w:pPr>
        <w:jc w:val="center"/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</w:pPr>
      <w:r w:rsidRPr="00FB3F2E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    mobil: 7777 05 421, 739 301 527</w:t>
      </w:r>
    </w:p>
    <w:p w:rsidR="00FB3F2E" w:rsidRPr="00FB3F2E" w:rsidRDefault="00FB3F2E" w:rsidP="00FB3F2E">
      <w:pPr>
        <w:jc w:val="center"/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</w:pPr>
      <w:r w:rsidRPr="00FB3F2E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                                    ČÚ: 193 951 850 207/0100  </w:t>
      </w:r>
    </w:p>
    <w:p w:rsidR="00FB3F2E" w:rsidRPr="00FB3F2E" w:rsidRDefault="00FB3F2E" w:rsidP="00FB3F2E">
      <w:pPr>
        <w:jc w:val="center"/>
        <w:rPr>
          <w:rFonts w:ascii="Tahoma" w:eastAsia="Times New Roman" w:hAnsi="Tahoma" w:cs="Tahoma"/>
          <w:color w:val="943634"/>
          <w:kern w:val="18"/>
          <w:sz w:val="24"/>
          <w:szCs w:val="24"/>
        </w:rPr>
      </w:pPr>
      <w:r w:rsidRPr="00FB3F2E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                                     ID: hc6jttv    IČO: 63830809</w:t>
      </w:r>
    </w:p>
    <w:p w:rsidR="00FB3F2E" w:rsidRPr="00FB3F2E" w:rsidRDefault="00FB3F2E" w:rsidP="00FB3F2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B3F2E" w:rsidRDefault="00FB3F2E" w:rsidP="00FB3F2E">
      <w:r>
        <w:t xml:space="preserve">GESTO COMPUTERS spol. s r. o.                                                                              </w:t>
      </w:r>
      <w:bookmarkStart w:id="0" w:name="_GoBack"/>
      <w:bookmarkEnd w:id="0"/>
      <w:r>
        <w:t xml:space="preserve">        V Praze dne 1. 2. 2017</w:t>
      </w:r>
    </w:p>
    <w:p w:rsidR="00FB3F2E" w:rsidRDefault="00FB3F2E" w:rsidP="00FB3F2E">
      <w:r>
        <w:t>Špitálská 855/2a</w:t>
      </w:r>
    </w:p>
    <w:p w:rsidR="00FB3F2E" w:rsidRDefault="00FB3F2E" w:rsidP="00FB3F2E">
      <w:r>
        <w:t xml:space="preserve">pan Ing. Milan </w:t>
      </w:r>
      <w:proofErr w:type="spellStart"/>
      <w:r>
        <w:t>Korenčík</w:t>
      </w:r>
      <w:proofErr w:type="spellEnd"/>
    </w:p>
    <w:p w:rsidR="00FB3F2E" w:rsidRDefault="00FB3F2E" w:rsidP="00FB3F2E"/>
    <w:p w:rsidR="00FB3F2E" w:rsidRDefault="00FB3F2E" w:rsidP="00FB3F2E">
      <w:r>
        <w:t>Č. o.: 135/1710000142</w:t>
      </w:r>
    </w:p>
    <w:p w:rsidR="00FB3F2E" w:rsidRDefault="00FB3F2E" w:rsidP="00FB3F2E"/>
    <w:p w:rsidR="00FB3F2E" w:rsidRDefault="00FB3F2E" w:rsidP="00FB3F2E">
      <w:r>
        <w:t>Věc: Objednávka interaktivní tabule s příslušenstvím</w:t>
      </w:r>
    </w:p>
    <w:p w:rsidR="00FB3F2E" w:rsidRDefault="00FB3F2E" w:rsidP="00FB3F2E"/>
    <w:p w:rsidR="00FB3F2E" w:rsidRDefault="00FB3F2E" w:rsidP="00FB3F2E"/>
    <w:p w:rsidR="00FB3F2E" w:rsidRDefault="00FB3F2E" w:rsidP="00FB3F2E">
      <w:pPr>
        <w:jc w:val="both"/>
      </w:pPr>
      <w:r>
        <w:t>Na základě nabídky v příloze u Vás objednávám interaktivní tabuli, dataprojektor a PC sestavu.</w:t>
      </w:r>
      <w:r>
        <w:t xml:space="preserve"> Současně prosím o instalaci, zprovoznění a jako doplňkovou službu přesunutí stávající tabule tak, aby obě tabule mohly být vedle sebe.</w:t>
      </w:r>
      <w:r>
        <w:t xml:space="preserve"> </w:t>
      </w:r>
      <w:r>
        <w:t xml:space="preserve">Omlouvám se za pozdní reakci na nabídku, ale bylo nutné schválení realizace dle platných směrnic. </w:t>
      </w:r>
      <w:r>
        <w:t xml:space="preserve">Moc děkuji předem. </w:t>
      </w:r>
    </w:p>
    <w:p w:rsidR="00FB3F2E" w:rsidRDefault="00FB3F2E" w:rsidP="00FB3F2E">
      <w:pPr>
        <w:jc w:val="both"/>
      </w:pPr>
    </w:p>
    <w:p w:rsidR="00FB3F2E" w:rsidRDefault="00FB3F2E" w:rsidP="00FB3F2E">
      <w:pPr>
        <w:jc w:val="both"/>
      </w:pPr>
    </w:p>
    <w:p w:rsidR="00FB3F2E" w:rsidRDefault="00FB3F2E" w:rsidP="00FB3F2E">
      <w:pPr>
        <w:jc w:val="both"/>
      </w:pPr>
    </w:p>
    <w:p w:rsidR="00FB3F2E" w:rsidRDefault="00FB3F2E" w:rsidP="00FB3F2E">
      <w:pPr>
        <w:jc w:val="both"/>
      </w:pPr>
    </w:p>
    <w:p w:rsidR="00FB3F2E" w:rsidRDefault="00FB3F2E" w:rsidP="00FB3F2E">
      <w:pPr>
        <w:jc w:val="both"/>
      </w:pPr>
    </w:p>
    <w:p w:rsidR="00FB3F2E" w:rsidRDefault="00FB3F2E" w:rsidP="00FB3F2E">
      <w:r>
        <w:t>S pozdravem Martin Březina</w:t>
      </w:r>
    </w:p>
    <w:p w:rsidR="00514AC2" w:rsidRDefault="00514AC2"/>
    <w:p w:rsidR="00FB3F2E" w:rsidRDefault="00FB3F2E">
      <w:r>
        <w:t>Příloha – nabídka:</w:t>
      </w:r>
    </w:p>
    <w:p w:rsidR="00FB3F2E" w:rsidRDefault="00FB3F2E"/>
    <w:tbl>
      <w:tblPr>
        <w:tblW w:w="11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496"/>
        <w:gridCol w:w="1276"/>
        <w:gridCol w:w="1096"/>
        <w:gridCol w:w="1016"/>
      </w:tblGrid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>
            <w:r w:rsidRPr="00FB3F2E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1495425" cy="733425"/>
                  <wp:effectExtent l="0" t="0" r="9525" b="9525"/>
                  <wp:wrapNone/>
                  <wp:docPr id="1093" name="Obrázek 1093" descr="gesto_r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18" descr="gesto_r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0"/>
            </w:tblGrid>
            <w:tr w:rsidR="00FB3F2E" w:rsidRPr="00FB3F2E">
              <w:trPr>
                <w:trHeight w:val="255"/>
                <w:tblCellSpacing w:w="0" w:type="dxa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3F2E" w:rsidRPr="00FB3F2E" w:rsidRDefault="00FB3F2E" w:rsidP="00FB3F2E"/>
              </w:tc>
            </w:tr>
          </w:tbl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7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>
            <w:r w:rsidRPr="00FB3F2E">
              <w:t>PhDr. Martin Březina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7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>
            <w:r w:rsidRPr="00FB3F2E">
              <w:t>ZŠ Praha 9- Horní Počernice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7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>
            <w:r w:rsidRPr="00FB3F2E">
              <w:t>Stoliňská 823,193 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  <w:i/>
                <w:iCs/>
              </w:rPr>
            </w:pPr>
            <w:r w:rsidRPr="00FB3F2E">
              <w:rPr>
                <w:b/>
                <w:bCs/>
                <w:i/>
                <w:iCs/>
              </w:rPr>
              <w:t xml:space="preserve">ISO 9001 </w:t>
            </w:r>
            <w:proofErr w:type="spellStart"/>
            <w:r w:rsidRPr="00FB3F2E">
              <w:rPr>
                <w:b/>
                <w:bCs/>
                <w:i/>
                <w:iCs/>
              </w:rPr>
              <w:t>Certified</w:t>
            </w:r>
            <w:proofErr w:type="spellEnd"/>
            <w:r w:rsidRPr="00FB3F2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B3F2E">
              <w:rPr>
                <w:b/>
                <w:bCs/>
                <w:i/>
                <w:iCs/>
              </w:rPr>
              <w:t>Company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>
            <w:proofErr w:type="gramStart"/>
            <w:r w:rsidRPr="00FB3F2E">
              <w:t>10.11.2016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7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  <w:u w:val="single"/>
              </w:rPr>
            </w:pPr>
            <w:r w:rsidRPr="00FB3F2E">
              <w:rPr>
                <w:b/>
                <w:bCs/>
                <w:u w:val="single"/>
              </w:rPr>
              <w:t>1. Interaktivní tabule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 xml:space="preserve">SMART </w:t>
            </w:r>
            <w:proofErr w:type="spellStart"/>
            <w:r w:rsidRPr="00FB3F2E">
              <w:rPr>
                <w:b/>
                <w:bCs/>
              </w:rPr>
              <w:t>Board</w:t>
            </w:r>
            <w:proofErr w:type="spellEnd"/>
            <w:r w:rsidRPr="00FB3F2E">
              <w:rPr>
                <w:b/>
                <w:bCs/>
              </w:rPr>
              <w:t xml:space="preserve"> M680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 xml:space="preserve">ozvučení Epson </w:t>
            </w:r>
            <w:proofErr w:type="spellStart"/>
            <w:r w:rsidRPr="00FB3F2E">
              <w:rPr>
                <w:b/>
                <w:bCs/>
              </w:rPr>
              <w:t>Active</w:t>
            </w:r>
            <w:proofErr w:type="spellEnd"/>
            <w:r w:rsidRPr="00FB3F2E">
              <w:rPr>
                <w:b/>
                <w:bCs/>
              </w:rPr>
              <w:t xml:space="preserve"> </w:t>
            </w:r>
            <w:proofErr w:type="spellStart"/>
            <w:r w:rsidRPr="00FB3F2E">
              <w:rPr>
                <w:b/>
                <w:bCs/>
              </w:rPr>
              <w:t>Speakers</w:t>
            </w:r>
            <w:proofErr w:type="spellEnd"/>
            <w:r w:rsidRPr="00FB3F2E">
              <w:rPr>
                <w:b/>
                <w:bCs/>
              </w:rPr>
              <w:t xml:space="preserve"> - ELPSP02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 xml:space="preserve">kabeláž </w:t>
            </w:r>
            <w:proofErr w:type="spellStart"/>
            <w:r w:rsidRPr="00FB3F2E">
              <w:rPr>
                <w:b/>
                <w:bCs/>
              </w:rPr>
              <w:t>VGA,napájení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70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 xml:space="preserve">instalace a konfigurace </w:t>
            </w:r>
            <w:proofErr w:type="spellStart"/>
            <w:r w:rsidRPr="00FB3F2E">
              <w:rPr>
                <w:b/>
                <w:bCs/>
              </w:rPr>
              <w:t>inetraktivní</w:t>
            </w:r>
            <w:proofErr w:type="spellEnd"/>
            <w:r w:rsidRPr="00FB3F2E">
              <w:rPr>
                <w:b/>
                <w:bCs/>
              </w:rPr>
              <w:t xml:space="preserve"> tabule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>Cena bez/s DPH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52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>2. projektor - ultrakrátká projekce včetně držáku a 3 roky záruka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>EPSON EB-580 pro školy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lastRenderedPageBreak/>
              <w:t>držák ke stropu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70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>instalace projektoru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7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345"/>
        </w:trPr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 xml:space="preserve">HP </w:t>
            </w:r>
            <w:proofErr w:type="spellStart"/>
            <w:r w:rsidRPr="00FB3F2E">
              <w:rPr>
                <w:b/>
                <w:bCs/>
              </w:rPr>
              <w:t>ProDesk</w:t>
            </w:r>
            <w:proofErr w:type="spellEnd"/>
            <w:r w:rsidRPr="00FB3F2E">
              <w:rPr>
                <w:b/>
                <w:bCs/>
              </w:rPr>
              <w:t xml:space="preserve"> 400 G3 MT i3-6100/4GB/500GB/DVD/1NBD/7+10P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 xml:space="preserve"> včetně záruka na 3 roky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510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 xml:space="preserve">HP LCD </w:t>
            </w:r>
            <w:proofErr w:type="spellStart"/>
            <w:r w:rsidRPr="00FB3F2E">
              <w:rPr>
                <w:b/>
                <w:bCs/>
              </w:rPr>
              <w:t>ProDisplay</w:t>
            </w:r>
            <w:proofErr w:type="spellEnd"/>
            <w:r w:rsidRPr="00FB3F2E">
              <w:rPr>
                <w:b/>
                <w:bCs/>
              </w:rPr>
              <w:t xml:space="preserve"> P222va LED 21.5"wide, (1920x1080, 8ms, 3000:1, 250 </w:t>
            </w:r>
            <w:proofErr w:type="spellStart"/>
            <w:r w:rsidRPr="00FB3F2E">
              <w:rPr>
                <w:b/>
                <w:bCs/>
              </w:rPr>
              <w:t>nits</w:t>
            </w:r>
            <w:proofErr w:type="spellEnd"/>
            <w:r w:rsidRPr="00FB3F2E">
              <w:rPr>
                <w:b/>
                <w:bCs/>
              </w:rPr>
              <w:t xml:space="preserve"> VGA, DP)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 xml:space="preserve">(1920x1080, 5ms, 1000:1, 250 </w:t>
            </w:r>
            <w:proofErr w:type="spellStart"/>
            <w:r w:rsidRPr="00FB3F2E">
              <w:rPr>
                <w:b/>
                <w:bCs/>
              </w:rPr>
              <w:t>nits</w:t>
            </w:r>
            <w:proofErr w:type="spellEnd"/>
            <w:r w:rsidRPr="00FB3F2E">
              <w:rPr>
                <w:b/>
                <w:bCs/>
              </w:rPr>
              <w:t xml:space="preserve"> VGA, DVI)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70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3F2E" w:rsidRPr="00FB3F2E" w:rsidRDefault="00FB3F2E" w:rsidP="00FB3F2E">
            <w:pPr>
              <w:rPr>
                <w:b/>
                <w:bCs/>
              </w:rPr>
            </w:pPr>
            <w:r w:rsidRPr="00FB3F2E">
              <w:rPr>
                <w:b/>
                <w:bCs/>
              </w:rPr>
              <w:t>instalace PC k interaktivní tabuli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>
            <w:pPr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>
            <w:pPr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  <w:tr w:rsidR="00FB3F2E" w:rsidRPr="00FB3F2E" w:rsidTr="00FB3F2E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F2E" w:rsidRPr="00FB3F2E" w:rsidRDefault="00FB3F2E" w:rsidP="00FB3F2E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F2E" w:rsidRPr="00FB3F2E" w:rsidRDefault="00FB3F2E" w:rsidP="00FB3F2E"/>
        </w:tc>
      </w:tr>
    </w:tbl>
    <w:p w:rsidR="00FB3F2E" w:rsidRDefault="00FB3F2E"/>
    <w:sectPr w:rsidR="00FB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2E"/>
    <w:rsid w:val="00514AC2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F2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F2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zs.stolinska@vo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2017-02-26T14:05:00Z</dcterms:created>
  <dcterms:modified xsi:type="dcterms:W3CDTF">2017-02-26T14:15:00Z</dcterms:modified>
</cp:coreProperties>
</file>