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A4" w:rsidRDefault="00DD49A4" w:rsidP="00DD49A4">
      <w:pPr>
        <w:jc w:val="center"/>
        <w:rPr>
          <w:b/>
        </w:rPr>
      </w:pPr>
      <w:r w:rsidRPr="00DD49A4">
        <w:rPr>
          <w:b/>
        </w:rPr>
        <w:t xml:space="preserve">Dodatek č. 1 </w:t>
      </w:r>
    </w:p>
    <w:p w:rsidR="004B56D0" w:rsidRDefault="00DD49A4" w:rsidP="00DD49A4">
      <w:pPr>
        <w:jc w:val="center"/>
        <w:rPr>
          <w:b/>
        </w:rPr>
      </w:pPr>
      <w:r w:rsidRPr="00DD49A4">
        <w:rPr>
          <w:b/>
        </w:rPr>
        <w:t xml:space="preserve">ke smlouvě o nájmu nebytových prostor uzavřené dne 14.07.2020 </w:t>
      </w:r>
    </w:p>
    <w:p w:rsidR="00DD49A4" w:rsidRPr="00DD49A4" w:rsidRDefault="00DD49A4" w:rsidP="00DD49A4">
      <w:pPr>
        <w:jc w:val="center"/>
        <w:rPr>
          <w:b/>
        </w:rPr>
      </w:pPr>
      <w:r w:rsidRPr="00DD49A4">
        <w:rPr>
          <w:b/>
        </w:rPr>
        <w:t>mezi</w:t>
      </w:r>
    </w:p>
    <w:p w:rsidR="00DD49A4" w:rsidRPr="00B66309" w:rsidRDefault="00DD49A4" w:rsidP="00DD49A4">
      <w:pPr>
        <w:pStyle w:val="Bezmezer"/>
        <w:spacing w:line="276" w:lineRule="auto"/>
        <w:rPr>
          <w:rFonts w:cs="Times New Roman"/>
          <w:b/>
        </w:rPr>
      </w:pPr>
    </w:p>
    <w:p w:rsidR="00DD49A4" w:rsidRPr="00B66309" w:rsidRDefault="00DD49A4" w:rsidP="00DD49A4">
      <w:pPr>
        <w:pStyle w:val="Bezmezer"/>
        <w:spacing w:line="276" w:lineRule="auto"/>
        <w:rPr>
          <w:b/>
        </w:rPr>
      </w:pPr>
      <w:r w:rsidRPr="00B66309">
        <w:rPr>
          <w:b/>
        </w:rPr>
        <w:t>Střední škola obchodní, České Budějovice, Husova 9</w:t>
      </w:r>
    </w:p>
    <w:p w:rsidR="00DD49A4" w:rsidRPr="00B66309" w:rsidRDefault="00DD49A4" w:rsidP="00DD49A4">
      <w:pPr>
        <w:pStyle w:val="Bezmezer"/>
        <w:spacing w:line="276" w:lineRule="auto"/>
      </w:pPr>
      <w:r w:rsidRPr="00B66309">
        <w:t>IČ: 00510874, DIČ: CZ00510874</w:t>
      </w:r>
    </w:p>
    <w:p w:rsidR="00DD49A4" w:rsidRPr="00B66309" w:rsidRDefault="00DD49A4" w:rsidP="00DD49A4">
      <w:pPr>
        <w:pStyle w:val="Bezmezer"/>
        <w:spacing w:line="276" w:lineRule="auto"/>
      </w:pPr>
      <w:r w:rsidRPr="00B66309">
        <w:t>se sídlem: Husova tř. 1846/9, 370 01 České Budějovice</w:t>
      </w:r>
    </w:p>
    <w:p w:rsidR="00DD49A4" w:rsidRPr="00B66309" w:rsidRDefault="00DD49A4" w:rsidP="00DD49A4">
      <w:pPr>
        <w:pStyle w:val="Bezmezer"/>
        <w:spacing w:line="276" w:lineRule="auto"/>
      </w:pPr>
      <w:r w:rsidRPr="00B66309">
        <w:t>zastoupená Mgr. Jarmilou Benýškovou, ředitelkou školy</w:t>
      </w:r>
    </w:p>
    <w:p w:rsidR="00DD49A4" w:rsidRPr="00B66309" w:rsidRDefault="00DD49A4" w:rsidP="00DD49A4">
      <w:pPr>
        <w:pStyle w:val="Bezmezer"/>
        <w:spacing w:line="276" w:lineRule="auto"/>
      </w:pPr>
    </w:p>
    <w:p w:rsidR="00DD49A4" w:rsidRPr="00B66309" w:rsidRDefault="00DD49A4" w:rsidP="00DD49A4">
      <w:pPr>
        <w:jc w:val="both"/>
      </w:pPr>
      <w:r w:rsidRPr="00B66309">
        <w:t>(dále jen „</w:t>
      </w:r>
      <w:r w:rsidRPr="00B66309">
        <w:rPr>
          <w:b/>
          <w:i/>
        </w:rPr>
        <w:t>Pronajímatel</w:t>
      </w:r>
      <w:r w:rsidRPr="00B66309">
        <w:t>“)</w:t>
      </w:r>
    </w:p>
    <w:p w:rsidR="00DD49A4" w:rsidRPr="00B66309" w:rsidRDefault="00DD49A4" w:rsidP="00DD49A4">
      <w:pPr>
        <w:pStyle w:val="Bezmezer"/>
      </w:pPr>
    </w:p>
    <w:p w:rsidR="00DD49A4" w:rsidRPr="00B66309" w:rsidRDefault="00DD49A4" w:rsidP="00DD49A4">
      <w:pPr>
        <w:pStyle w:val="Bezmezer"/>
        <w:rPr>
          <w:b/>
        </w:rPr>
      </w:pPr>
      <w:r w:rsidRPr="00B66309">
        <w:rPr>
          <w:b/>
        </w:rPr>
        <w:t>a</w:t>
      </w:r>
    </w:p>
    <w:p w:rsidR="00DD49A4" w:rsidRPr="00B66309" w:rsidRDefault="00DD49A4" w:rsidP="00DD49A4">
      <w:pPr>
        <w:pStyle w:val="Bezmezer"/>
      </w:pPr>
    </w:p>
    <w:p w:rsidR="00DD49A4" w:rsidRPr="00B66309" w:rsidRDefault="00DD49A4" w:rsidP="00DD49A4">
      <w:pPr>
        <w:pStyle w:val="Bezmezer"/>
        <w:spacing w:line="276" w:lineRule="auto"/>
        <w:rPr>
          <w:b/>
        </w:rPr>
      </w:pPr>
      <w:r w:rsidRPr="00B66309">
        <w:rPr>
          <w:b/>
        </w:rPr>
        <w:t>ScioŠkola České Budějovice – základní škola, s. r. o.,</w:t>
      </w:r>
    </w:p>
    <w:p w:rsidR="00DD49A4" w:rsidRDefault="00DD49A4" w:rsidP="00DD49A4">
      <w:pPr>
        <w:pStyle w:val="Bezmezer"/>
        <w:spacing w:line="276" w:lineRule="auto"/>
      </w:pPr>
      <w:r w:rsidRPr="00B66309">
        <w:t>IČ: 083 93</w:t>
      </w:r>
      <w:r>
        <w:t> </w:t>
      </w:r>
      <w:r w:rsidRPr="00B66309">
        <w:t>800</w:t>
      </w:r>
    </w:p>
    <w:p w:rsidR="00DD49A4" w:rsidRDefault="00DD49A4" w:rsidP="00DD49A4">
      <w:pPr>
        <w:pStyle w:val="Bezmezer"/>
        <w:spacing w:line="276" w:lineRule="auto"/>
      </w:pPr>
      <w:r w:rsidRPr="00B66309">
        <w:t xml:space="preserve">se sídlem: </w:t>
      </w:r>
      <w:r w:rsidRPr="00DD49A4">
        <w:t>K. Weise 1215/3</w:t>
      </w:r>
      <w:r>
        <w:t>, 370 04 České Budějovice, 37004</w:t>
      </w:r>
    </w:p>
    <w:p w:rsidR="00DD49A4" w:rsidRDefault="00DD49A4" w:rsidP="00DD49A4">
      <w:pPr>
        <w:pStyle w:val="Bezmezer"/>
        <w:spacing w:line="276" w:lineRule="auto"/>
      </w:pPr>
      <w:r w:rsidRPr="00B66309">
        <w:t>zastoupená: RNDr. Janem Krtičkou, jednatelem společnosti</w:t>
      </w:r>
    </w:p>
    <w:p w:rsidR="003217BE" w:rsidRDefault="003217BE" w:rsidP="00DD49A4">
      <w:pPr>
        <w:pStyle w:val="Bezmezer"/>
        <w:spacing w:line="276" w:lineRule="auto"/>
      </w:pPr>
    </w:p>
    <w:p w:rsidR="003217BE" w:rsidRPr="00B66309" w:rsidRDefault="003217BE" w:rsidP="00DD49A4">
      <w:pPr>
        <w:pStyle w:val="Bezmezer"/>
        <w:spacing w:line="276" w:lineRule="auto"/>
      </w:pPr>
      <w:r>
        <w:t>(dále jen „</w:t>
      </w:r>
      <w:r>
        <w:rPr>
          <w:b/>
        </w:rPr>
        <w:t>Nájemce</w:t>
      </w:r>
      <w:r>
        <w:t>“)</w:t>
      </w:r>
    </w:p>
    <w:p w:rsidR="00C557C7" w:rsidRDefault="00C557C7"/>
    <w:p w:rsidR="00DD49A4" w:rsidRDefault="00DD49A4" w:rsidP="00DD49A4">
      <w:pPr>
        <w:jc w:val="both"/>
      </w:pPr>
      <w:r>
        <w:t>Tímto dodatkem se upravuje čl. III</w:t>
      </w:r>
      <w:r w:rsidR="0038570A">
        <w:t xml:space="preserve"> </w:t>
      </w:r>
      <w:r>
        <w:t>odst. 3. 4:</w:t>
      </w:r>
    </w:p>
    <w:p w:rsidR="00DD49A4" w:rsidRPr="00DD49A4" w:rsidRDefault="00DD49A4" w:rsidP="003C7747">
      <w:pPr>
        <w:spacing w:after="0" w:line="360" w:lineRule="auto"/>
        <w:jc w:val="both"/>
        <w:rPr>
          <w:i/>
        </w:rPr>
      </w:pPr>
      <w:r w:rsidRPr="00DD49A4">
        <w:rPr>
          <w:i/>
        </w:rPr>
        <w:t>Původní znění:</w:t>
      </w:r>
    </w:p>
    <w:p w:rsidR="00DD49A4" w:rsidRPr="00B66309" w:rsidRDefault="00DD49A4" w:rsidP="003C7747">
      <w:pPr>
        <w:pStyle w:val="Odstavecseseznamem"/>
        <w:numPr>
          <w:ilvl w:val="1"/>
          <w:numId w:val="2"/>
        </w:numPr>
        <w:spacing w:after="0" w:line="360" w:lineRule="auto"/>
        <w:ind w:left="284" w:hanging="284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  Jednou za čtvrtletí Pronajímatel vyúčtuje na základě faktur dodaných dodavateli energií:</w:t>
      </w:r>
    </w:p>
    <w:p w:rsidR="00DD49A4" w:rsidRPr="00B66309" w:rsidRDefault="00DD49A4" w:rsidP="003C77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skutečnou spotřebu dodávky elektrické energie dle podružných měřících zařízení,</w:t>
      </w:r>
    </w:p>
    <w:p w:rsidR="00DD49A4" w:rsidRPr="00B66309" w:rsidRDefault="00DD49A4" w:rsidP="003C77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dodávky tepla a TUV v poměru 80 % Nájemce a 20 % Pronajímatel,</w:t>
      </w:r>
    </w:p>
    <w:p w:rsidR="00DD49A4" w:rsidRPr="00B66309" w:rsidRDefault="00DD49A4" w:rsidP="003C77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dodávky pitné vody, odvod odpadních vod a srážkové vody v budově školy v poměru 90 % Nájemce a 10 % Pronajímatel.</w:t>
      </w:r>
    </w:p>
    <w:p w:rsidR="00DD49A4" w:rsidRPr="00B66309" w:rsidRDefault="00DD49A4" w:rsidP="003C7747">
      <w:pPr>
        <w:spacing w:after="0" w:line="360" w:lineRule="auto"/>
        <w:ind w:firstLine="475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První vyúčtování bude za měsíce červenec, srpen a září 2020.</w:t>
      </w:r>
    </w:p>
    <w:p w:rsidR="00DD49A4" w:rsidRDefault="00DD49A4" w:rsidP="003C7747">
      <w:pPr>
        <w:spacing w:after="0" w:line="360" w:lineRule="auto"/>
        <w:jc w:val="both"/>
      </w:pPr>
    </w:p>
    <w:p w:rsidR="00DD49A4" w:rsidRPr="00DD49A4" w:rsidRDefault="00DD49A4" w:rsidP="003C7747">
      <w:pPr>
        <w:spacing w:after="0" w:line="360" w:lineRule="auto"/>
        <w:jc w:val="both"/>
        <w:rPr>
          <w:i/>
        </w:rPr>
      </w:pPr>
      <w:r w:rsidRPr="00DD49A4">
        <w:rPr>
          <w:i/>
        </w:rPr>
        <w:t>Nové znění:</w:t>
      </w:r>
    </w:p>
    <w:p w:rsidR="00DD49A4" w:rsidRPr="003C7747" w:rsidRDefault="00DD49A4" w:rsidP="003C7747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cs="Times New Roman"/>
          <w:b/>
          <w:szCs w:val="20"/>
        </w:rPr>
      </w:pPr>
      <w:r w:rsidRPr="003C7747">
        <w:rPr>
          <w:rFonts w:cs="Arial"/>
          <w:szCs w:val="20"/>
        </w:rPr>
        <w:t>Jednou za čtvrtletí Pronajímatel vyúčtuje na základě faktur dodaných dodavateli energií:</w:t>
      </w:r>
    </w:p>
    <w:p w:rsidR="00DD49A4" w:rsidRPr="00B66309" w:rsidRDefault="00DD49A4" w:rsidP="003C77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skutečnou spotřebu dodávky elektrické energie dle podružných měřících zařízení,</w:t>
      </w:r>
    </w:p>
    <w:p w:rsidR="00DD49A4" w:rsidRPr="00B66309" w:rsidRDefault="00DD49A4" w:rsidP="00DD49A4">
      <w:pPr>
        <w:pStyle w:val="Odstavecseseznamem"/>
        <w:numPr>
          <w:ilvl w:val="0"/>
          <w:numId w:val="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dodávky pitné vody, odvod odpadních vod a srážkové vody v budově školy v poměru 90 % Nájemce a 10 % Pronajímatel.</w:t>
      </w:r>
    </w:p>
    <w:p w:rsidR="00DD49A4" w:rsidRDefault="00DD49A4" w:rsidP="00DD49A4">
      <w:pPr>
        <w:spacing w:after="0"/>
        <w:ind w:firstLine="475"/>
        <w:jc w:val="both"/>
        <w:rPr>
          <w:rFonts w:cs="Arial"/>
          <w:szCs w:val="20"/>
        </w:rPr>
      </w:pPr>
    </w:p>
    <w:p w:rsidR="003C7747" w:rsidRDefault="003C7747" w:rsidP="003C7747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Od 01. 01. 202</w:t>
      </w:r>
      <w:r w:rsidR="000952CE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bude skutečná spotřeba dodávky tepla a TUV zjišťována odečty z poměrových měřidel umístěných na topných tělesech. </w:t>
      </w:r>
    </w:p>
    <w:p w:rsidR="003C7747" w:rsidRDefault="003C7747" w:rsidP="003C7747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Náklady spojené s odečty z poměrových měřidel odbornou firmou se vypočítají z dodané faktury odborné firmy jako součin konkrétní částky za odečet z jednoho poměrového měřidla a počtu poměrových měřidel Nájemce. </w:t>
      </w:r>
    </w:p>
    <w:p w:rsidR="004F48DB" w:rsidRDefault="003C7747" w:rsidP="004F48DB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Jednou ročně za období od 01.01 do 31.12. Pronajímatel vyúčtuje</w:t>
      </w:r>
      <w:r w:rsidR="004F48DB">
        <w:rPr>
          <w:rFonts w:cs="Arial"/>
          <w:szCs w:val="20"/>
        </w:rPr>
        <w:t xml:space="preserve"> Nájemci</w:t>
      </w:r>
      <w:r>
        <w:rPr>
          <w:rFonts w:cs="Arial"/>
          <w:szCs w:val="20"/>
        </w:rPr>
        <w:t xml:space="preserve"> fakturou na základě odečtů z poměrových měřidel odbornou firmou skutečnou spotřebu dodávky tepla a TUV a náklady spojené s odečty z poměrových měřidel odbornou firmou, a to nejpozději do dubna kalendářního roku, který bude následovat po kalendářním roce, ve kterém vznikla skutečná spotřeba.</w:t>
      </w:r>
      <w:r w:rsidR="004F48DB">
        <w:rPr>
          <w:rFonts w:cs="Arial"/>
          <w:szCs w:val="20"/>
        </w:rPr>
        <w:t xml:space="preserve"> </w:t>
      </w:r>
    </w:p>
    <w:p w:rsidR="004F48DB" w:rsidRDefault="004F48DB" w:rsidP="004F48DB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Nedoplatek Nájemce uhradí Pronajímateli do května kalendářního roku, který bude následovat po kalendářním roce, ve kterém vznikla skutečná spotřeba. </w:t>
      </w:r>
    </w:p>
    <w:p w:rsidR="003C7747" w:rsidRDefault="004F48DB" w:rsidP="004F48DB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Přeplatek Pronajímatel uhradí Nájemci do června kalendářního roku, který bude následovat po kalendářním roce, ve kterém vznikla skutečná spotřeba.</w:t>
      </w:r>
    </w:p>
    <w:p w:rsidR="00295D42" w:rsidRDefault="003C7747" w:rsidP="003C7747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První vyúčtování skutečné spotřeby dodávky tepla a TUV včetně nákladů spojených s odečty z poměrových měřidel odbornou firmou bude </w:t>
      </w:r>
      <w:r w:rsidR="000952CE">
        <w:rPr>
          <w:rFonts w:cs="Arial"/>
          <w:szCs w:val="20"/>
        </w:rPr>
        <w:t>do</w:t>
      </w:r>
      <w:r>
        <w:rPr>
          <w:rFonts w:cs="Arial"/>
          <w:szCs w:val="20"/>
        </w:rPr>
        <w:t> dubn</w:t>
      </w:r>
      <w:r w:rsidR="000952CE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2022 za období od 01. 01. 2021 do 31. 12. 2021. Nedoplatek</w:t>
      </w:r>
      <w:r w:rsidR="000952CE">
        <w:rPr>
          <w:rFonts w:cs="Arial"/>
          <w:szCs w:val="20"/>
        </w:rPr>
        <w:t xml:space="preserve"> za první vyúčtování</w:t>
      </w:r>
      <w:r>
        <w:rPr>
          <w:rFonts w:cs="Arial"/>
          <w:szCs w:val="20"/>
        </w:rPr>
        <w:t xml:space="preserve"> Nájemce uhrad</w:t>
      </w:r>
      <w:r w:rsidR="004F48DB">
        <w:rPr>
          <w:rFonts w:cs="Arial"/>
          <w:szCs w:val="20"/>
        </w:rPr>
        <w:t>í Pronajímateli</w:t>
      </w:r>
      <w:r>
        <w:rPr>
          <w:rFonts w:cs="Arial"/>
          <w:szCs w:val="20"/>
        </w:rPr>
        <w:t xml:space="preserve"> do </w:t>
      </w:r>
      <w:r w:rsidR="000952CE">
        <w:rPr>
          <w:rFonts w:cs="Arial"/>
          <w:szCs w:val="20"/>
        </w:rPr>
        <w:t>května 2022</w:t>
      </w:r>
      <w:r>
        <w:rPr>
          <w:rFonts w:cs="Arial"/>
          <w:szCs w:val="20"/>
        </w:rPr>
        <w:t>. Přeplatek</w:t>
      </w:r>
      <w:r w:rsidR="000952CE">
        <w:rPr>
          <w:rFonts w:cs="Arial"/>
          <w:szCs w:val="20"/>
        </w:rPr>
        <w:t xml:space="preserve"> za první vyúčtování</w:t>
      </w:r>
      <w:r>
        <w:rPr>
          <w:rFonts w:cs="Arial"/>
          <w:szCs w:val="20"/>
        </w:rPr>
        <w:t xml:space="preserve"> </w:t>
      </w:r>
      <w:r w:rsidR="004F48DB">
        <w:rPr>
          <w:rFonts w:cs="Arial"/>
          <w:szCs w:val="20"/>
        </w:rPr>
        <w:t>Pronajímatel uhradí</w:t>
      </w:r>
      <w:r>
        <w:rPr>
          <w:rFonts w:cs="Arial"/>
          <w:szCs w:val="20"/>
        </w:rPr>
        <w:t xml:space="preserve"> </w:t>
      </w:r>
      <w:r w:rsidR="004F48DB">
        <w:rPr>
          <w:rFonts w:cs="Arial"/>
          <w:szCs w:val="20"/>
        </w:rPr>
        <w:t xml:space="preserve">Nájemci </w:t>
      </w:r>
      <w:r>
        <w:rPr>
          <w:rFonts w:cs="Arial"/>
          <w:szCs w:val="20"/>
        </w:rPr>
        <w:t xml:space="preserve">do června </w:t>
      </w:r>
      <w:r w:rsidR="000952CE">
        <w:rPr>
          <w:rFonts w:cs="Arial"/>
          <w:szCs w:val="20"/>
        </w:rPr>
        <w:t>2022</w:t>
      </w:r>
      <w:r>
        <w:rPr>
          <w:rFonts w:cs="Arial"/>
          <w:szCs w:val="20"/>
        </w:rPr>
        <w:t>.</w:t>
      </w:r>
      <w:r w:rsidR="000952CE">
        <w:rPr>
          <w:rFonts w:cs="Arial"/>
          <w:szCs w:val="20"/>
        </w:rPr>
        <w:t xml:space="preserve"> </w:t>
      </w:r>
    </w:p>
    <w:p w:rsidR="004F48DB" w:rsidRDefault="004F48DB" w:rsidP="003C7747">
      <w:pPr>
        <w:spacing w:after="0" w:line="360" w:lineRule="auto"/>
        <w:jc w:val="both"/>
        <w:rPr>
          <w:rFonts w:cs="Arial"/>
          <w:szCs w:val="20"/>
        </w:rPr>
      </w:pPr>
    </w:p>
    <w:p w:rsidR="00295D42" w:rsidRPr="0038570A" w:rsidRDefault="00295D42" w:rsidP="00295D42">
      <w:pPr>
        <w:jc w:val="center"/>
        <w:rPr>
          <w:b/>
        </w:rPr>
      </w:pPr>
      <w:r>
        <w:rPr>
          <w:b/>
        </w:rPr>
        <w:t>Závěrečná ujednání dodatku</w:t>
      </w:r>
    </w:p>
    <w:p w:rsidR="00295D42" w:rsidRPr="00295D42" w:rsidRDefault="00295D42" w:rsidP="00295D42">
      <w:pPr>
        <w:pStyle w:val="Odstavecseseznamem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95D42">
        <w:rPr>
          <w:rFonts w:cstheme="minorHAnsi"/>
        </w:rPr>
        <w:t>Smluvní strany berou na vědomí, že tento dodatek včetně původní smlouvy a všech jejích případných změn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295D42" w:rsidRPr="00295D42" w:rsidRDefault="00295D42" w:rsidP="00295D42">
      <w:pPr>
        <w:pStyle w:val="Odstavecseseznamem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95D42">
        <w:rPr>
          <w:rFonts w:cstheme="minorHAnsi"/>
        </w:rPr>
        <w:t>Smluvní strany prohlašují, že smlouva neobsahuje žádné obchodní tajemství.</w:t>
      </w:r>
    </w:p>
    <w:p w:rsidR="00295D42" w:rsidRDefault="00295D42" w:rsidP="00295D42">
      <w:pPr>
        <w:pStyle w:val="Odstavecseseznamem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95D42">
        <w:rPr>
          <w:rFonts w:cstheme="minorHAnsi"/>
        </w:rPr>
        <w:t>Tento dodatek nabývá platnosti dnem podpisu smluvními stranami a nabývá účinnosti vložením dodatku do registru smluv.</w:t>
      </w:r>
    </w:p>
    <w:p w:rsidR="00AE54E6" w:rsidRPr="00AE54E6" w:rsidRDefault="00AE54E6" w:rsidP="00AE54E6">
      <w:pPr>
        <w:pStyle w:val="Odstavecseseznamem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Tento dodatek je vyhotoven ve </w:t>
      </w:r>
      <w:r w:rsidRPr="00AE54E6">
        <w:rPr>
          <w:rFonts w:cs="Times New Roman"/>
        </w:rPr>
        <w:t>dvou stejnopisech s platností originálu, z nichž každá ze Smluvních stran obdrží po jednom stejnopisu.</w:t>
      </w:r>
    </w:p>
    <w:p w:rsidR="00AE54E6" w:rsidRPr="00295D42" w:rsidRDefault="00AE54E6" w:rsidP="00AE54E6">
      <w:pPr>
        <w:pStyle w:val="Odstavecseseznamem"/>
        <w:spacing w:after="0" w:line="360" w:lineRule="auto"/>
        <w:ind w:left="284"/>
        <w:jc w:val="both"/>
        <w:rPr>
          <w:rFonts w:cstheme="minorHAnsi"/>
        </w:rPr>
      </w:pPr>
    </w:p>
    <w:p w:rsidR="003217BE" w:rsidRDefault="003217BE" w:rsidP="003217BE">
      <w:pPr>
        <w:spacing w:after="0" w:line="360" w:lineRule="auto"/>
        <w:jc w:val="center"/>
        <w:rPr>
          <w:rFonts w:cs="Arial"/>
          <w:b/>
          <w:szCs w:val="20"/>
        </w:rPr>
      </w:pPr>
    </w:p>
    <w:p w:rsidR="003C7747" w:rsidRDefault="003C7747" w:rsidP="003C7747">
      <w:pPr>
        <w:spacing w:after="0"/>
        <w:jc w:val="both"/>
      </w:pPr>
    </w:p>
    <w:p w:rsidR="003C7747" w:rsidRDefault="003C7747" w:rsidP="003C7747">
      <w:pPr>
        <w:jc w:val="both"/>
      </w:pPr>
      <w:r>
        <w:t>V Če</w:t>
      </w:r>
      <w:r w:rsidR="006C4455">
        <w:t>ských Budějovicích 15. 1. 2021</w:t>
      </w:r>
      <w:bookmarkStart w:id="0" w:name="_GoBack"/>
      <w:bookmarkEnd w:id="0"/>
    </w:p>
    <w:p w:rsidR="003C7747" w:rsidRDefault="003C7747" w:rsidP="003C7747">
      <w:pPr>
        <w:jc w:val="both"/>
      </w:pPr>
    </w:p>
    <w:p w:rsidR="003C7747" w:rsidRDefault="003C7747" w:rsidP="003C7747">
      <w:pPr>
        <w:jc w:val="both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3C7747" w:rsidRDefault="003C7747" w:rsidP="003C7747">
      <w:pPr>
        <w:spacing w:line="240" w:lineRule="auto"/>
      </w:pPr>
      <w:r>
        <w:t>……………………………………….                                                                              …………………………………………….</w:t>
      </w:r>
    </w:p>
    <w:p w:rsidR="003C7747" w:rsidRPr="00D159A6" w:rsidRDefault="003C7747" w:rsidP="003C7747">
      <w:pPr>
        <w:spacing w:after="0"/>
        <w:jc w:val="both"/>
      </w:pPr>
    </w:p>
    <w:sectPr w:rsidR="003C7747" w:rsidRPr="00D1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B71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F29EE"/>
    <w:multiLevelType w:val="multilevel"/>
    <w:tmpl w:val="93EAEA3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2" w15:restartNumberingAfterBreak="0">
    <w:nsid w:val="4DA61F9F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394E1C"/>
    <w:multiLevelType w:val="hybridMultilevel"/>
    <w:tmpl w:val="63CC1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6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1A1089"/>
    <w:multiLevelType w:val="multilevel"/>
    <w:tmpl w:val="14647D4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A4"/>
    <w:rsid w:val="000952CE"/>
    <w:rsid w:val="00295D42"/>
    <w:rsid w:val="002F5F95"/>
    <w:rsid w:val="003217BE"/>
    <w:rsid w:val="0038570A"/>
    <w:rsid w:val="003C7747"/>
    <w:rsid w:val="0042306C"/>
    <w:rsid w:val="004B56D0"/>
    <w:rsid w:val="004F48DB"/>
    <w:rsid w:val="00667270"/>
    <w:rsid w:val="006C4455"/>
    <w:rsid w:val="00AE54E6"/>
    <w:rsid w:val="00C557C7"/>
    <w:rsid w:val="00D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8608"/>
  <w15:chartTrackingRefBased/>
  <w15:docId w15:val="{92268799-95CB-4D97-9078-3E56897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9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49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4</cp:revision>
  <dcterms:created xsi:type="dcterms:W3CDTF">2021-01-15T11:42:00Z</dcterms:created>
  <dcterms:modified xsi:type="dcterms:W3CDTF">2021-01-15T11:43:00Z</dcterms:modified>
</cp:coreProperties>
</file>