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RDefault="00D50EE3" w:rsidP="00D421F7">
      <w:pPr>
        <w:rPr>
          <w:rFonts w:ascii="Arial" w:hAnsi="Arial" w:cs="Arial"/>
          <w:b/>
          <w:smallCaps/>
          <w:sz w:val="22"/>
          <w:szCs w:val="22"/>
        </w:rPr>
      </w:pPr>
    </w:p>
    <w:p w:rsidR="00D50EE3" w:rsidRPr="00D42B3D" w:rsidRDefault="008E25CF"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Pr="00D42B3D" w:rsidRDefault="003C437E" w:rsidP="00D421F7">
      <w:pPr>
        <w:rPr>
          <w:rFonts w:ascii="Arial" w:hAnsi="Arial" w:cs="Arial"/>
          <w:b/>
          <w:smallCaps/>
          <w:sz w:val="22"/>
          <w:szCs w:val="22"/>
        </w:rPr>
      </w:pPr>
      <w:r>
        <w:rPr>
          <w:rFonts w:ascii="Arial" w:hAnsi="Arial" w:cs="Arial"/>
          <w:b/>
          <w:smallCaps/>
          <w:sz w:val="22"/>
          <w:szCs w:val="22"/>
        </w:rPr>
        <w:t>číslo smlouvy prodávajícího 2/2020/5</w:t>
      </w:r>
    </w:p>
    <w:p w:rsidR="00D50EE3" w:rsidRDefault="00D50EE3" w:rsidP="00D421F7">
      <w:pPr>
        <w:rPr>
          <w:rFonts w:ascii="Arial" w:hAnsi="Arial" w:cs="Arial"/>
          <w:b/>
          <w:smallCaps/>
          <w:sz w:val="22"/>
          <w:szCs w:val="22"/>
        </w:rPr>
      </w:pP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E45DAD" w:rsidP="00D421F7">
      <w:pPr>
        <w:rPr>
          <w:rFonts w:ascii="Arial" w:hAnsi="Arial" w:cs="Arial"/>
          <w:b/>
          <w:sz w:val="22"/>
          <w:szCs w:val="22"/>
        </w:rPr>
      </w:pPr>
      <w:r>
        <w:rPr>
          <w:rFonts w:ascii="Arial" w:hAnsi="Arial" w:cs="Arial"/>
          <w:b/>
          <w:sz w:val="22"/>
          <w:szCs w:val="22"/>
        </w:rPr>
        <w:t>Kupující</w:t>
      </w: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rsidR="00D50EE3" w:rsidRPr="00D42B3D" w:rsidRDefault="00D50EE3" w:rsidP="00D421F7">
      <w:pPr>
        <w:rPr>
          <w:rFonts w:ascii="Arial" w:hAnsi="Arial" w:cs="Arial"/>
          <w:sz w:val="22"/>
          <w:szCs w:val="22"/>
        </w:rPr>
      </w:pP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IČ: 00023337</w:t>
      </w:r>
    </w:p>
    <w:p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zastoupené </w:t>
      </w:r>
      <w:proofErr w:type="spellStart"/>
      <w:r w:rsidR="000976B3">
        <w:rPr>
          <w:rFonts w:ascii="Arial" w:hAnsi="Arial" w:cs="Arial"/>
          <w:sz w:val="22"/>
          <w:szCs w:val="22"/>
        </w:rPr>
        <w:t>xxxxx</w:t>
      </w:r>
      <w:proofErr w:type="spellEnd"/>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E45DAD" w:rsidRPr="00E45DAD" w:rsidRDefault="00E45DAD" w:rsidP="00D421F7">
      <w:pPr>
        <w:rPr>
          <w:rFonts w:ascii="Arial" w:hAnsi="Arial" w:cs="Arial"/>
          <w:b/>
          <w:bCs/>
          <w:sz w:val="22"/>
          <w:szCs w:val="22"/>
        </w:rPr>
      </w:pPr>
      <w:r>
        <w:rPr>
          <w:rFonts w:ascii="Arial" w:hAnsi="Arial" w:cs="Arial"/>
          <w:b/>
          <w:bCs/>
          <w:sz w:val="22"/>
          <w:szCs w:val="22"/>
        </w:rPr>
        <w:t>Prodávající</w:t>
      </w:r>
    </w:p>
    <w:p w:rsidR="00B8689D" w:rsidRPr="005C6C27" w:rsidRDefault="005C6C27" w:rsidP="00D421F7">
      <w:pPr>
        <w:rPr>
          <w:rFonts w:ascii="Arial" w:hAnsi="Arial" w:cs="Arial"/>
          <w:b/>
          <w:sz w:val="22"/>
          <w:szCs w:val="22"/>
        </w:rPr>
      </w:pPr>
      <w:proofErr w:type="spellStart"/>
      <w:r w:rsidRPr="005C6C27">
        <w:rPr>
          <w:rFonts w:ascii="Arial" w:hAnsi="Arial" w:cs="Arial"/>
          <w:b/>
          <w:sz w:val="22"/>
          <w:szCs w:val="22"/>
        </w:rPr>
        <w:t>Nowatron</w:t>
      </w:r>
      <w:proofErr w:type="spellEnd"/>
      <w:r w:rsidRPr="005C6C27">
        <w:rPr>
          <w:rFonts w:ascii="Arial" w:hAnsi="Arial" w:cs="Arial"/>
          <w:b/>
          <w:sz w:val="22"/>
          <w:szCs w:val="22"/>
        </w:rPr>
        <w:t xml:space="preserve"> Elektronik, spol. s r. o.</w:t>
      </w:r>
    </w:p>
    <w:p w:rsidR="00B8689D" w:rsidRDefault="005C6C27" w:rsidP="00D421F7">
      <w:pPr>
        <w:rPr>
          <w:rFonts w:ascii="Arial" w:hAnsi="Arial" w:cs="Arial"/>
          <w:sz w:val="22"/>
          <w:szCs w:val="22"/>
        </w:rPr>
      </w:pPr>
      <w:r>
        <w:rPr>
          <w:rFonts w:ascii="Arial" w:hAnsi="Arial" w:cs="Arial"/>
          <w:sz w:val="22"/>
          <w:szCs w:val="22"/>
        </w:rPr>
        <w:t>se sídlem Na Radosti 298/4</w:t>
      </w:r>
    </w:p>
    <w:p w:rsidR="005C6C27" w:rsidRDefault="005C6C27" w:rsidP="00D421F7">
      <w:pPr>
        <w:rPr>
          <w:rFonts w:ascii="Arial" w:hAnsi="Arial" w:cs="Arial"/>
          <w:sz w:val="22"/>
          <w:szCs w:val="22"/>
        </w:rPr>
      </w:pPr>
      <w:r>
        <w:rPr>
          <w:rFonts w:ascii="Arial" w:hAnsi="Arial" w:cs="Arial"/>
          <w:sz w:val="22"/>
          <w:szCs w:val="22"/>
        </w:rPr>
        <w:t>155 21 Praha 5</w:t>
      </w:r>
    </w:p>
    <w:p w:rsidR="00B8689D" w:rsidRDefault="00B8689D" w:rsidP="00D421F7">
      <w:pPr>
        <w:rPr>
          <w:rFonts w:ascii="Arial" w:hAnsi="Arial" w:cs="Arial"/>
          <w:sz w:val="22"/>
          <w:szCs w:val="22"/>
        </w:rPr>
      </w:pPr>
      <w:r>
        <w:rPr>
          <w:rFonts w:ascii="Arial" w:hAnsi="Arial" w:cs="Arial"/>
          <w:sz w:val="22"/>
          <w:szCs w:val="22"/>
        </w:rPr>
        <w:t xml:space="preserve">IČ: </w:t>
      </w:r>
      <w:r w:rsidR="005C6C27">
        <w:rPr>
          <w:rFonts w:ascii="Arial" w:hAnsi="Arial" w:cs="Arial"/>
          <w:sz w:val="22"/>
          <w:szCs w:val="22"/>
        </w:rPr>
        <w:t>45270007</w:t>
      </w:r>
    </w:p>
    <w:p w:rsidR="00B8689D" w:rsidRDefault="00B8689D" w:rsidP="00D421F7">
      <w:pPr>
        <w:rPr>
          <w:rFonts w:ascii="Arial" w:hAnsi="Arial" w:cs="Arial"/>
          <w:sz w:val="22"/>
          <w:szCs w:val="22"/>
        </w:rPr>
      </w:pPr>
      <w:r>
        <w:rPr>
          <w:rFonts w:ascii="Arial" w:hAnsi="Arial" w:cs="Arial"/>
          <w:sz w:val="22"/>
          <w:szCs w:val="22"/>
        </w:rPr>
        <w:t xml:space="preserve">DIČ: </w:t>
      </w:r>
      <w:r w:rsidR="005C6C27">
        <w:rPr>
          <w:rFonts w:ascii="Arial" w:hAnsi="Arial" w:cs="Arial"/>
          <w:sz w:val="22"/>
          <w:szCs w:val="22"/>
        </w:rPr>
        <w:t>CZ45270007</w:t>
      </w:r>
    </w:p>
    <w:p w:rsidR="005C6C27" w:rsidRDefault="005C6C27" w:rsidP="00D421F7">
      <w:pPr>
        <w:rPr>
          <w:rFonts w:ascii="Arial" w:hAnsi="Arial" w:cs="Arial"/>
          <w:sz w:val="22"/>
          <w:szCs w:val="22"/>
        </w:rPr>
      </w:pPr>
      <w:r>
        <w:rPr>
          <w:rFonts w:ascii="Arial" w:hAnsi="Arial" w:cs="Arial"/>
          <w:sz w:val="22"/>
          <w:szCs w:val="22"/>
        </w:rPr>
        <w:t xml:space="preserve">Zastoupené </w:t>
      </w:r>
      <w:proofErr w:type="spellStart"/>
      <w:r w:rsidR="000976B3">
        <w:rPr>
          <w:rFonts w:ascii="Arial" w:hAnsi="Arial" w:cs="Arial"/>
          <w:sz w:val="22"/>
          <w:szCs w:val="22"/>
        </w:rPr>
        <w:t>xxxxx</w:t>
      </w:r>
      <w:proofErr w:type="spellEnd"/>
    </w:p>
    <w:p w:rsidR="005C6C27" w:rsidRPr="00D42B3D" w:rsidRDefault="005C6C27" w:rsidP="00D421F7">
      <w:pPr>
        <w:rPr>
          <w:rFonts w:ascii="Arial" w:hAnsi="Arial" w:cs="Arial"/>
          <w:sz w:val="22"/>
          <w:szCs w:val="22"/>
        </w:rPr>
      </w:pPr>
      <w:r>
        <w:rPr>
          <w:rFonts w:ascii="Arial" w:hAnsi="Arial" w:cs="Arial"/>
          <w:sz w:val="22"/>
          <w:szCs w:val="22"/>
        </w:rPr>
        <w:t xml:space="preserve">(dále jen </w:t>
      </w:r>
      <w:r w:rsidRPr="005C6C27">
        <w:rPr>
          <w:rFonts w:ascii="Arial" w:hAnsi="Arial" w:cs="Arial"/>
          <w:b/>
          <w:sz w:val="22"/>
          <w:szCs w:val="22"/>
        </w:rPr>
        <w:t>„prodávající“</w:t>
      </w:r>
      <w:r>
        <w:rPr>
          <w:rFonts w:ascii="Arial" w:hAnsi="Arial" w:cs="Arial"/>
          <w:sz w:val="22"/>
          <w:szCs w:val="22"/>
        </w:rPr>
        <w:t>)</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rsidR="00D50EE3" w:rsidRPr="00D42B3D" w:rsidRDefault="00D50EE3" w:rsidP="00D421F7">
      <w:pPr>
        <w:rPr>
          <w:rFonts w:ascii="Arial" w:hAnsi="Arial" w:cs="Arial"/>
          <w:b/>
          <w:smallCaps/>
          <w:sz w:val="22"/>
          <w:szCs w:val="22"/>
        </w:rPr>
      </w:pPr>
    </w:p>
    <w:p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p>
    <w:p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rsidR="00D421F7" w:rsidRPr="00D42B3D" w:rsidRDefault="00D421F7" w:rsidP="00D421F7">
      <w:pPr>
        <w:jc w:val="center"/>
        <w:rPr>
          <w:rFonts w:ascii="Arial" w:hAnsi="Arial" w:cs="Arial"/>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D421F7" w:rsidRPr="00D421F7" w:rsidRDefault="00D421F7" w:rsidP="00D421F7">
      <w:pPr>
        <w:rPr>
          <w:rFonts w:ascii="Arial" w:hAnsi="Arial" w:cs="Arial"/>
          <w:b/>
          <w:sz w:val="22"/>
          <w:szCs w:val="22"/>
        </w:rPr>
      </w:pPr>
    </w:p>
    <w:p w:rsidR="00D50EE3" w:rsidRPr="00D42B3D" w:rsidRDefault="00D50EE3" w:rsidP="00D421F7">
      <w:pPr>
        <w:jc w:val="both"/>
        <w:rPr>
          <w:rFonts w:ascii="Arial" w:hAnsi="Arial" w:cs="Arial"/>
          <w:sz w:val="22"/>
          <w:szCs w:val="22"/>
        </w:rPr>
      </w:pPr>
      <w:r w:rsidRPr="00D42B3D">
        <w:rPr>
          <w:rFonts w:ascii="Arial" w:hAnsi="Arial" w:cs="Arial"/>
          <w:sz w:val="22"/>
          <w:szCs w:val="22"/>
        </w:rPr>
        <w:t>Prodávající se zavazuje dodat kupujícímu</w:t>
      </w:r>
      <w:r w:rsidR="002F6C50">
        <w:rPr>
          <w:rFonts w:ascii="Arial" w:hAnsi="Arial" w:cs="Arial"/>
          <w:sz w:val="22"/>
          <w:szCs w:val="22"/>
        </w:rPr>
        <w:t xml:space="preserve"> </w:t>
      </w:r>
      <w:r w:rsidR="00FA1D6D">
        <w:rPr>
          <w:rFonts w:ascii="Arial" w:hAnsi="Arial" w:cs="Arial"/>
          <w:sz w:val="22"/>
          <w:szCs w:val="22"/>
        </w:rPr>
        <w:t>1</w:t>
      </w:r>
      <w:r w:rsidR="00B8689D">
        <w:rPr>
          <w:rFonts w:ascii="Arial" w:hAnsi="Arial" w:cs="Arial"/>
          <w:sz w:val="22"/>
          <w:szCs w:val="22"/>
        </w:rPr>
        <w:t xml:space="preserve"> ks</w:t>
      </w:r>
      <w:r w:rsidR="002F6C50">
        <w:rPr>
          <w:rFonts w:ascii="Arial" w:hAnsi="Arial" w:cs="Arial"/>
          <w:sz w:val="22"/>
          <w:szCs w:val="22"/>
        </w:rPr>
        <w:t xml:space="preserve"> videoprojektoru a 1 ks objektivu</w:t>
      </w:r>
      <w:r w:rsidR="00B8689D">
        <w:rPr>
          <w:rFonts w:ascii="Arial" w:hAnsi="Arial" w:cs="Arial"/>
          <w:sz w:val="22"/>
          <w:szCs w:val="22"/>
        </w:rPr>
        <w:t xml:space="preserve"> </w:t>
      </w:r>
      <w:r w:rsidRPr="00D42B3D">
        <w:rPr>
          <w:rFonts w:ascii="Arial" w:hAnsi="Arial" w:cs="Arial"/>
          <w:sz w:val="22"/>
          <w:szCs w:val="22"/>
        </w:rPr>
        <w:t>(dále jen předmět koupě či zboží), jejichž přesná specifikace tvoří Přílohu 1 této smlouvy, a převést na kupujícího vlastnické právo k předmětu koupě. Kupující se zavazuje uhradit prodávajícímu za předmět koupě sjednanou cenu.</w:t>
      </w:r>
    </w:p>
    <w:p w:rsidR="00D50EE3" w:rsidRPr="00D42B3D" w:rsidRDefault="00D50EE3" w:rsidP="00D421F7">
      <w:pPr>
        <w:jc w:val="both"/>
        <w:rPr>
          <w:rFonts w:ascii="Arial" w:hAnsi="Arial" w:cs="Arial"/>
          <w:sz w:val="22"/>
          <w:szCs w:val="22"/>
        </w:rPr>
      </w:pPr>
    </w:p>
    <w:p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rsidR="00D50EE3" w:rsidRPr="00D421F7" w:rsidRDefault="00D50EE3" w:rsidP="00D421F7">
      <w:pPr>
        <w:suppressAutoHyphens w:val="0"/>
        <w:autoSpaceDE w:val="0"/>
        <w:autoSpaceDN w:val="0"/>
        <w:adjustRightInd w:val="0"/>
        <w:rPr>
          <w:rFonts w:ascii="Arial" w:hAnsi="Arial" w:cs="Arial"/>
          <w:b/>
          <w:sz w:val="22"/>
          <w:szCs w:val="22"/>
        </w:rPr>
      </w:pPr>
    </w:p>
    <w:p w:rsidR="007C3CE4" w:rsidRPr="007C3CE4" w:rsidRDefault="00D50EE3" w:rsidP="000A3E7B">
      <w:pPr>
        <w:numPr>
          <w:ilvl w:val="0"/>
          <w:numId w:val="5"/>
        </w:numPr>
        <w:tabs>
          <w:tab w:val="clear" w:pos="720"/>
          <w:tab w:val="left" w:pos="426"/>
        </w:tabs>
        <w:ind w:left="0" w:firstLine="0"/>
        <w:jc w:val="both"/>
        <w:rPr>
          <w:rFonts w:ascii="Arial" w:hAnsi="Arial" w:cs="Arial"/>
          <w:sz w:val="22"/>
          <w:szCs w:val="22"/>
        </w:rPr>
      </w:pPr>
      <w:r w:rsidRPr="007C3CE4">
        <w:rPr>
          <w:rFonts w:ascii="Arial" w:hAnsi="Arial" w:cs="Arial"/>
          <w:sz w:val="22"/>
          <w:szCs w:val="22"/>
        </w:rPr>
        <w:t xml:space="preserve">Smluvní </w:t>
      </w:r>
      <w:r w:rsidR="000A3E7B" w:rsidRPr="000A3E7B">
        <w:rPr>
          <w:rFonts w:ascii="Arial" w:hAnsi="Arial" w:cs="Arial"/>
          <w:sz w:val="22"/>
          <w:szCs w:val="22"/>
        </w:rPr>
        <w:t xml:space="preserve">strany si sjednávají, že kupní cena činí </w:t>
      </w:r>
      <w:r w:rsidR="000A3E7B" w:rsidRPr="000A3E7B">
        <w:rPr>
          <w:rFonts w:ascii="Arial" w:hAnsi="Arial" w:cs="Arial"/>
          <w:b/>
          <w:sz w:val="22"/>
          <w:szCs w:val="22"/>
        </w:rPr>
        <w:t>1 403 500,00 Kč</w:t>
      </w:r>
      <w:r w:rsidR="000A3E7B" w:rsidRPr="000A3E7B">
        <w:rPr>
          <w:rFonts w:ascii="Arial" w:hAnsi="Arial" w:cs="Arial"/>
          <w:sz w:val="22"/>
          <w:szCs w:val="22"/>
        </w:rPr>
        <w:t xml:space="preserve"> (slovy jeden milion čtyři sta tři tisíc pět set korun českých) bez DPH. K takto stanovené ceně bude připočtena DPH ve výši 21%. Celková cena vč. DPH: 1 698 235,00 (jeden milion šest set devadesát osm tisíc dvě stě třicet pět korun českých) </w:t>
      </w:r>
      <w:r w:rsidR="007C3CE4" w:rsidRPr="007C3CE4">
        <w:rPr>
          <w:rFonts w:ascii="Arial" w:hAnsi="Arial" w:cs="Arial"/>
          <w:i/>
          <w:sz w:val="22"/>
          <w:szCs w:val="22"/>
        </w:rPr>
        <w:t>Kč.</w:t>
      </w:r>
    </w:p>
    <w:p w:rsidR="00D50EE3" w:rsidRPr="00D42B3D" w:rsidRDefault="007C3CE4" w:rsidP="005C6C27">
      <w:pPr>
        <w:numPr>
          <w:ilvl w:val="0"/>
          <w:numId w:val="5"/>
        </w:numPr>
        <w:tabs>
          <w:tab w:val="clear" w:pos="720"/>
          <w:tab w:val="left" w:pos="426"/>
        </w:tabs>
        <w:ind w:left="0" w:firstLine="0"/>
        <w:jc w:val="both"/>
        <w:rPr>
          <w:rFonts w:ascii="Arial" w:hAnsi="Arial" w:cs="Arial"/>
          <w:sz w:val="22"/>
          <w:szCs w:val="22"/>
        </w:rPr>
      </w:pPr>
      <w:r w:rsidRPr="007C3CE4">
        <w:rPr>
          <w:rFonts w:ascii="Arial" w:hAnsi="Arial" w:cs="Arial"/>
          <w:sz w:val="22"/>
          <w:szCs w:val="22"/>
        </w:rPr>
        <w:t xml:space="preserve"> </w:t>
      </w:r>
      <w:r w:rsidR="00D50EE3" w:rsidRPr="007C3CE4">
        <w:rPr>
          <w:rFonts w:ascii="Arial" w:hAnsi="Arial" w:cs="Arial"/>
          <w:sz w:val="22"/>
          <w:szCs w:val="22"/>
        </w:rPr>
        <w:t>Tato cena je cenou za předmět smlouvy dle čl. II., dopravu do místa plnění dle čl. IV.</w:t>
      </w:r>
      <w:r w:rsidR="00D50EE3" w:rsidRPr="007C3CE4">
        <w:rPr>
          <w:rFonts w:ascii="Arial" w:hAnsi="Arial" w:cs="Arial"/>
          <w:sz w:val="22"/>
          <w:szCs w:val="22"/>
        </w:rPr>
        <w:br/>
        <w:t>a veškeré další případné náklady prodávajícího spojené s naplněním předmětu této smlouvy, a je cenou maximální a nepřekročitelnou.</w:t>
      </w:r>
    </w:p>
    <w:p w:rsidR="00D50EE3" w:rsidRPr="00D42B3D" w:rsidRDefault="00D50EE3" w:rsidP="005C6C27">
      <w:pPr>
        <w:numPr>
          <w:ilvl w:val="0"/>
          <w:numId w:val="5"/>
        </w:numPr>
        <w:tabs>
          <w:tab w:val="clear" w:pos="720"/>
          <w:tab w:val="left" w:pos="426"/>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rsidR="00D50EE3" w:rsidRPr="00D42B3D" w:rsidRDefault="00D50EE3" w:rsidP="005C6C27">
      <w:pPr>
        <w:numPr>
          <w:ilvl w:val="0"/>
          <w:numId w:val="5"/>
        </w:numPr>
        <w:tabs>
          <w:tab w:val="clear" w:pos="720"/>
          <w:tab w:val="left" w:pos="426"/>
        </w:tabs>
        <w:ind w:left="0" w:firstLine="0"/>
        <w:jc w:val="both"/>
        <w:rPr>
          <w:rFonts w:ascii="Arial" w:hAnsi="Arial" w:cs="Arial"/>
          <w:sz w:val="22"/>
          <w:szCs w:val="22"/>
        </w:rPr>
      </w:pPr>
      <w:r w:rsidRPr="00D42B3D">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7C3CE4" w:rsidRPr="007C3CE4" w:rsidRDefault="00D50EE3" w:rsidP="005C6C27">
      <w:pPr>
        <w:numPr>
          <w:ilvl w:val="0"/>
          <w:numId w:val="5"/>
        </w:numPr>
        <w:tabs>
          <w:tab w:val="clear" w:pos="720"/>
          <w:tab w:val="left" w:pos="426"/>
        </w:tabs>
        <w:ind w:left="0" w:firstLine="0"/>
        <w:jc w:val="both"/>
        <w:rPr>
          <w:rFonts w:ascii="Arial" w:hAnsi="Arial" w:cs="Arial"/>
          <w:sz w:val="22"/>
          <w:szCs w:val="22"/>
        </w:rPr>
      </w:pPr>
      <w:r w:rsidRPr="007C3CE4">
        <w:rPr>
          <w:rFonts w:ascii="Arial" w:hAnsi="Arial" w:cs="Arial"/>
          <w:sz w:val="22"/>
          <w:szCs w:val="22"/>
        </w:rPr>
        <w:t>Předmět koupě přechází do vlastnictví kupujícího dnem předání kupujícímu</w:t>
      </w:r>
      <w:r w:rsidR="007C3CE4" w:rsidRPr="007C3CE4">
        <w:rPr>
          <w:rFonts w:ascii="Arial" w:hAnsi="Arial" w:cs="Arial"/>
          <w:sz w:val="22"/>
          <w:szCs w:val="22"/>
        </w:rPr>
        <w:t>.</w:t>
      </w:r>
      <w:r w:rsidRPr="007C3CE4">
        <w:rPr>
          <w:rFonts w:ascii="Arial" w:hAnsi="Arial" w:cs="Arial"/>
          <w:sz w:val="22"/>
          <w:szCs w:val="22"/>
        </w:rPr>
        <w:t xml:space="preserve"> </w:t>
      </w:r>
    </w:p>
    <w:p w:rsidR="00D50EE3" w:rsidRPr="007C3CE4" w:rsidRDefault="00D50EE3" w:rsidP="00D421F7">
      <w:pPr>
        <w:numPr>
          <w:ilvl w:val="0"/>
          <w:numId w:val="5"/>
        </w:numPr>
        <w:tabs>
          <w:tab w:val="clear" w:pos="720"/>
        </w:tabs>
        <w:ind w:left="0" w:firstLine="0"/>
        <w:jc w:val="both"/>
        <w:rPr>
          <w:rFonts w:ascii="Arial" w:hAnsi="Arial" w:cs="Arial"/>
          <w:sz w:val="22"/>
          <w:szCs w:val="22"/>
        </w:rPr>
      </w:pPr>
      <w:r w:rsidRPr="007C3CE4">
        <w:rPr>
          <w:rFonts w:ascii="Arial" w:hAnsi="Arial" w:cs="Arial"/>
          <w:sz w:val="22"/>
          <w:szCs w:val="22"/>
        </w:rPr>
        <w:t>Za okamžik uhrazení faktury se považuje datum, kdy byla předmětná částka odepsána z účtu kupujícího.</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rsidR="00D421F7" w:rsidRPr="00D421F7" w:rsidRDefault="00D421F7" w:rsidP="00D421F7">
      <w:pPr>
        <w:rPr>
          <w:rFonts w:ascii="Arial" w:hAnsi="Arial" w:cs="Arial"/>
          <w:b/>
          <w:sz w:val="22"/>
          <w:szCs w:val="22"/>
        </w:rPr>
      </w:pPr>
    </w:p>
    <w:p w:rsidR="00D50EE3" w:rsidRPr="00D42B3D"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002F6C50" w:rsidRPr="002F6C50">
        <w:rPr>
          <w:rFonts w:ascii="Arial" w:hAnsi="Arial" w:cs="Arial"/>
          <w:b/>
          <w:sz w:val="22"/>
          <w:szCs w:val="22"/>
        </w:rPr>
        <w:t xml:space="preserve">nejpozději </w:t>
      </w:r>
      <w:r w:rsidRPr="002F6C50">
        <w:rPr>
          <w:rFonts w:ascii="Arial" w:hAnsi="Arial" w:cs="Arial"/>
          <w:b/>
          <w:sz w:val="22"/>
          <w:szCs w:val="22"/>
        </w:rPr>
        <w:t xml:space="preserve">do </w:t>
      </w:r>
      <w:r w:rsidR="00755CAF">
        <w:rPr>
          <w:rFonts w:ascii="Arial" w:hAnsi="Arial" w:cs="Arial"/>
          <w:b/>
          <w:sz w:val="22"/>
          <w:szCs w:val="22"/>
        </w:rPr>
        <w:t>5 dnů od podpisu smlouvy</w:t>
      </w:r>
    </w:p>
    <w:p w:rsidR="00D50EE3" w:rsidRPr="00D42B3D" w:rsidRDefault="00D50EE3" w:rsidP="00D421F7">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plnění: </w:t>
      </w:r>
      <w:r w:rsidR="007C3CE4">
        <w:rPr>
          <w:rFonts w:ascii="Arial" w:hAnsi="Arial" w:cs="Arial"/>
          <w:sz w:val="22"/>
          <w:szCs w:val="22"/>
        </w:rPr>
        <w:t>Praha</w:t>
      </w:r>
    </w:p>
    <w:p w:rsidR="00D50EE3" w:rsidRPr="002F6C50"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D42B3D">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proofErr w:type="spellStart"/>
      <w:r w:rsidR="000976B3">
        <w:rPr>
          <w:rFonts w:ascii="Arial" w:hAnsi="Arial" w:cs="Arial"/>
          <w:sz w:val="22"/>
          <w:szCs w:val="22"/>
        </w:rPr>
        <w:t>xxxxx</w:t>
      </w:r>
      <w:proofErr w:type="spellEnd"/>
      <w:r w:rsidRPr="00D42B3D">
        <w:rPr>
          <w:rFonts w:ascii="Arial" w:hAnsi="Arial" w:cs="Arial"/>
          <w:sz w:val="22"/>
          <w:szCs w:val="22"/>
        </w:rPr>
        <w:t>, zodpovědná osob</w:t>
      </w:r>
      <w:r w:rsidR="00FB69A9">
        <w:rPr>
          <w:rFonts w:ascii="Arial" w:hAnsi="Arial" w:cs="Arial"/>
          <w:sz w:val="22"/>
          <w:szCs w:val="22"/>
        </w:rPr>
        <w:t>a za stranu prodávajícího</w:t>
      </w:r>
      <w:r w:rsidR="000976B3">
        <w:rPr>
          <w:rFonts w:ascii="Arial" w:hAnsi="Arial" w:cs="Arial"/>
          <w:sz w:val="22"/>
          <w:szCs w:val="22"/>
        </w:rPr>
        <w:t xml:space="preserve"> </w:t>
      </w:r>
      <w:proofErr w:type="spellStart"/>
      <w:r w:rsidR="000976B3">
        <w:rPr>
          <w:rFonts w:ascii="Arial" w:hAnsi="Arial" w:cs="Arial"/>
          <w:sz w:val="22"/>
          <w:szCs w:val="22"/>
        </w:rPr>
        <w:t>xxxxx</w:t>
      </w:r>
      <w:proofErr w:type="spellEnd"/>
      <w:r w:rsidR="002F6C50" w:rsidRPr="002F6C50">
        <w:rPr>
          <w:rFonts w:ascii="Arial" w:hAnsi="Arial" w:cs="Arial"/>
          <w:sz w:val="22"/>
          <w:szCs w:val="22"/>
        </w:rPr>
        <w:t>.</w:t>
      </w:r>
    </w:p>
    <w:p w:rsidR="00D421F7" w:rsidRDefault="00D421F7" w:rsidP="00D421F7">
      <w:pPr>
        <w:tabs>
          <w:tab w:val="left" w:pos="357"/>
          <w:tab w:val="center" w:pos="4536"/>
          <w:tab w:val="right" w:pos="9072"/>
        </w:tabs>
        <w:jc w:val="center"/>
        <w:rPr>
          <w:rFonts w:ascii="Arial" w:hAnsi="Arial" w:cs="Arial"/>
          <w:b/>
          <w:sz w:val="22"/>
          <w:szCs w:val="22"/>
        </w:rPr>
      </w:pPr>
    </w:p>
    <w:p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rsidR="00D421F7" w:rsidRPr="00D421F7" w:rsidRDefault="00D421F7" w:rsidP="00D421F7">
      <w:pPr>
        <w:tabs>
          <w:tab w:val="left" w:pos="357"/>
          <w:tab w:val="center" w:pos="4536"/>
          <w:tab w:val="right" w:pos="9072"/>
        </w:tabs>
        <w:rPr>
          <w:rFonts w:ascii="Arial" w:hAnsi="Arial" w:cs="Arial"/>
          <w:b/>
          <w:sz w:val="22"/>
          <w:szCs w:val="22"/>
        </w:rPr>
      </w:pP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0A3E7B">
        <w:rPr>
          <w:rFonts w:ascii="Arial" w:hAnsi="Arial" w:cs="Arial"/>
          <w:b/>
          <w:color w:val="000000"/>
          <w:sz w:val="22"/>
          <w:szCs w:val="22"/>
        </w:rPr>
        <w:t>Prodávající poskytuje záruku za jakost zboží v trvání 24</w:t>
      </w:r>
      <w:r w:rsidRPr="000A3E7B">
        <w:rPr>
          <w:rFonts w:ascii="Arial" w:hAnsi="Arial" w:cs="Arial"/>
          <w:b/>
          <w:sz w:val="22"/>
          <w:szCs w:val="22"/>
        </w:rPr>
        <w:t xml:space="preserve"> měsíců</w:t>
      </w:r>
      <w:r w:rsidRPr="00D42B3D">
        <w:rPr>
          <w:rFonts w:ascii="Arial" w:hAnsi="Arial" w:cs="Arial"/>
          <w:color w:val="000000"/>
          <w:sz w:val="22"/>
          <w:szCs w:val="22"/>
        </w:rPr>
        <w:t>, počínaje dnem následujícím po dni předání zboží kupujícímu.</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00FA1D6D">
        <w:rPr>
          <w:rFonts w:ascii="Arial" w:hAnsi="Arial" w:cs="Arial"/>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 Smluvní pokuty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lastRenderedPageBreak/>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00FA1D6D">
        <w:rPr>
          <w:rFonts w:ascii="Arial" w:hAnsi="Arial"/>
          <w:b/>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NOZ.</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rsidR="00D421F7" w:rsidRPr="00D421F7" w:rsidRDefault="00D421F7" w:rsidP="00D421F7">
      <w:pPr>
        <w:rPr>
          <w:rFonts w:ascii="Arial" w:hAnsi="Arial" w:cs="Arial"/>
          <w:b/>
          <w:sz w:val="22"/>
          <w:szCs w:val="22"/>
        </w:rPr>
      </w:pP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 xml:space="preserve">Smluvní strany tímto vylučují použití § 1740 odst. 3 občanského zákoníku, který stanoví, že smlouva je uzavřena i tehdy, kdy nedojde k úplné shodě projevů vůle smluvních stran. Dále smluvní </w:t>
      </w:r>
      <w:r w:rsidRPr="00D42B3D">
        <w:rPr>
          <w:rFonts w:ascii="Arial" w:hAnsi="Arial" w:cs="Arial"/>
          <w:sz w:val="22"/>
          <w:szCs w:val="22"/>
        </w:rPr>
        <w:lastRenderedPageBreak/>
        <w:t>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Tato smlouva nabývá platnosti a účinnosti dnem jejího podpisu oběma smluvními stranami.</w:t>
      </w:r>
    </w:p>
    <w:p w:rsidR="00D50EE3" w:rsidRPr="00D42B3D" w:rsidRDefault="00D50EE3" w:rsidP="00D421F7">
      <w:pPr>
        <w:jc w:val="both"/>
        <w:rPr>
          <w:rFonts w:ascii="Arial" w:hAnsi="Arial" w:cs="Arial"/>
          <w:sz w:val="22"/>
          <w:szCs w:val="22"/>
        </w:rPr>
      </w:pPr>
    </w:p>
    <w:p w:rsidR="00D50EE3" w:rsidRPr="00D42B3D" w:rsidRDefault="00D50EE3" w:rsidP="00D421F7">
      <w:pPr>
        <w:tabs>
          <w:tab w:val="left" w:pos="4680"/>
        </w:tabs>
        <w:jc w:val="both"/>
        <w:rPr>
          <w:rFonts w:ascii="Arial" w:hAnsi="Arial" w:cs="Arial"/>
          <w:sz w:val="22"/>
          <w:szCs w:val="22"/>
        </w:rPr>
      </w:pPr>
    </w:p>
    <w:p w:rsidR="00D50EE3" w:rsidRPr="00D42B3D" w:rsidRDefault="00D50EE3" w:rsidP="00D421F7">
      <w:pPr>
        <w:tabs>
          <w:tab w:val="left" w:pos="4962"/>
        </w:tabs>
        <w:jc w:val="both"/>
        <w:rPr>
          <w:rFonts w:ascii="Arial" w:hAnsi="Arial" w:cs="Arial"/>
          <w:sz w:val="22"/>
          <w:szCs w:val="22"/>
        </w:rPr>
      </w:pPr>
      <w:r w:rsidRPr="001133BA">
        <w:rPr>
          <w:rFonts w:ascii="Arial" w:hAnsi="Arial" w:cs="Arial"/>
          <w:sz w:val="22"/>
          <w:szCs w:val="22"/>
        </w:rPr>
        <w:t>V Praze dne</w:t>
      </w:r>
      <w:r w:rsidR="00D421F7" w:rsidRPr="001133BA">
        <w:rPr>
          <w:rFonts w:ascii="Arial" w:hAnsi="Arial" w:cs="Arial"/>
          <w:sz w:val="22"/>
          <w:szCs w:val="22"/>
        </w:rPr>
        <w:tab/>
      </w:r>
      <w:r w:rsidRPr="001133BA">
        <w:rPr>
          <w:rFonts w:ascii="Arial" w:hAnsi="Arial" w:cs="Arial"/>
          <w:sz w:val="22"/>
          <w:szCs w:val="22"/>
        </w:rPr>
        <w:t>V Praze dne</w:t>
      </w:r>
    </w:p>
    <w:p w:rsidR="00D50EE3" w:rsidRPr="00D42B3D" w:rsidRDefault="00D50EE3" w:rsidP="00D421F7">
      <w:pPr>
        <w:jc w:val="both"/>
        <w:rPr>
          <w:rFonts w:ascii="Arial" w:hAnsi="Arial" w:cs="Arial"/>
          <w:sz w:val="22"/>
          <w:szCs w:val="22"/>
        </w:rPr>
      </w:pPr>
    </w:p>
    <w:p w:rsidR="00D50EE3" w:rsidRDefault="00D50EE3" w:rsidP="00D421F7">
      <w:pPr>
        <w:rPr>
          <w:rFonts w:ascii="Arial" w:hAnsi="Arial" w:cs="Arial"/>
          <w:sz w:val="22"/>
          <w:szCs w:val="22"/>
        </w:rPr>
      </w:pPr>
    </w:p>
    <w:p w:rsidR="000A3E7B" w:rsidRDefault="000A3E7B" w:rsidP="00D421F7">
      <w:pPr>
        <w:rPr>
          <w:rFonts w:ascii="Arial" w:hAnsi="Arial" w:cs="Arial"/>
          <w:sz w:val="22"/>
          <w:szCs w:val="22"/>
        </w:rPr>
      </w:pPr>
    </w:p>
    <w:p w:rsidR="000A3E7B" w:rsidRDefault="000A3E7B" w:rsidP="00D421F7">
      <w:pPr>
        <w:rPr>
          <w:rFonts w:ascii="Arial" w:hAnsi="Arial" w:cs="Arial"/>
          <w:sz w:val="22"/>
          <w:szCs w:val="22"/>
        </w:rPr>
      </w:pPr>
    </w:p>
    <w:p w:rsidR="000A3E7B" w:rsidRDefault="000A3E7B" w:rsidP="00D421F7">
      <w:pPr>
        <w:rPr>
          <w:rFonts w:ascii="Arial" w:hAnsi="Arial" w:cs="Arial"/>
          <w:sz w:val="22"/>
          <w:szCs w:val="22"/>
        </w:rPr>
      </w:pPr>
    </w:p>
    <w:p w:rsidR="000A3E7B" w:rsidRDefault="000A3E7B" w:rsidP="00D421F7">
      <w:pPr>
        <w:rPr>
          <w:rFonts w:ascii="Arial" w:hAnsi="Arial" w:cs="Arial"/>
          <w:sz w:val="22"/>
          <w:szCs w:val="22"/>
        </w:rPr>
      </w:pPr>
    </w:p>
    <w:p w:rsidR="000A3E7B" w:rsidRPr="00D42B3D" w:rsidRDefault="000A3E7B" w:rsidP="00D421F7">
      <w:pPr>
        <w:rPr>
          <w:rFonts w:ascii="Arial" w:hAnsi="Arial" w:cs="Arial"/>
          <w:sz w:val="22"/>
          <w:szCs w:val="22"/>
        </w:rPr>
      </w:pPr>
    </w:p>
    <w:p w:rsidR="00D50EE3" w:rsidRPr="00D42B3D" w:rsidRDefault="00D50EE3" w:rsidP="005C6C27">
      <w:pPr>
        <w:tabs>
          <w:tab w:val="center" w:pos="1701"/>
          <w:tab w:val="center" w:pos="6804"/>
        </w:tabs>
        <w:rPr>
          <w:rFonts w:ascii="Arial" w:hAnsi="Arial" w:cs="Arial"/>
          <w:sz w:val="22"/>
          <w:szCs w:val="22"/>
        </w:rPr>
      </w:pPr>
    </w:p>
    <w:p w:rsidR="00D50EE3" w:rsidRDefault="005C6C27" w:rsidP="005C6C27">
      <w:pPr>
        <w:tabs>
          <w:tab w:val="center" w:pos="1701"/>
          <w:tab w:val="center" w:pos="6804"/>
        </w:tabs>
        <w:jc w:val="both"/>
        <w:rPr>
          <w:rFonts w:ascii="Arial" w:hAnsi="Arial" w:cs="Arial"/>
          <w:sz w:val="22"/>
          <w:szCs w:val="22"/>
        </w:rPr>
      </w:pPr>
      <w:r>
        <w:rPr>
          <w:rFonts w:ascii="Arial" w:hAnsi="Arial" w:cs="Arial"/>
          <w:sz w:val="22"/>
          <w:szCs w:val="22"/>
        </w:rPr>
        <w:tab/>
      </w:r>
      <w:r w:rsidR="00D421F7">
        <w:rPr>
          <w:rFonts w:ascii="Arial" w:hAnsi="Arial" w:cs="Arial"/>
          <w:sz w:val="22"/>
          <w:szCs w:val="22"/>
        </w:rPr>
        <w:t>...........................................</w:t>
      </w:r>
      <w:r w:rsidR="008D22F4">
        <w:rPr>
          <w:rFonts w:ascii="Arial" w:hAnsi="Arial" w:cs="Arial"/>
          <w:sz w:val="22"/>
          <w:szCs w:val="22"/>
        </w:rPr>
        <w:t>..........</w:t>
      </w:r>
      <w:r>
        <w:rPr>
          <w:rFonts w:ascii="Arial" w:hAnsi="Arial" w:cs="Arial"/>
          <w:sz w:val="22"/>
          <w:szCs w:val="22"/>
        </w:rPr>
        <w:tab/>
      </w:r>
      <w:r w:rsidR="00D421F7">
        <w:rPr>
          <w:rFonts w:ascii="Arial" w:hAnsi="Arial" w:cs="Arial"/>
          <w:sz w:val="22"/>
          <w:szCs w:val="22"/>
        </w:rPr>
        <w:t>.................................................</w:t>
      </w:r>
      <w:r w:rsidR="008D22F4">
        <w:rPr>
          <w:rFonts w:ascii="Arial" w:hAnsi="Arial" w:cs="Arial"/>
          <w:sz w:val="22"/>
          <w:szCs w:val="22"/>
        </w:rPr>
        <w:t>............</w:t>
      </w:r>
    </w:p>
    <w:p w:rsidR="005C6C27" w:rsidRDefault="005C6C27" w:rsidP="005C6C27">
      <w:pPr>
        <w:tabs>
          <w:tab w:val="center" w:pos="1701"/>
          <w:tab w:val="left" w:pos="4962"/>
          <w:tab w:val="center" w:pos="6804"/>
        </w:tabs>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Nowatron</w:t>
      </w:r>
      <w:proofErr w:type="spellEnd"/>
      <w:r>
        <w:rPr>
          <w:rFonts w:ascii="Arial" w:hAnsi="Arial" w:cs="Arial"/>
          <w:sz w:val="22"/>
          <w:szCs w:val="22"/>
        </w:rPr>
        <w:t xml:space="preserve"> Elektronik, spol. s r. o.</w:t>
      </w:r>
      <w:r>
        <w:rPr>
          <w:rFonts w:ascii="Arial" w:hAnsi="Arial" w:cs="Arial"/>
          <w:sz w:val="22"/>
          <w:szCs w:val="22"/>
        </w:rPr>
        <w:tab/>
      </w:r>
      <w:r>
        <w:rPr>
          <w:rFonts w:ascii="Arial" w:hAnsi="Arial" w:cs="Arial"/>
          <w:sz w:val="22"/>
          <w:szCs w:val="22"/>
        </w:rPr>
        <w:tab/>
      </w:r>
      <w:r w:rsidR="00D421F7">
        <w:rPr>
          <w:rFonts w:ascii="Arial" w:hAnsi="Arial" w:cs="Arial"/>
          <w:sz w:val="22"/>
          <w:szCs w:val="22"/>
        </w:rPr>
        <w:t>Národní divadlo</w:t>
      </w:r>
    </w:p>
    <w:p w:rsidR="00D50EE3" w:rsidRDefault="005C6C27" w:rsidP="008D22F4">
      <w:pPr>
        <w:tabs>
          <w:tab w:val="center" w:pos="1701"/>
          <w:tab w:val="center" w:pos="6804"/>
        </w:tabs>
        <w:jc w:val="both"/>
        <w:rPr>
          <w:rFonts w:ascii="Arial" w:hAnsi="Arial" w:cs="Arial"/>
          <w:sz w:val="22"/>
          <w:szCs w:val="22"/>
        </w:rPr>
      </w:pPr>
      <w:r>
        <w:rPr>
          <w:rFonts w:ascii="Arial" w:hAnsi="Arial" w:cs="Arial"/>
          <w:sz w:val="22"/>
          <w:szCs w:val="22"/>
        </w:rPr>
        <w:tab/>
      </w:r>
      <w:r w:rsidR="008D22F4">
        <w:rPr>
          <w:rFonts w:ascii="Arial" w:hAnsi="Arial" w:cs="Arial"/>
          <w:sz w:val="22"/>
          <w:szCs w:val="22"/>
        </w:rPr>
        <w:tab/>
      </w:r>
      <w:bookmarkStart w:id="0" w:name="_GoBack"/>
      <w:bookmarkEnd w:id="0"/>
    </w:p>
    <w:p w:rsidR="00163834" w:rsidRDefault="00163834" w:rsidP="005C6C27">
      <w:pPr>
        <w:tabs>
          <w:tab w:val="center" w:pos="1701"/>
          <w:tab w:val="left" w:pos="4962"/>
          <w:tab w:val="center" w:pos="6804"/>
        </w:tabs>
        <w:rPr>
          <w:rFonts w:ascii="Arial" w:hAnsi="Arial" w:cs="Arial"/>
          <w:sz w:val="22"/>
          <w:szCs w:val="22"/>
        </w:rPr>
      </w:pPr>
    </w:p>
    <w:p w:rsidR="000A3E7B" w:rsidRDefault="000A3E7B">
      <w:pPr>
        <w:suppressAutoHyphens w:val="0"/>
        <w:rPr>
          <w:rFonts w:ascii="Arial" w:hAnsi="Arial" w:cs="Arial"/>
          <w:sz w:val="22"/>
          <w:szCs w:val="22"/>
        </w:rPr>
      </w:pPr>
      <w:r>
        <w:rPr>
          <w:rFonts w:ascii="Arial" w:hAnsi="Arial" w:cs="Arial"/>
          <w:sz w:val="22"/>
          <w:szCs w:val="22"/>
        </w:rPr>
        <w:br w:type="page"/>
      </w:r>
    </w:p>
    <w:p w:rsidR="000A3E7B" w:rsidRPr="000A3E7B" w:rsidRDefault="000A3E7B" w:rsidP="000A3E7B">
      <w:pPr>
        <w:tabs>
          <w:tab w:val="left" w:pos="4962"/>
        </w:tabs>
        <w:rPr>
          <w:rFonts w:ascii="Arial" w:hAnsi="Arial" w:cs="Arial"/>
          <w:sz w:val="22"/>
          <w:szCs w:val="22"/>
        </w:rPr>
      </w:pPr>
      <w:r w:rsidRPr="000A3E7B">
        <w:rPr>
          <w:rFonts w:ascii="Arial" w:hAnsi="Arial" w:cs="Arial"/>
          <w:sz w:val="22"/>
          <w:szCs w:val="22"/>
        </w:rPr>
        <w:lastRenderedPageBreak/>
        <w:t>Příloha č. 1</w:t>
      </w:r>
    </w:p>
    <w:p w:rsidR="000A3E7B" w:rsidRPr="000A3E7B" w:rsidRDefault="000A3E7B" w:rsidP="000A3E7B">
      <w:pPr>
        <w:tabs>
          <w:tab w:val="left" w:pos="4962"/>
        </w:tabs>
        <w:rPr>
          <w:rFonts w:ascii="Arial" w:hAnsi="Arial" w:cs="Arial"/>
          <w:sz w:val="22"/>
          <w:szCs w:val="22"/>
        </w:rPr>
      </w:pPr>
    </w:p>
    <w:p w:rsidR="000A3E7B" w:rsidRPr="000A3E7B" w:rsidRDefault="000A3E7B" w:rsidP="000A3E7B">
      <w:pPr>
        <w:rPr>
          <w:rFonts w:ascii="Arial" w:hAnsi="Arial" w:cs="Arial"/>
          <w:b/>
          <w:sz w:val="32"/>
        </w:rPr>
      </w:pPr>
      <w:r w:rsidRPr="000A3E7B">
        <w:rPr>
          <w:rFonts w:ascii="Arial" w:hAnsi="Arial" w:cs="Arial"/>
          <w:sz w:val="32"/>
        </w:rPr>
        <w:t xml:space="preserve">Specifikace videoprojektoru </w:t>
      </w:r>
      <w:r w:rsidRPr="000A3E7B">
        <w:rPr>
          <w:rFonts w:ascii="Arial" w:hAnsi="Arial" w:cs="Arial"/>
          <w:b/>
          <w:sz w:val="32"/>
        </w:rPr>
        <w:t>BARCO UDX W32</w:t>
      </w:r>
    </w:p>
    <w:p w:rsidR="000A3E7B" w:rsidRPr="000A3E7B" w:rsidRDefault="000A3E7B" w:rsidP="000A3E7B">
      <w:pPr>
        <w:rPr>
          <w:rFonts w:ascii="Arial" w:hAnsi="Arial" w:cs="Arial"/>
          <w:b/>
        </w:rPr>
      </w:pPr>
    </w:p>
    <w:tbl>
      <w:tblPr>
        <w:tblW w:w="10196" w:type="dxa"/>
        <w:jc w:val="center"/>
        <w:tblCellMar>
          <w:left w:w="70" w:type="dxa"/>
          <w:right w:w="70" w:type="dxa"/>
        </w:tblCellMar>
        <w:tblLook w:val="04A0" w:firstRow="1" w:lastRow="0" w:firstColumn="1" w:lastColumn="0" w:noHBand="0" w:noVBand="1"/>
      </w:tblPr>
      <w:tblGrid>
        <w:gridCol w:w="1691"/>
        <w:gridCol w:w="3686"/>
        <w:gridCol w:w="4819"/>
      </w:tblGrid>
      <w:tr w:rsidR="000A3E7B" w:rsidRPr="000A3E7B" w:rsidTr="000A3E7B">
        <w:trPr>
          <w:trHeight w:val="529"/>
          <w:jc w:val="center"/>
        </w:trPr>
        <w:tc>
          <w:tcPr>
            <w:tcW w:w="1691" w:type="dxa"/>
            <w:tcBorders>
              <w:top w:val="single" w:sz="8" w:space="0" w:color="auto"/>
              <w:left w:val="single" w:sz="8" w:space="0" w:color="auto"/>
              <w:bottom w:val="nil"/>
              <w:right w:val="nil"/>
            </w:tcBorders>
            <w:shd w:val="clear" w:color="000000" w:fill="FF0000"/>
            <w:vAlign w:val="center"/>
            <w:hideMark/>
          </w:tcPr>
          <w:p w:rsidR="000A3E7B" w:rsidRPr="000A3E7B" w:rsidRDefault="000A3E7B" w:rsidP="00CD1730">
            <w:pPr>
              <w:rPr>
                <w:rFonts w:ascii="Arial" w:hAnsi="Arial" w:cs="Arial"/>
                <w:b/>
                <w:bCs/>
                <w:color w:val="FEFFFE"/>
                <w:sz w:val="18"/>
                <w:szCs w:val="18"/>
              </w:rPr>
            </w:pPr>
            <w:r w:rsidRPr="000A3E7B">
              <w:rPr>
                <w:rFonts w:ascii="Arial" w:hAnsi="Arial" w:cs="Arial"/>
                <w:b/>
                <w:bCs/>
                <w:color w:val="FEFFFE"/>
                <w:sz w:val="18"/>
                <w:szCs w:val="18"/>
              </w:rPr>
              <w:t>název parametru</w:t>
            </w:r>
          </w:p>
        </w:tc>
        <w:tc>
          <w:tcPr>
            <w:tcW w:w="3686" w:type="dxa"/>
            <w:tcBorders>
              <w:top w:val="single" w:sz="8" w:space="0" w:color="auto"/>
              <w:left w:val="single" w:sz="4" w:space="0" w:color="auto"/>
              <w:bottom w:val="single" w:sz="4" w:space="0" w:color="auto"/>
              <w:right w:val="nil"/>
            </w:tcBorders>
            <w:shd w:val="clear" w:color="000000" w:fill="FF0000"/>
            <w:vAlign w:val="center"/>
            <w:hideMark/>
          </w:tcPr>
          <w:p w:rsidR="000A3E7B" w:rsidRPr="000A3E7B" w:rsidRDefault="000A3E7B" w:rsidP="00CD1730">
            <w:pPr>
              <w:rPr>
                <w:rFonts w:ascii="Arial" w:hAnsi="Arial" w:cs="Arial"/>
                <w:b/>
                <w:bCs/>
                <w:color w:val="FEFFFE"/>
                <w:sz w:val="18"/>
                <w:szCs w:val="18"/>
              </w:rPr>
            </w:pPr>
            <w:r w:rsidRPr="000A3E7B">
              <w:rPr>
                <w:rFonts w:ascii="Arial" w:hAnsi="Arial" w:cs="Arial"/>
                <w:b/>
                <w:bCs/>
                <w:color w:val="FEFFFE"/>
                <w:sz w:val="18"/>
                <w:szCs w:val="18"/>
              </w:rPr>
              <w:t> </w:t>
            </w:r>
          </w:p>
        </w:tc>
        <w:tc>
          <w:tcPr>
            <w:tcW w:w="4819" w:type="dxa"/>
            <w:tcBorders>
              <w:top w:val="single" w:sz="8" w:space="0" w:color="auto"/>
              <w:left w:val="nil"/>
              <w:bottom w:val="single" w:sz="4" w:space="0" w:color="auto"/>
              <w:right w:val="single" w:sz="8" w:space="0" w:color="auto"/>
            </w:tcBorders>
            <w:shd w:val="clear" w:color="000000" w:fill="FF0000"/>
            <w:vAlign w:val="center"/>
            <w:hideMark/>
          </w:tcPr>
          <w:p w:rsidR="000A3E7B" w:rsidRPr="000A3E7B" w:rsidRDefault="000A3E7B" w:rsidP="00CD1730">
            <w:pPr>
              <w:rPr>
                <w:rFonts w:ascii="Arial" w:hAnsi="Arial" w:cs="Arial"/>
                <w:b/>
                <w:bCs/>
                <w:color w:val="FEFFFE"/>
                <w:sz w:val="18"/>
                <w:szCs w:val="18"/>
              </w:rPr>
            </w:pPr>
            <w:r w:rsidRPr="000A3E7B">
              <w:rPr>
                <w:rFonts w:ascii="Arial" w:hAnsi="Arial" w:cs="Arial"/>
                <w:b/>
                <w:bCs/>
                <w:color w:val="FEFFFE"/>
                <w:sz w:val="18"/>
                <w:szCs w:val="18"/>
              </w:rPr>
              <w:t>hodnoty</w:t>
            </w:r>
          </w:p>
        </w:tc>
      </w:tr>
      <w:tr w:rsidR="000A3E7B" w:rsidRPr="000A3E7B" w:rsidTr="000A3E7B">
        <w:trPr>
          <w:trHeight w:val="408"/>
          <w:jc w:val="center"/>
        </w:trPr>
        <w:tc>
          <w:tcPr>
            <w:tcW w:w="1691" w:type="dxa"/>
            <w:tcBorders>
              <w:top w:val="single" w:sz="4" w:space="0" w:color="auto"/>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 xml:space="preserve">zdroj napájení </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200-240V (+/- 10%), 20A, 50-60Hz</w:t>
            </w:r>
          </w:p>
        </w:tc>
        <w:tc>
          <w:tcPr>
            <w:tcW w:w="4819" w:type="dxa"/>
            <w:tcBorders>
              <w:top w:val="nil"/>
              <w:left w:val="nil"/>
              <w:bottom w:val="single" w:sz="4" w:space="0" w:color="auto"/>
              <w:right w:val="single" w:sz="8" w:space="0" w:color="auto"/>
            </w:tcBorders>
            <w:shd w:val="clear" w:color="auto" w:fill="auto"/>
            <w:noWrap/>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r>
      <w:tr w:rsidR="000A3E7B" w:rsidRPr="000A3E7B" w:rsidTr="000A3E7B">
        <w:trPr>
          <w:trHeight w:val="408"/>
          <w:jc w:val="center"/>
        </w:trPr>
        <w:tc>
          <w:tcPr>
            <w:tcW w:w="1691" w:type="dxa"/>
            <w:tcBorders>
              <w:top w:val="single" w:sz="4" w:space="0" w:color="89847F"/>
              <w:left w:val="single" w:sz="8" w:space="0" w:color="auto"/>
              <w:bottom w:val="single" w:sz="4" w:space="0" w:color="89847F"/>
              <w:right w:val="single" w:sz="4" w:space="0" w:color="89847F"/>
            </w:tcBorders>
            <w:shd w:val="clear" w:color="000000" w:fill="FFD932"/>
            <w:vAlign w:val="center"/>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čip DLP</w:t>
            </w:r>
          </w:p>
        </w:tc>
        <w:tc>
          <w:tcPr>
            <w:tcW w:w="3686" w:type="dxa"/>
            <w:tcBorders>
              <w:top w:val="nil"/>
              <w:left w:val="single" w:sz="4" w:space="0" w:color="auto"/>
              <w:bottom w:val="single" w:sz="4" w:space="0" w:color="auto"/>
              <w:right w:val="nil"/>
            </w:tcBorders>
            <w:shd w:val="clear" w:color="000000" w:fill="D9D9D9"/>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c>
          <w:tcPr>
            <w:tcW w:w="4819" w:type="dxa"/>
            <w:tcBorders>
              <w:top w:val="nil"/>
              <w:left w:val="nil"/>
              <w:bottom w:val="single" w:sz="4" w:space="0" w:color="auto"/>
              <w:right w:val="single" w:sz="8" w:space="0" w:color="auto"/>
            </w:tcBorders>
            <w:shd w:val="clear" w:color="000000" w:fill="D9D9D9"/>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r>
      <w:tr w:rsidR="000A3E7B" w:rsidRPr="000A3E7B" w:rsidTr="00623373">
        <w:trPr>
          <w:trHeight w:val="408"/>
          <w:jc w:val="center"/>
        </w:trPr>
        <w:tc>
          <w:tcPr>
            <w:tcW w:w="1691" w:type="dxa"/>
            <w:tcBorders>
              <w:top w:val="single" w:sz="4" w:space="0" w:color="auto"/>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velikost panelu</w:t>
            </w:r>
          </w:p>
        </w:tc>
        <w:tc>
          <w:tcPr>
            <w:tcW w:w="8505" w:type="dxa"/>
            <w:gridSpan w:val="2"/>
            <w:tcBorders>
              <w:top w:val="nil"/>
              <w:left w:val="single" w:sz="4" w:space="0" w:color="auto"/>
              <w:bottom w:val="single" w:sz="4" w:space="0" w:color="auto"/>
              <w:right w:val="single" w:sz="8" w:space="0" w:color="auto"/>
            </w:tcBorders>
            <w:shd w:val="clear" w:color="auto" w:fill="auto"/>
            <w:noWrap/>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(24,4 mm) 0.96" DMD™ x3, poměr stran 16 : 10</w:t>
            </w:r>
          </w:p>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r>
      <w:tr w:rsidR="000A3E7B" w:rsidRPr="000A3E7B" w:rsidTr="00CD1730">
        <w:trPr>
          <w:trHeight w:val="408"/>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 xml:space="preserve">metoda zobrazení </w:t>
            </w:r>
          </w:p>
        </w:tc>
        <w:tc>
          <w:tcPr>
            <w:tcW w:w="8505"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xml:space="preserve">WUXGA, </w:t>
            </w:r>
            <w:proofErr w:type="gramStart"/>
            <w:r w:rsidRPr="000A3E7B">
              <w:rPr>
                <w:rFonts w:ascii="Arial" w:hAnsi="Arial" w:cs="Arial"/>
                <w:color w:val="000000"/>
                <w:sz w:val="18"/>
                <w:szCs w:val="18"/>
              </w:rPr>
              <w:t>1920x1200 3-čipový</w:t>
            </w:r>
            <w:proofErr w:type="gramEnd"/>
            <w:r w:rsidRPr="000A3E7B">
              <w:rPr>
                <w:rFonts w:ascii="Arial" w:hAnsi="Arial" w:cs="Arial"/>
                <w:color w:val="000000"/>
                <w:sz w:val="18"/>
                <w:szCs w:val="18"/>
              </w:rPr>
              <w:t xml:space="preserve"> DLP digitální projektor</w:t>
            </w:r>
          </w:p>
        </w:tc>
      </w:tr>
      <w:tr w:rsidR="000A3E7B" w:rsidRPr="000A3E7B" w:rsidTr="000A3E7B">
        <w:trPr>
          <w:trHeight w:val="408"/>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Pixely</w:t>
            </w:r>
          </w:p>
        </w:tc>
        <w:tc>
          <w:tcPr>
            <w:tcW w:w="3686" w:type="dxa"/>
            <w:tcBorders>
              <w:top w:val="nil"/>
              <w:left w:val="single" w:sz="4" w:space="0" w:color="auto"/>
              <w:bottom w:val="single" w:sz="4" w:space="0" w:color="auto"/>
              <w:right w:val="nil"/>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6 912 000 (1920 x 1200 x 3) pixelů</w:t>
            </w:r>
          </w:p>
        </w:tc>
        <w:tc>
          <w:tcPr>
            <w:tcW w:w="4819" w:type="dxa"/>
            <w:tcBorders>
              <w:top w:val="nil"/>
              <w:left w:val="nil"/>
              <w:bottom w:val="single" w:sz="4" w:space="0" w:color="auto"/>
              <w:right w:val="single" w:sz="8" w:space="0" w:color="auto"/>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r>
      <w:tr w:rsidR="000A3E7B" w:rsidRPr="000A3E7B" w:rsidTr="00CD1730">
        <w:trPr>
          <w:trHeight w:val="408"/>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obnovovací frekvence</w:t>
            </w:r>
          </w:p>
        </w:tc>
        <w:tc>
          <w:tcPr>
            <w:tcW w:w="850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24hz až 120hz 4K/4KUHD (4096 x 2160/ 3860 x 2400) až 240hz WQXGA (2560 x 1600)</w:t>
            </w:r>
          </w:p>
        </w:tc>
      </w:tr>
      <w:tr w:rsidR="000A3E7B" w:rsidRPr="000A3E7B" w:rsidTr="00CD1730">
        <w:trPr>
          <w:trHeight w:val="996"/>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zdroj světla</w:t>
            </w:r>
          </w:p>
        </w:tc>
        <w:tc>
          <w:tcPr>
            <w:tcW w:w="850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laserový zdroj světla s typickou životnost 25000 hodin provozu při výkonu laserového zdroje na 100% (NORMAL MODE);</w:t>
            </w:r>
            <w:r w:rsidRPr="000A3E7B">
              <w:rPr>
                <w:rFonts w:ascii="Arial" w:hAnsi="Arial" w:cs="Arial"/>
                <w:color w:val="000000"/>
                <w:sz w:val="18"/>
                <w:szCs w:val="18"/>
              </w:rPr>
              <w:br/>
              <w:t>při režimu snížené spotřeby &gt;90000 hodin provozu</w:t>
            </w:r>
          </w:p>
        </w:tc>
      </w:tr>
      <w:tr w:rsidR="000A3E7B" w:rsidRPr="000A3E7B" w:rsidTr="00CD1730">
        <w:trPr>
          <w:trHeight w:val="408"/>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filtr</w:t>
            </w:r>
          </w:p>
        </w:tc>
        <w:tc>
          <w:tcPr>
            <w:tcW w:w="8505" w:type="dxa"/>
            <w:gridSpan w:val="2"/>
            <w:tcBorders>
              <w:top w:val="single" w:sz="4" w:space="0" w:color="auto"/>
              <w:left w:val="single" w:sz="4" w:space="0" w:color="auto"/>
              <w:bottom w:val="single" w:sz="4" w:space="0" w:color="auto"/>
              <w:right w:val="single" w:sz="8" w:space="0" w:color="000000"/>
            </w:tcBorders>
            <w:shd w:val="clear" w:color="000000" w:fill="F7F7F6"/>
            <w:vAlign w:val="center"/>
            <w:hideMark/>
          </w:tcPr>
          <w:p w:rsidR="000A3E7B" w:rsidRPr="000A3E7B" w:rsidRDefault="000A3E7B" w:rsidP="00CD1730">
            <w:pPr>
              <w:rPr>
                <w:rFonts w:ascii="Arial" w:hAnsi="Arial" w:cs="Arial"/>
                <w:color w:val="000000"/>
                <w:sz w:val="18"/>
                <w:szCs w:val="18"/>
              </w:rPr>
            </w:pPr>
            <w:proofErr w:type="spellStart"/>
            <w:r w:rsidRPr="000A3E7B">
              <w:rPr>
                <w:rFonts w:ascii="Arial" w:hAnsi="Arial" w:cs="Arial"/>
                <w:color w:val="000000"/>
                <w:sz w:val="18"/>
                <w:szCs w:val="18"/>
              </w:rPr>
              <w:t>bezfiltrové</w:t>
            </w:r>
            <w:proofErr w:type="spellEnd"/>
            <w:r w:rsidRPr="000A3E7B">
              <w:rPr>
                <w:rFonts w:ascii="Arial" w:hAnsi="Arial" w:cs="Arial"/>
                <w:color w:val="000000"/>
                <w:sz w:val="18"/>
                <w:szCs w:val="18"/>
              </w:rPr>
              <w:t xml:space="preserve"> provedení, bezúdržbový provoz! = úspora nákladů!</w:t>
            </w:r>
          </w:p>
        </w:tc>
      </w:tr>
      <w:tr w:rsidR="000A3E7B" w:rsidRPr="000A3E7B" w:rsidTr="00CD1730">
        <w:trPr>
          <w:trHeight w:val="2088"/>
          <w:jc w:val="center"/>
        </w:trPr>
        <w:tc>
          <w:tcPr>
            <w:tcW w:w="1691" w:type="dxa"/>
            <w:tcBorders>
              <w:top w:val="nil"/>
              <w:left w:val="single" w:sz="8" w:space="0" w:color="auto"/>
              <w:bottom w:val="nil"/>
              <w:right w:val="single" w:sz="4" w:space="0" w:color="auto"/>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velikost obrazovky</w:t>
            </w:r>
          </w:p>
        </w:tc>
        <w:tc>
          <w:tcPr>
            <w:tcW w:w="8505" w:type="dxa"/>
            <w:gridSpan w:val="2"/>
            <w:tcBorders>
              <w:top w:val="single" w:sz="4" w:space="0" w:color="auto"/>
              <w:left w:val="nil"/>
              <w:bottom w:val="single" w:sz="4" w:space="0" w:color="auto"/>
              <w:right w:val="single" w:sz="8" w:space="0" w:color="000000"/>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minimálně:</w:t>
            </w:r>
            <w:r w:rsidRPr="000A3E7B">
              <w:rPr>
                <w:rFonts w:ascii="Arial" w:hAnsi="Arial" w:cs="Arial"/>
                <w:color w:val="000000"/>
                <w:sz w:val="18"/>
                <w:szCs w:val="18"/>
              </w:rPr>
              <w:br/>
              <w:t>1,78 x 25,4m (70 - 1000) poměr stran 16: 10</w:t>
            </w:r>
            <w:r w:rsidRPr="000A3E7B">
              <w:rPr>
                <w:rFonts w:ascii="Arial" w:hAnsi="Arial" w:cs="Arial"/>
                <w:color w:val="000000"/>
                <w:sz w:val="18"/>
                <w:szCs w:val="18"/>
              </w:rPr>
              <w:br/>
              <w:t>1,78 x 15,24m (70 - 600) poměr stran 16: 10</w:t>
            </w:r>
            <w:r w:rsidRPr="000A3E7B">
              <w:rPr>
                <w:rFonts w:ascii="Arial" w:hAnsi="Arial" w:cs="Arial"/>
                <w:color w:val="000000"/>
                <w:sz w:val="18"/>
                <w:szCs w:val="18"/>
              </w:rPr>
              <w:br/>
              <w:t>3,05 x 15,24m (120 - 600) poměr stran 16:10</w:t>
            </w:r>
            <w:r w:rsidRPr="000A3E7B">
              <w:rPr>
                <w:rFonts w:ascii="Arial" w:hAnsi="Arial" w:cs="Arial"/>
                <w:color w:val="000000"/>
                <w:sz w:val="18"/>
                <w:szCs w:val="18"/>
              </w:rPr>
              <w:br/>
            </w:r>
            <w:r w:rsidRPr="000A3E7B">
              <w:rPr>
                <w:rFonts w:ascii="Arial" w:hAnsi="Arial" w:cs="Arial"/>
                <w:color w:val="000000"/>
                <w:sz w:val="18"/>
                <w:szCs w:val="18"/>
              </w:rPr>
              <w:br/>
              <w:t>avšak velikost obrazu lze nastavit variabilně s originálními výměnnými motorizovanými zoom objektivy s pamětí BARCO TLD+:</w:t>
            </w:r>
          </w:p>
        </w:tc>
      </w:tr>
      <w:tr w:rsidR="000A3E7B" w:rsidRPr="000A3E7B" w:rsidTr="000A3E7B">
        <w:trPr>
          <w:trHeight w:val="360"/>
          <w:jc w:val="center"/>
        </w:trPr>
        <w:tc>
          <w:tcPr>
            <w:tcW w:w="1691" w:type="dxa"/>
            <w:tcBorders>
              <w:top w:val="nil"/>
              <w:left w:val="single" w:sz="8" w:space="0" w:color="auto"/>
              <w:bottom w:val="nil"/>
              <w:right w:val="nil"/>
            </w:tcBorders>
            <w:shd w:val="clear" w:color="000000" w:fill="D9D9D9"/>
            <w:vAlign w:val="center"/>
            <w:hideMark/>
          </w:tcPr>
          <w:p w:rsidR="000A3E7B" w:rsidRPr="000A3E7B" w:rsidRDefault="000A3E7B" w:rsidP="00CD1730">
            <w:pPr>
              <w:rPr>
                <w:rFonts w:ascii="Arial" w:hAnsi="Arial" w:cs="Arial"/>
                <w:b/>
                <w:color w:val="000000"/>
                <w:sz w:val="16"/>
                <w:szCs w:val="16"/>
              </w:rPr>
            </w:pPr>
            <w:r w:rsidRPr="000A3E7B">
              <w:rPr>
                <w:rFonts w:ascii="Arial" w:hAnsi="Arial" w:cs="Arial"/>
                <w:b/>
                <w:color w:val="000000"/>
                <w:sz w:val="16"/>
                <w:szCs w:val="16"/>
              </w:rPr>
              <w:t> </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R9862000, </w:t>
            </w:r>
            <w:proofErr w:type="spellStart"/>
            <w:r w:rsidRPr="000A3E7B">
              <w:rPr>
                <w:rFonts w:ascii="Arial" w:hAnsi="Arial" w:cs="Arial"/>
                <w:color w:val="000000"/>
                <w:sz w:val="16"/>
                <w:szCs w:val="16"/>
              </w:rPr>
              <w:t>Barco</w:t>
            </w:r>
            <w:proofErr w:type="spellEnd"/>
            <w:r w:rsidRPr="000A3E7B">
              <w:rPr>
                <w:rFonts w:ascii="Arial" w:hAnsi="Arial" w:cs="Arial"/>
                <w:color w:val="000000"/>
                <w:sz w:val="16"/>
                <w:szCs w:val="16"/>
              </w:rPr>
              <w:t xml:space="preserve"> TLD+ LENS 0.73  </w:t>
            </w:r>
          </w:p>
        </w:tc>
        <w:tc>
          <w:tcPr>
            <w:tcW w:w="4819" w:type="dxa"/>
            <w:tcBorders>
              <w:top w:val="nil"/>
              <w:left w:val="single" w:sz="4" w:space="0" w:color="auto"/>
              <w:bottom w:val="single" w:sz="4" w:space="0" w:color="auto"/>
              <w:right w:val="single" w:sz="8" w:space="0" w:color="auto"/>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0.67:1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HDX/F ; NOT FOR HDX 4K ; NOT FOR UDX 4K</w:t>
            </w:r>
          </w:p>
        </w:tc>
      </w:tr>
      <w:tr w:rsidR="000A3E7B" w:rsidRPr="000A3E7B" w:rsidTr="000A3E7B">
        <w:trPr>
          <w:trHeight w:val="360"/>
          <w:jc w:val="center"/>
        </w:trPr>
        <w:tc>
          <w:tcPr>
            <w:tcW w:w="1691" w:type="dxa"/>
            <w:tcBorders>
              <w:top w:val="nil"/>
              <w:left w:val="single" w:sz="8" w:space="0" w:color="auto"/>
              <w:bottom w:val="nil"/>
              <w:right w:val="nil"/>
            </w:tcBorders>
            <w:shd w:val="clear" w:color="000000" w:fill="D9D9D9"/>
            <w:vAlign w:val="center"/>
            <w:hideMark/>
          </w:tcPr>
          <w:p w:rsidR="000A3E7B" w:rsidRPr="000A3E7B" w:rsidRDefault="000A3E7B" w:rsidP="00CD1730">
            <w:pPr>
              <w:rPr>
                <w:rFonts w:ascii="Arial" w:hAnsi="Arial" w:cs="Arial"/>
                <w:b/>
                <w:color w:val="000000"/>
                <w:sz w:val="16"/>
                <w:szCs w:val="16"/>
              </w:rPr>
            </w:pPr>
            <w:r w:rsidRPr="000A3E7B">
              <w:rPr>
                <w:rFonts w:ascii="Arial" w:hAnsi="Arial" w:cs="Arial"/>
                <w:b/>
                <w:color w:val="000000"/>
                <w:sz w:val="16"/>
                <w:szCs w:val="16"/>
              </w:rPr>
              <w:t> </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R9801414, </w:t>
            </w:r>
            <w:proofErr w:type="spellStart"/>
            <w:r w:rsidRPr="000A3E7B">
              <w:rPr>
                <w:rFonts w:ascii="Arial" w:hAnsi="Arial" w:cs="Arial"/>
                <w:color w:val="000000"/>
                <w:sz w:val="16"/>
                <w:szCs w:val="16"/>
              </w:rPr>
              <w:t>Barco</w:t>
            </w:r>
            <w:proofErr w:type="spellEnd"/>
            <w:r w:rsidRPr="000A3E7B">
              <w:rPr>
                <w:rFonts w:ascii="Arial" w:hAnsi="Arial" w:cs="Arial"/>
                <w:color w:val="000000"/>
                <w:sz w:val="16"/>
                <w:szCs w:val="16"/>
              </w:rPr>
              <w:t xml:space="preserve"> TLD+ LENS 0.85-1.16  </w:t>
            </w:r>
          </w:p>
        </w:tc>
        <w:tc>
          <w:tcPr>
            <w:tcW w:w="4819" w:type="dxa"/>
            <w:tcBorders>
              <w:top w:val="nil"/>
              <w:left w:val="single" w:sz="4" w:space="0" w:color="auto"/>
              <w:bottom w:val="single" w:sz="4" w:space="0" w:color="auto"/>
              <w:right w:val="single" w:sz="8" w:space="0" w:color="auto"/>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0.85-1.24:1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WUXGA ; 0.92-1.33:1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WQXGA/4KUHD</w:t>
            </w:r>
          </w:p>
        </w:tc>
      </w:tr>
      <w:tr w:rsidR="000A3E7B" w:rsidRPr="000A3E7B" w:rsidTr="000A3E7B">
        <w:trPr>
          <w:trHeight w:val="360"/>
          <w:jc w:val="center"/>
        </w:trPr>
        <w:tc>
          <w:tcPr>
            <w:tcW w:w="1691" w:type="dxa"/>
            <w:tcBorders>
              <w:top w:val="nil"/>
              <w:left w:val="single" w:sz="8" w:space="0" w:color="auto"/>
              <w:bottom w:val="nil"/>
              <w:right w:val="nil"/>
            </w:tcBorders>
            <w:shd w:val="clear" w:color="000000" w:fill="D9D9D9"/>
            <w:vAlign w:val="center"/>
            <w:hideMark/>
          </w:tcPr>
          <w:p w:rsidR="000A3E7B" w:rsidRPr="000A3E7B" w:rsidRDefault="000A3E7B" w:rsidP="00CD1730">
            <w:pPr>
              <w:rPr>
                <w:rFonts w:ascii="Arial" w:hAnsi="Arial" w:cs="Arial"/>
                <w:b/>
                <w:color w:val="000000"/>
                <w:sz w:val="16"/>
                <w:szCs w:val="16"/>
              </w:rPr>
            </w:pPr>
            <w:r w:rsidRPr="000A3E7B">
              <w:rPr>
                <w:rFonts w:ascii="Arial" w:hAnsi="Arial" w:cs="Arial"/>
                <w:b/>
                <w:color w:val="000000"/>
                <w:sz w:val="16"/>
                <w:szCs w:val="16"/>
              </w:rPr>
              <w:t> </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R9862005, </w:t>
            </w:r>
            <w:proofErr w:type="spellStart"/>
            <w:r w:rsidRPr="000A3E7B">
              <w:rPr>
                <w:rFonts w:ascii="Arial" w:hAnsi="Arial" w:cs="Arial"/>
                <w:color w:val="000000"/>
                <w:sz w:val="16"/>
                <w:szCs w:val="16"/>
              </w:rPr>
              <w:t>Barco</w:t>
            </w:r>
            <w:proofErr w:type="spellEnd"/>
            <w:r w:rsidRPr="000A3E7B">
              <w:rPr>
                <w:rFonts w:ascii="Arial" w:hAnsi="Arial" w:cs="Arial"/>
                <w:color w:val="000000"/>
                <w:sz w:val="16"/>
                <w:szCs w:val="16"/>
              </w:rPr>
              <w:t xml:space="preserve"> TLD+ LENS 1.16-1.49  </w:t>
            </w:r>
          </w:p>
        </w:tc>
        <w:tc>
          <w:tcPr>
            <w:tcW w:w="4819" w:type="dxa"/>
            <w:tcBorders>
              <w:top w:val="nil"/>
              <w:left w:val="single" w:sz="4" w:space="0" w:color="auto"/>
              <w:bottom w:val="single" w:sz="4" w:space="0" w:color="auto"/>
              <w:right w:val="single" w:sz="8" w:space="0" w:color="auto"/>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1.16-1.49:1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WUXGA ; 1.24-1.56:1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WQXGA/4KUHD</w:t>
            </w:r>
          </w:p>
        </w:tc>
      </w:tr>
      <w:tr w:rsidR="000A3E7B" w:rsidRPr="000A3E7B" w:rsidTr="000A3E7B">
        <w:trPr>
          <w:trHeight w:val="360"/>
          <w:jc w:val="center"/>
        </w:trPr>
        <w:tc>
          <w:tcPr>
            <w:tcW w:w="1691" w:type="dxa"/>
            <w:tcBorders>
              <w:top w:val="nil"/>
              <w:left w:val="single" w:sz="8" w:space="0" w:color="auto"/>
              <w:bottom w:val="nil"/>
              <w:right w:val="nil"/>
            </w:tcBorders>
            <w:shd w:val="clear" w:color="000000" w:fill="D9D9D9"/>
            <w:vAlign w:val="center"/>
            <w:hideMark/>
          </w:tcPr>
          <w:p w:rsidR="000A3E7B" w:rsidRPr="000A3E7B" w:rsidRDefault="000A3E7B" w:rsidP="00CD1730">
            <w:pPr>
              <w:rPr>
                <w:rFonts w:ascii="Arial" w:hAnsi="Arial" w:cs="Arial"/>
                <w:b/>
                <w:color w:val="000000"/>
                <w:sz w:val="16"/>
                <w:szCs w:val="16"/>
              </w:rPr>
            </w:pPr>
            <w:r w:rsidRPr="000A3E7B">
              <w:rPr>
                <w:rFonts w:ascii="Arial" w:hAnsi="Arial" w:cs="Arial"/>
                <w:b/>
                <w:color w:val="000000"/>
                <w:sz w:val="16"/>
                <w:szCs w:val="16"/>
              </w:rPr>
              <w:t> </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R9862010, </w:t>
            </w:r>
            <w:proofErr w:type="spellStart"/>
            <w:r w:rsidRPr="000A3E7B">
              <w:rPr>
                <w:rFonts w:ascii="Arial" w:hAnsi="Arial" w:cs="Arial"/>
                <w:color w:val="000000"/>
                <w:sz w:val="16"/>
                <w:szCs w:val="16"/>
              </w:rPr>
              <w:t>Barco</w:t>
            </w:r>
            <w:proofErr w:type="spellEnd"/>
            <w:r w:rsidRPr="000A3E7B">
              <w:rPr>
                <w:rFonts w:ascii="Arial" w:hAnsi="Arial" w:cs="Arial"/>
                <w:color w:val="000000"/>
                <w:sz w:val="16"/>
                <w:szCs w:val="16"/>
              </w:rPr>
              <w:t xml:space="preserve"> TLD+ LENS 1.5-2.0  </w:t>
            </w:r>
          </w:p>
        </w:tc>
        <w:tc>
          <w:tcPr>
            <w:tcW w:w="4819" w:type="dxa"/>
            <w:tcBorders>
              <w:top w:val="nil"/>
              <w:left w:val="single" w:sz="4" w:space="0" w:color="auto"/>
              <w:bottom w:val="single" w:sz="4" w:space="0" w:color="auto"/>
              <w:right w:val="single" w:sz="8" w:space="0" w:color="auto"/>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1.39-1.87:1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WUXGA ; 1.48-2.0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WQXGA/4KUHD</w:t>
            </w:r>
          </w:p>
        </w:tc>
      </w:tr>
      <w:tr w:rsidR="000A3E7B" w:rsidRPr="000A3E7B" w:rsidTr="000A3E7B">
        <w:trPr>
          <w:trHeight w:val="360"/>
          <w:jc w:val="center"/>
        </w:trPr>
        <w:tc>
          <w:tcPr>
            <w:tcW w:w="1691" w:type="dxa"/>
            <w:tcBorders>
              <w:top w:val="nil"/>
              <w:left w:val="single" w:sz="8" w:space="0" w:color="auto"/>
              <w:bottom w:val="nil"/>
              <w:right w:val="nil"/>
            </w:tcBorders>
            <w:shd w:val="clear" w:color="000000" w:fill="D9D9D9"/>
            <w:vAlign w:val="center"/>
            <w:hideMark/>
          </w:tcPr>
          <w:p w:rsidR="000A3E7B" w:rsidRPr="000A3E7B" w:rsidRDefault="000A3E7B" w:rsidP="00CD1730">
            <w:pPr>
              <w:rPr>
                <w:rFonts w:ascii="Arial" w:hAnsi="Arial" w:cs="Arial"/>
                <w:b/>
                <w:color w:val="000000"/>
                <w:sz w:val="16"/>
                <w:szCs w:val="16"/>
              </w:rPr>
            </w:pPr>
            <w:r w:rsidRPr="000A3E7B">
              <w:rPr>
                <w:rFonts w:ascii="Arial" w:hAnsi="Arial" w:cs="Arial"/>
                <w:b/>
                <w:color w:val="000000"/>
                <w:sz w:val="16"/>
                <w:szCs w:val="16"/>
              </w:rPr>
              <w:t> </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R9862020, </w:t>
            </w:r>
            <w:proofErr w:type="spellStart"/>
            <w:r w:rsidRPr="000A3E7B">
              <w:rPr>
                <w:rFonts w:ascii="Arial" w:hAnsi="Arial" w:cs="Arial"/>
                <w:color w:val="000000"/>
                <w:sz w:val="16"/>
                <w:szCs w:val="16"/>
              </w:rPr>
              <w:t>Barco</w:t>
            </w:r>
            <w:proofErr w:type="spellEnd"/>
            <w:r w:rsidRPr="000A3E7B">
              <w:rPr>
                <w:rFonts w:ascii="Arial" w:hAnsi="Arial" w:cs="Arial"/>
                <w:color w:val="000000"/>
                <w:sz w:val="16"/>
                <w:szCs w:val="16"/>
              </w:rPr>
              <w:t xml:space="preserve"> TLD+ LENS 2.0-2.8  </w:t>
            </w:r>
          </w:p>
        </w:tc>
        <w:tc>
          <w:tcPr>
            <w:tcW w:w="4819" w:type="dxa"/>
            <w:tcBorders>
              <w:top w:val="nil"/>
              <w:left w:val="single" w:sz="4" w:space="0" w:color="auto"/>
              <w:bottom w:val="single" w:sz="4" w:space="0" w:color="auto"/>
              <w:right w:val="single" w:sz="8" w:space="0" w:color="auto"/>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1.87-2.56:1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WUXGA ; 2.0-2.76:1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WQXGA/4KUHD</w:t>
            </w:r>
          </w:p>
        </w:tc>
      </w:tr>
      <w:tr w:rsidR="000A3E7B" w:rsidRPr="000A3E7B" w:rsidTr="000A3E7B">
        <w:trPr>
          <w:trHeight w:val="360"/>
          <w:jc w:val="center"/>
        </w:trPr>
        <w:tc>
          <w:tcPr>
            <w:tcW w:w="1691" w:type="dxa"/>
            <w:tcBorders>
              <w:top w:val="nil"/>
              <w:left w:val="single" w:sz="8" w:space="0" w:color="auto"/>
              <w:bottom w:val="nil"/>
              <w:right w:val="nil"/>
            </w:tcBorders>
            <w:shd w:val="clear" w:color="000000" w:fill="D9D9D9"/>
            <w:vAlign w:val="center"/>
            <w:hideMark/>
          </w:tcPr>
          <w:p w:rsidR="000A3E7B" w:rsidRPr="000A3E7B" w:rsidRDefault="000A3E7B" w:rsidP="00CD1730">
            <w:pPr>
              <w:rPr>
                <w:rFonts w:ascii="Arial" w:hAnsi="Arial" w:cs="Arial"/>
                <w:b/>
                <w:color w:val="000000"/>
                <w:sz w:val="16"/>
                <w:szCs w:val="16"/>
              </w:rPr>
            </w:pPr>
            <w:r w:rsidRPr="000A3E7B">
              <w:rPr>
                <w:rFonts w:ascii="Arial" w:hAnsi="Arial" w:cs="Arial"/>
                <w:b/>
                <w:color w:val="000000"/>
                <w:sz w:val="16"/>
                <w:szCs w:val="16"/>
              </w:rPr>
              <w:t> </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R9862030, </w:t>
            </w:r>
            <w:proofErr w:type="spellStart"/>
            <w:r w:rsidRPr="000A3E7B">
              <w:rPr>
                <w:rFonts w:ascii="Arial" w:hAnsi="Arial" w:cs="Arial"/>
                <w:color w:val="000000"/>
                <w:sz w:val="16"/>
                <w:szCs w:val="16"/>
              </w:rPr>
              <w:t>Barco</w:t>
            </w:r>
            <w:proofErr w:type="spellEnd"/>
            <w:r w:rsidRPr="000A3E7B">
              <w:rPr>
                <w:rFonts w:ascii="Arial" w:hAnsi="Arial" w:cs="Arial"/>
                <w:color w:val="000000"/>
                <w:sz w:val="16"/>
                <w:szCs w:val="16"/>
              </w:rPr>
              <w:t xml:space="preserve"> TLD+ LENS 2.8-4.5  </w:t>
            </w:r>
          </w:p>
        </w:tc>
        <w:tc>
          <w:tcPr>
            <w:tcW w:w="4819" w:type="dxa"/>
            <w:tcBorders>
              <w:top w:val="nil"/>
              <w:left w:val="single" w:sz="4" w:space="0" w:color="auto"/>
              <w:bottom w:val="single" w:sz="4" w:space="0" w:color="auto"/>
              <w:right w:val="single" w:sz="8" w:space="0" w:color="auto"/>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2.56-4.17:1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WUXGA ; 2.73-4.43:1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WQXGA/4KUHD</w:t>
            </w:r>
          </w:p>
        </w:tc>
      </w:tr>
      <w:tr w:rsidR="000A3E7B" w:rsidRPr="000A3E7B" w:rsidTr="000A3E7B">
        <w:trPr>
          <w:trHeight w:val="360"/>
          <w:jc w:val="center"/>
        </w:trPr>
        <w:tc>
          <w:tcPr>
            <w:tcW w:w="1691" w:type="dxa"/>
            <w:tcBorders>
              <w:top w:val="nil"/>
              <w:left w:val="single" w:sz="8" w:space="0" w:color="auto"/>
              <w:bottom w:val="nil"/>
              <w:right w:val="nil"/>
            </w:tcBorders>
            <w:shd w:val="clear" w:color="000000" w:fill="D9D9D9"/>
            <w:vAlign w:val="center"/>
            <w:hideMark/>
          </w:tcPr>
          <w:p w:rsidR="000A3E7B" w:rsidRPr="000A3E7B" w:rsidRDefault="000A3E7B" w:rsidP="00CD1730">
            <w:pPr>
              <w:rPr>
                <w:rFonts w:ascii="Arial" w:hAnsi="Arial" w:cs="Arial"/>
                <w:b/>
                <w:color w:val="000000"/>
                <w:sz w:val="16"/>
                <w:szCs w:val="16"/>
              </w:rPr>
            </w:pPr>
            <w:r w:rsidRPr="000A3E7B">
              <w:rPr>
                <w:rFonts w:ascii="Arial" w:hAnsi="Arial" w:cs="Arial"/>
                <w:b/>
                <w:color w:val="000000"/>
                <w:sz w:val="16"/>
                <w:szCs w:val="16"/>
              </w:rPr>
              <w:t> </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R9862040, </w:t>
            </w:r>
            <w:proofErr w:type="spellStart"/>
            <w:r w:rsidRPr="000A3E7B">
              <w:rPr>
                <w:rFonts w:ascii="Arial" w:hAnsi="Arial" w:cs="Arial"/>
                <w:color w:val="000000"/>
                <w:sz w:val="16"/>
                <w:szCs w:val="16"/>
              </w:rPr>
              <w:t>Barco</w:t>
            </w:r>
            <w:proofErr w:type="spellEnd"/>
            <w:r w:rsidRPr="000A3E7B">
              <w:rPr>
                <w:rFonts w:ascii="Arial" w:hAnsi="Arial" w:cs="Arial"/>
                <w:color w:val="000000"/>
                <w:sz w:val="16"/>
                <w:szCs w:val="16"/>
              </w:rPr>
              <w:t xml:space="preserve"> TLD+ LENS 4.5-7.5  </w:t>
            </w:r>
          </w:p>
        </w:tc>
        <w:tc>
          <w:tcPr>
            <w:tcW w:w="4819" w:type="dxa"/>
            <w:tcBorders>
              <w:top w:val="nil"/>
              <w:left w:val="single" w:sz="4" w:space="0" w:color="auto"/>
              <w:bottom w:val="single" w:sz="4" w:space="0" w:color="auto"/>
              <w:right w:val="single" w:sz="8" w:space="0" w:color="auto"/>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4.17-6.95:1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WUXGA ; 4.43-7.39:1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WQXGA/4KUHD</w:t>
            </w:r>
          </w:p>
        </w:tc>
      </w:tr>
      <w:tr w:rsidR="000A3E7B" w:rsidRPr="000A3E7B" w:rsidTr="000A3E7B">
        <w:trPr>
          <w:trHeight w:val="360"/>
          <w:jc w:val="center"/>
        </w:trPr>
        <w:tc>
          <w:tcPr>
            <w:tcW w:w="1691" w:type="dxa"/>
            <w:tcBorders>
              <w:top w:val="nil"/>
              <w:left w:val="single" w:sz="8" w:space="0" w:color="auto"/>
              <w:bottom w:val="nil"/>
              <w:right w:val="nil"/>
            </w:tcBorders>
            <w:shd w:val="clear" w:color="000000" w:fill="D9D9D9"/>
            <w:vAlign w:val="center"/>
            <w:hideMark/>
          </w:tcPr>
          <w:p w:rsidR="000A3E7B" w:rsidRPr="000A3E7B" w:rsidRDefault="000A3E7B" w:rsidP="00CD1730">
            <w:pPr>
              <w:rPr>
                <w:rFonts w:ascii="Arial" w:hAnsi="Arial" w:cs="Arial"/>
                <w:b/>
                <w:color w:val="000000"/>
                <w:sz w:val="16"/>
                <w:szCs w:val="16"/>
              </w:rPr>
            </w:pPr>
            <w:r w:rsidRPr="000A3E7B">
              <w:rPr>
                <w:rFonts w:ascii="Arial" w:hAnsi="Arial" w:cs="Arial"/>
                <w:b/>
                <w:color w:val="000000"/>
                <w:sz w:val="16"/>
                <w:szCs w:val="16"/>
              </w:rPr>
              <w:t> </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R9829997, </w:t>
            </w:r>
            <w:proofErr w:type="spellStart"/>
            <w:r w:rsidRPr="000A3E7B">
              <w:rPr>
                <w:rFonts w:ascii="Arial" w:hAnsi="Arial" w:cs="Arial"/>
                <w:color w:val="000000"/>
                <w:sz w:val="16"/>
                <w:szCs w:val="16"/>
              </w:rPr>
              <w:t>Barco</w:t>
            </w:r>
            <w:proofErr w:type="spellEnd"/>
            <w:r w:rsidRPr="000A3E7B">
              <w:rPr>
                <w:rFonts w:ascii="Arial" w:hAnsi="Arial" w:cs="Arial"/>
                <w:color w:val="000000"/>
                <w:sz w:val="16"/>
                <w:szCs w:val="16"/>
              </w:rPr>
              <w:t xml:space="preserve"> TLD+ LENS 7.5-11.2</w:t>
            </w:r>
          </w:p>
        </w:tc>
        <w:tc>
          <w:tcPr>
            <w:tcW w:w="4819" w:type="dxa"/>
            <w:tcBorders>
              <w:top w:val="nil"/>
              <w:left w:val="single" w:sz="4" w:space="0" w:color="auto"/>
              <w:bottom w:val="single" w:sz="4" w:space="0" w:color="auto"/>
              <w:right w:val="single" w:sz="8" w:space="0" w:color="auto"/>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6.93-10.3:1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WUXGA ; 7.39 - 10.8:1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WQXGA/4KUHD</w:t>
            </w:r>
          </w:p>
        </w:tc>
      </w:tr>
      <w:tr w:rsidR="000A3E7B" w:rsidRPr="000A3E7B" w:rsidTr="000A3E7B">
        <w:trPr>
          <w:trHeight w:val="360"/>
          <w:jc w:val="center"/>
        </w:trPr>
        <w:tc>
          <w:tcPr>
            <w:tcW w:w="1691" w:type="dxa"/>
            <w:tcBorders>
              <w:top w:val="nil"/>
              <w:left w:val="single" w:sz="8" w:space="0" w:color="auto"/>
              <w:bottom w:val="nil"/>
              <w:right w:val="nil"/>
            </w:tcBorders>
            <w:shd w:val="clear" w:color="000000" w:fill="D9D9D9"/>
            <w:vAlign w:val="center"/>
            <w:hideMark/>
          </w:tcPr>
          <w:p w:rsidR="000A3E7B" w:rsidRPr="000A3E7B" w:rsidRDefault="000A3E7B" w:rsidP="00CD1730">
            <w:pPr>
              <w:rPr>
                <w:rFonts w:ascii="Arial" w:hAnsi="Arial" w:cs="Arial"/>
                <w:b/>
                <w:color w:val="000000"/>
                <w:sz w:val="16"/>
                <w:szCs w:val="16"/>
              </w:rPr>
            </w:pPr>
            <w:r w:rsidRPr="000A3E7B">
              <w:rPr>
                <w:rFonts w:ascii="Arial" w:hAnsi="Arial" w:cs="Arial"/>
                <w:b/>
                <w:color w:val="000000"/>
                <w:sz w:val="16"/>
                <w:szCs w:val="16"/>
              </w:rPr>
              <w:t> </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R9862001, </w:t>
            </w:r>
            <w:proofErr w:type="spellStart"/>
            <w:r w:rsidRPr="000A3E7B">
              <w:rPr>
                <w:rFonts w:ascii="Arial" w:hAnsi="Arial" w:cs="Arial"/>
                <w:color w:val="000000"/>
                <w:sz w:val="16"/>
                <w:szCs w:val="16"/>
              </w:rPr>
              <w:t>Barco</w:t>
            </w:r>
            <w:proofErr w:type="spellEnd"/>
            <w:r w:rsidRPr="000A3E7B">
              <w:rPr>
                <w:rFonts w:ascii="Arial" w:hAnsi="Arial" w:cs="Arial"/>
                <w:color w:val="000000"/>
                <w:sz w:val="16"/>
                <w:szCs w:val="16"/>
              </w:rPr>
              <w:t xml:space="preserve"> TLD+ LENS 0.65-0.85 UST 90°</w:t>
            </w:r>
          </w:p>
        </w:tc>
        <w:tc>
          <w:tcPr>
            <w:tcW w:w="4819" w:type="dxa"/>
            <w:tcBorders>
              <w:top w:val="nil"/>
              <w:left w:val="single" w:sz="4" w:space="0" w:color="auto"/>
              <w:bottom w:val="single" w:sz="4" w:space="0" w:color="auto"/>
              <w:right w:val="single" w:sz="8" w:space="0" w:color="auto"/>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0.68-0.87:1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WUXGA ; 0.73-0.94:1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WQ/4KUHD</w:t>
            </w:r>
          </w:p>
        </w:tc>
      </w:tr>
      <w:tr w:rsidR="000A3E7B" w:rsidRPr="000A3E7B" w:rsidTr="000A3E7B">
        <w:trPr>
          <w:trHeight w:val="360"/>
          <w:jc w:val="center"/>
        </w:trPr>
        <w:tc>
          <w:tcPr>
            <w:tcW w:w="1691" w:type="dxa"/>
            <w:tcBorders>
              <w:top w:val="nil"/>
              <w:left w:val="single" w:sz="8" w:space="0" w:color="auto"/>
              <w:bottom w:val="nil"/>
              <w:right w:val="nil"/>
            </w:tcBorders>
            <w:shd w:val="clear" w:color="000000" w:fill="D9D9D9"/>
            <w:vAlign w:val="center"/>
            <w:hideMark/>
          </w:tcPr>
          <w:p w:rsidR="000A3E7B" w:rsidRPr="000A3E7B" w:rsidRDefault="000A3E7B" w:rsidP="00CD1730">
            <w:pPr>
              <w:rPr>
                <w:rFonts w:ascii="Arial" w:hAnsi="Arial" w:cs="Arial"/>
                <w:b/>
                <w:color w:val="000000"/>
                <w:sz w:val="16"/>
                <w:szCs w:val="16"/>
              </w:rPr>
            </w:pPr>
            <w:r w:rsidRPr="000A3E7B">
              <w:rPr>
                <w:rFonts w:ascii="Arial" w:hAnsi="Arial" w:cs="Arial"/>
                <w:b/>
                <w:color w:val="000000"/>
                <w:sz w:val="16"/>
                <w:szCs w:val="16"/>
              </w:rPr>
              <w:t> </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R9801661, </w:t>
            </w:r>
            <w:proofErr w:type="spellStart"/>
            <w:r w:rsidRPr="000A3E7B">
              <w:rPr>
                <w:rFonts w:ascii="Arial" w:hAnsi="Arial" w:cs="Arial"/>
                <w:color w:val="000000"/>
                <w:sz w:val="16"/>
                <w:szCs w:val="16"/>
              </w:rPr>
              <w:t>Barco</w:t>
            </w:r>
            <w:proofErr w:type="spellEnd"/>
            <w:r w:rsidRPr="000A3E7B">
              <w:rPr>
                <w:rFonts w:ascii="Arial" w:hAnsi="Arial" w:cs="Arial"/>
                <w:color w:val="000000"/>
                <w:sz w:val="16"/>
                <w:szCs w:val="16"/>
              </w:rPr>
              <w:t xml:space="preserve"> TLD+ LENS 0.38 UST 90°</w:t>
            </w:r>
          </w:p>
        </w:tc>
        <w:tc>
          <w:tcPr>
            <w:tcW w:w="4819" w:type="dxa"/>
            <w:tcBorders>
              <w:top w:val="nil"/>
              <w:left w:val="single" w:sz="4" w:space="0" w:color="auto"/>
              <w:bottom w:val="single" w:sz="4" w:space="0" w:color="auto"/>
              <w:right w:val="single" w:sz="8" w:space="0" w:color="auto"/>
            </w:tcBorders>
            <w:shd w:val="clear" w:color="auto" w:fill="auto"/>
            <w:noWrap/>
            <w:vAlign w:val="center"/>
            <w:hideMark/>
          </w:tcPr>
          <w:p w:rsidR="000A3E7B" w:rsidRPr="000A3E7B" w:rsidRDefault="000A3E7B" w:rsidP="00CD1730">
            <w:pPr>
              <w:rPr>
                <w:rFonts w:ascii="Arial" w:hAnsi="Arial" w:cs="Arial"/>
                <w:color w:val="000000"/>
                <w:sz w:val="16"/>
                <w:szCs w:val="16"/>
              </w:rPr>
            </w:pPr>
            <w:r w:rsidRPr="000A3E7B">
              <w:rPr>
                <w:rFonts w:ascii="Arial" w:hAnsi="Arial" w:cs="Arial"/>
                <w:color w:val="000000"/>
                <w:sz w:val="16"/>
                <w:szCs w:val="16"/>
              </w:rPr>
              <w:t xml:space="preserve">0.40:1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WUXGA ; 0.43:1 </w:t>
            </w:r>
            <w:proofErr w:type="spellStart"/>
            <w:r w:rsidRPr="000A3E7B">
              <w:rPr>
                <w:rFonts w:ascii="Arial" w:hAnsi="Arial" w:cs="Arial"/>
                <w:color w:val="000000"/>
                <w:sz w:val="16"/>
                <w:szCs w:val="16"/>
              </w:rPr>
              <w:t>for</w:t>
            </w:r>
            <w:proofErr w:type="spellEnd"/>
            <w:r w:rsidRPr="000A3E7B">
              <w:rPr>
                <w:rFonts w:ascii="Arial" w:hAnsi="Arial" w:cs="Arial"/>
                <w:color w:val="000000"/>
                <w:sz w:val="16"/>
                <w:szCs w:val="16"/>
              </w:rPr>
              <w:t xml:space="preserve"> WQ/4KUHD</w:t>
            </w:r>
          </w:p>
        </w:tc>
      </w:tr>
      <w:tr w:rsidR="000A3E7B" w:rsidRPr="000A3E7B" w:rsidTr="00CD1730">
        <w:trPr>
          <w:trHeight w:val="804"/>
          <w:jc w:val="center"/>
        </w:trPr>
        <w:tc>
          <w:tcPr>
            <w:tcW w:w="1691" w:type="dxa"/>
            <w:tcBorders>
              <w:top w:val="single" w:sz="4" w:space="0" w:color="auto"/>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jas</w:t>
            </w:r>
          </w:p>
        </w:tc>
        <w:tc>
          <w:tcPr>
            <w:tcW w:w="850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xml:space="preserve">32 000 center lumenů / 31 000 ANSI lumenů / 34 000 ISO lumenů při plném výkonu laseru na 100% (normální režim); </w:t>
            </w:r>
            <w:r w:rsidRPr="000A3E7B">
              <w:rPr>
                <w:rFonts w:ascii="Arial" w:hAnsi="Arial" w:cs="Arial"/>
                <w:color w:val="000000"/>
                <w:sz w:val="18"/>
                <w:szCs w:val="18"/>
              </w:rPr>
              <w:br/>
            </w:r>
            <w:proofErr w:type="spellStart"/>
            <w:r w:rsidRPr="000A3E7B">
              <w:rPr>
                <w:rFonts w:ascii="Arial" w:hAnsi="Arial" w:cs="Arial"/>
                <w:color w:val="000000"/>
                <w:sz w:val="18"/>
                <w:szCs w:val="18"/>
              </w:rPr>
              <w:t>nížší</w:t>
            </w:r>
            <w:proofErr w:type="spellEnd"/>
            <w:r w:rsidRPr="000A3E7B">
              <w:rPr>
                <w:rFonts w:ascii="Arial" w:hAnsi="Arial" w:cs="Arial"/>
                <w:color w:val="000000"/>
                <w:sz w:val="18"/>
                <w:szCs w:val="18"/>
              </w:rPr>
              <w:t xml:space="preserve"> svítivost se v menu projektoru nastavuje libovolně po krocích</w:t>
            </w:r>
          </w:p>
        </w:tc>
      </w:tr>
      <w:tr w:rsidR="000A3E7B" w:rsidRPr="000A3E7B" w:rsidTr="000A3E7B">
        <w:trPr>
          <w:trHeight w:val="408"/>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kontrast</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dynamický 20 000 : 1, standardní 2 200 : 1</w:t>
            </w:r>
          </w:p>
        </w:tc>
        <w:tc>
          <w:tcPr>
            <w:tcW w:w="4819" w:type="dxa"/>
            <w:tcBorders>
              <w:top w:val="nil"/>
              <w:left w:val="nil"/>
              <w:bottom w:val="single" w:sz="4" w:space="0" w:color="auto"/>
              <w:right w:val="single" w:sz="8" w:space="0" w:color="auto"/>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r>
      <w:tr w:rsidR="000A3E7B" w:rsidRPr="000A3E7B" w:rsidTr="000A3E7B">
        <w:trPr>
          <w:trHeight w:val="408"/>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lastRenderedPageBreak/>
              <w:t xml:space="preserve">rozlišení </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1920 x 1200</w:t>
            </w:r>
          </w:p>
        </w:tc>
        <w:tc>
          <w:tcPr>
            <w:tcW w:w="4819" w:type="dxa"/>
            <w:tcBorders>
              <w:top w:val="nil"/>
              <w:left w:val="nil"/>
              <w:bottom w:val="single" w:sz="4" w:space="0" w:color="auto"/>
              <w:right w:val="single" w:sz="8" w:space="0" w:color="auto"/>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r>
      <w:tr w:rsidR="000A3E7B" w:rsidRPr="000A3E7B" w:rsidTr="000A3E7B">
        <w:trPr>
          <w:trHeight w:val="408"/>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podporovaný signál RGB</w:t>
            </w:r>
          </w:p>
        </w:tc>
        <w:tc>
          <w:tcPr>
            <w:tcW w:w="3686" w:type="dxa"/>
            <w:tcBorders>
              <w:top w:val="nil"/>
              <w:left w:val="single" w:sz="4" w:space="0" w:color="auto"/>
              <w:bottom w:val="single" w:sz="4" w:space="0" w:color="auto"/>
              <w:right w:val="nil"/>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XGA - 4K</w:t>
            </w:r>
          </w:p>
        </w:tc>
        <w:tc>
          <w:tcPr>
            <w:tcW w:w="4819" w:type="dxa"/>
            <w:tcBorders>
              <w:top w:val="nil"/>
              <w:left w:val="nil"/>
              <w:bottom w:val="single" w:sz="4" w:space="0" w:color="auto"/>
              <w:right w:val="single" w:sz="8" w:space="0" w:color="auto"/>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r>
      <w:tr w:rsidR="000A3E7B" w:rsidRPr="000A3E7B" w:rsidTr="00CD1730">
        <w:trPr>
          <w:trHeight w:val="408"/>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podporovaný signál video</w:t>
            </w:r>
          </w:p>
        </w:tc>
        <w:tc>
          <w:tcPr>
            <w:tcW w:w="8505"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od formátu NTSC až do rozlišení 4K (4,096 x 2,160)</w:t>
            </w:r>
          </w:p>
        </w:tc>
      </w:tr>
      <w:tr w:rsidR="000A3E7B" w:rsidRPr="000A3E7B" w:rsidTr="00CD1730">
        <w:trPr>
          <w:trHeight w:val="408"/>
          <w:jc w:val="center"/>
        </w:trPr>
        <w:tc>
          <w:tcPr>
            <w:tcW w:w="1691" w:type="dxa"/>
            <w:tcBorders>
              <w:top w:val="nil"/>
              <w:left w:val="single" w:sz="8" w:space="0" w:color="auto"/>
              <w:bottom w:val="single" w:sz="4" w:space="0" w:color="auto"/>
              <w:right w:val="nil"/>
            </w:tcBorders>
            <w:shd w:val="clear" w:color="000000" w:fill="FFD932"/>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optický posun osy</w:t>
            </w:r>
          </w:p>
        </w:tc>
        <w:tc>
          <w:tcPr>
            <w:tcW w:w="850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xml:space="preserve">motorizovaný s možností uložení do paměti jako </w:t>
            </w:r>
            <w:proofErr w:type="spellStart"/>
            <w:r w:rsidRPr="000A3E7B">
              <w:rPr>
                <w:rFonts w:ascii="Arial" w:hAnsi="Arial" w:cs="Arial"/>
                <w:color w:val="000000"/>
                <w:sz w:val="18"/>
                <w:szCs w:val="18"/>
              </w:rPr>
              <w:t>preset</w:t>
            </w:r>
            <w:proofErr w:type="spellEnd"/>
          </w:p>
        </w:tc>
      </w:tr>
      <w:tr w:rsidR="000A3E7B" w:rsidRPr="000A3E7B" w:rsidTr="000A3E7B">
        <w:trPr>
          <w:trHeight w:val="408"/>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vertikální</w:t>
            </w:r>
          </w:p>
        </w:tc>
        <w:tc>
          <w:tcPr>
            <w:tcW w:w="3686" w:type="dxa"/>
            <w:tcBorders>
              <w:top w:val="nil"/>
              <w:left w:val="single" w:sz="4" w:space="0" w:color="auto"/>
              <w:bottom w:val="single" w:sz="4" w:space="0" w:color="auto"/>
              <w:right w:val="nil"/>
            </w:tcBorders>
            <w:shd w:val="clear" w:color="000000" w:fill="F7F7F6"/>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+/- 100%</w:t>
            </w:r>
          </w:p>
        </w:tc>
        <w:tc>
          <w:tcPr>
            <w:tcW w:w="4819" w:type="dxa"/>
            <w:tcBorders>
              <w:top w:val="nil"/>
              <w:left w:val="nil"/>
              <w:bottom w:val="single" w:sz="4" w:space="0" w:color="auto"/>
              <w:right w:val="single" w:sz="8" w:space="0" w:color="auto"/>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r>
      <w:tr w:rsidR="000A3E7B" w:rsidRPr="000A3E7B" w:rsidTr="000A3E7B">
        <w:trPr>
          <w:trHeight w:val="408"/>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horizontální</w:t>
            </w:r>
          </w:p>
        </w:tc>
        <w:tc>
          <w:tcPr>
            <w:tcW w:w="3686" w:type="dxa"/>
            <w:tcBorders>
              <w:top w:val="nil"/>
              <w:left w:val="single" w:sz="4" w:space="0" w:color="auto"/>
              <w:bottom w:val="single" w:sz="4" w:space="0" w:color="auto"/>
              <w:right w:val="nil"/>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+/- 30%</w:t>
            </w:r>
          </w:p>
        </w:tc>
        <w:tc>
          <w:tcPr>
            <w:tcW w:w="4819" w:type="dxa"/>
            <w:tcBorders>
              <w:top w:val="nil"/>
              <w:left w:val="nil"/>
              <w:bottom w:val="single" w:sz="4" w:space="0" w:color="auto"/>
              <w:right w:val="single" w:sz="8" w:space="0" w:color="auto"/>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r>
      <w:tr w:rsidR="000A3E7B" w:rsidRPr="000A3E7B" w:rsidTr="000A3E7B">
        <w:trPr>
          <w:trHeight w:val="612"/>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 xml:space="preserve">rozsah korekce lichoběžníkového </w:t>
            </w:r>
            <w:proofErr w:type="spellStart"/>
            <w:r w:rsidRPr="000A3E7B">
              <w:rPr>
                <w:rFonts w:ascii="Arial" w:hAnsi="Arial" w:cs="Arial"/>
                <w:b/>
                <w:color w:val="000000"/>
                <w:sz w:val="18"/>
                <w:szCs w:val="18"/>
              </w:rPr>
              <w:t>zktreslení</w:t>
            </w:r>
            <w:proofErr w:type="spellEnd"/>
          </w:p>
        </w:tc>
        <w:tc>
          <w:tcPr>
            <w:tcW w:w="3686" w:type="dxa"/>
            <w:tcBorders>
              <w:top w:val="nil"/>
              <w:left w:val="single" w:sz="4" w:space="0" w:color="auto"/>
              <w:bottom w:val="single" w:sz="4" w:space="0" w:color="auto"/>
              <w:right w:val="nil"/>
            </w:tcBorders>
            <w:shd w:val="clear" w:color="000000" w:fill="F7F7F6"/>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vertikální +/- 40%, horizontální +/- 40%</w:t>
            </w:r>
          </w:p>
        </w:tc>
        <w:tc>
          <w:tcPr>
            <w:tcW w:w="4819" w:type="dxa"/>
            <w:tcBorders>
              <w:top w:val="nil"/>
              <w:left w:val="nil"/>
              <w:bottom w:val="single" w:sz="4" w:space="0" w:color="auto"/>
              <w:right w:val="single" w:sz="8" w:space="0" w:color="auto"/>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r>
      <w:tr w:rsidR="000A3E7B" w:rsidRPr="000A3E7B" w:rsidTr="000A3E7B">
        <w:trPr>
          <w:trHeight w:val="408"/>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proofErr w:type="spellStart"/>
            <w:r w:rsidRPr="000A3E7B">
              <w:rPr>
                <w:rFonts w:ascii="Arial" w:hAnsi="Arial" w:cs="Arial"/>
                <w:b/>
                <w:color w:val="000000"/>
                <w:sz w:val="18"/>
                <w:szCs w:val="18"/>
              </w:rPr>
              <w:t>intalace</w:t>
            </w:r>
            <w:proofErr w:type="spellEnd"/>
          </w:p>
        </w:tc>
        <w:tc>
          <w:tcPr>
            <w:tcW w:w="3686" w:type="dxa"/>
            <w:tcBorders>
              <w:top w:val="nil"/>
              <w:left w:val="single" w:sz="4" w:space="0" w:color="auto"/>
              <w:bottom w:val="single" w:sz="4" w:space="0" w:color="auto"/>
              <w:right w:val="nil"/>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strop, podlaha, přední, zadní 360 stupňů</w:t>
            </w:r>
          </w:p>
        </w:tc>
        <w:tc>
          <w:tcPr>
            <w:tcW w:w="4819" w:type="dxa"/>
            <w:tcBorders>
              <w:top w:val="nil"/>
              <w:left w:val="nil"/>
              <w:bottom w:val="single" w:sz="4" w:space="0" w:color="auto"/>
              <w:right w:val="single" w:sz="8" w:space="0" w:color="auto"/>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r>
      <w:tr w:rsidR="000A3E7B" w:rsidRPr="000A3E7B" w:rsidTr="000A3E7B">
        <w:trPr>
          <w:trHeight w:val="408"/>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rozměry</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660 x 350 x 830 mm</w:t>
            </w:r>
          </w:p>
        </w:tc>
        <w:tc>
          <w:tcPr>
            <w:tcW w:w="4819" w:type="dxa"/>
            <w:tcBorders>
              <w:top w:val="nil"/>
              <w:left w:val="nil"/>
              <w:bottom w:val="single" w:sz="4" w:space="0" w:color="auto"/>
              <w:right w:val="single" w:sz="8" w:space="0" w:color="auto"/>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r>
      <w:tr w:rsidR="000A3E7B" w:rsidRPr="000A3E7B" w:rsidTr="000A3E7B">
        <w:trPr>
          <w:trHeight w:val="408"/>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hmotnost</w:t>
            </w:r>
          </w:p>
        </w:tc>
        <w:tc>
          <w:tcPr>
            <w:tcW w:w="3686"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92kg</w:t>
            </w:r>
          </w:p>
        </w:tc>
        <w:tc>
          <w:tcPr>
            <w:tcW w:w="4819" w:type="dxa"/>
            <w:tcBorders>
              <w:top w:val="nil"/>
              <w:left w:val="nil"/>
              <w:bottom w:val="single" w:sz="4" w:space="0" w:color="auto"/>
              <w:right w:val="single" w:sz="8" w:space="0" w:color="auto"/>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w:t>
            </w:r>
          </w:p>
        </w:tc>
      </w:tr>
      <w:tr w:rsidR="000A3E7B" w:rsidRPr="000A3E7B" w:rsidTr="00CD1730">
        <w:trPr>
          <w:trHeight w:val="876"/>
          <w:jc w:val="center"/>
        </w:trPr>
        <w:tc>
          <w:tcPr>
            <w:tcW w:w="1691" w:type="dxa"/>
            <w:tcBorders>
              <w:top w:val="nil"/>
              <w:left w:val="single" w:sz="8" w:space="0" w:color="auto"/>
              <w:bottom w:val="single" w:sz="4"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provozní hluk</w:t>
            </w:r>
          </w:p>
        </w:tc>
        <w:tc>
          <w:tcPr>
            <w:tcW w:w="850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49dB(A) při měření ze vzdálenosti 1,5 m</w:t>
            </w:r>
            <w:r w:rsidRPr="000A3E7B">
              <w:rPr>
                <w:rFonts w:ascii="Arial" w:hAnsi="Arial" w:cs="Arial"/>
                <w:color w:val="000000"/>
                <w:sz w:val="18"/>
                <w:szCs w:val="18"/>
              </w:rPr>
              <w:br/>
            </w:r>
            <w:r w:rsidRPr="000A3E7B">
              <w:rPr>
                <w:rFonts w:ascii="Arial" w:hAnsi="Arial" w:cs="Arial"/>
                <w:color w:val="808080"/>
                <w:sz w:val="18"/>
                <w:szCs w:val="18"/>
              </w:rPr>
              <w:t>(52dB(A) referenční měření ze vzdálenosti 1,2 m při teplotě 25°C)</w:t>
            </w:r>
          </w:p>
        </w:tc>
      </w:tr>
      <w:tr w:rsidR="000A3E7B" w:rsidRPr="000A3E7B" w:rsidTr="00CD1730">
        <w:trPr>
          <w:trHeight w:val="408"/>
          <w:jc w:val="center"/>
        </w:trPr>
        <w:tc>
          <w:tcPr>
            <w:tcW w:w="1691" w:type="dxa"/>
            <w:tcBorders>
              <w:top w:val="nil"/>
              <w:left w:val="single" w:sz="8" w:space="0" w:color="auto"/>
              <w:bottom w:val="single" w:sz="8" w:space="0" w:color="auto"/>
              <w:right w:val="nil"/>
            </w:tcBorders>
            <w:shd w:val="clear" w:color="000000" w:fill="D9D9D9"/>
            <w:hideMark/>
          </w:tcPr>
          <w:p w:rsidR="000A3E7B" w:rsidRPr="000A3E7B" w:rsidRDefault="000A3E7B" w:rsidP="00CD1730">
            <w:pPr>
              <w:rPr>
                <w:rFonts w:ascii="Arial" w:hAnsi="Arial" w:cs="Arial"/>
                <w:b/>
                <w:color w:val="000000"/>
                <w:sz w:val="18"/>
                <w:szCs w:val="18"/>
              </w:rPr>
            </w:pPr>
            <w:r w:rsidRPr="000A3E7B">
              <w:rPr>
                <w:rFonts w:ascii="Arial" w:hAnsi="Arial" w:cs="Arial"/>
                <w:b/>
                <w:color w:val="000000"/>
                <w:sz w:val="18"/>
                <w:szCs w:val="18"/>
              </w:rPr>
              <w:t>operační prostředí</w:t>
            </w:r>
          </w:p>
        </w:tc>
        <w:tc>
          <w:tcPr>
            <w:tcW w:w="8505" w:type="dxa"/>
            <w:gridSpan w:val="2"/>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0A3E7B" w:rsidRPr="000A3E7B" w:rsidRDefault="000A3E7B" w:rsidP="00CD1730">
            <w:pPr>
              <w:rPr>
                <w:rFonts w:ascii="Arial" w:hAnsi="Arial" w:cs="Arial"/>
                <w:color w:val="000000"/>
                <w:sz w:val="18"/>
                <w:szCs w:val="18"/>
              </w:rPr>
            </w:pPr>
            <w:r w:rsidRPr="000A3E7B">
              <w:rPr>
                <w:rFonts w:ascii="Arial" w:hAnsi="Arial" w:cs="Arial"/>
                <w:color w:val="000000"/>
                <w:sz w:val="18"/>
                <w:szCs w:val="18"/>
              </w:rPr>
              <w:t xml:space="preserve">0-40°C standardně; &gt;40°C při sníženém výkonu, avšak </w:t>
            </w:r>
            <w:proofErr w:type="spellStart"/>
            <w:r w:rsidRPr="000A3E7B">
              <w:rPr>
                <w:rFonts w:ascii="Arial" w:hAnsi="Arial" w:cs="Arial"/>
                <w:color w:val="000000"/>
                <w:sz w:val="18"/>
                <w:szCs w:val="18"/>
              </w:rPr>
              <w:t>max</w:t>
            </w:r>
            <w:proofErr w:type="spellEnd"/>
            <w:r w:rsidRPr="000A3E7B">
              <w:rPr>
                <w:rFonts w:ascii="Arial" w:hAnsi="Arial" w:cs="Arial"/>
                <w:color w:val="000000"/>
                <w:sz w:val="18"/>
                <w:szCs w:val="18"/>
              </w:rPr>
              <w:t xml:space="preserve"> do 50°C</w:t>
            </w:r>
          </w:p>
        </w:tc>
      </w:tr>
    </w:tbl>
    <w:p w:rsidR="000A3E7B" w:rsidRPr="000A3E7B" w:rsidRDefault="000A3E7B" w:rsidP="000A3E7B">
      <w:pPr>
        <w:rPr>
          <w:rFonts w:ascii="Arial" w:hAnsi="Arial" w:cs="Arial"/>
          <w:sz w:val="20"/>
          <w:szCs w:val="20"/>
        </w:rPr>
      </w:pPr>
    </w:p>
    <w:p w:rsidR="000A3E7B" w:rsidRPr="000A3E7B" w:rsidRDefault="000A3E7B" w:rsidP="000A3E7B">
      <w:pPr>
        <w:rPr>
          <w:rFonts w:ascii="Arial" w:hAnsi="Arial" w:cs="Arial"/>
          <w:sz w:val="20"/>
          <w:szCs w:val="20"/>
        </w:rPr>
      </w:pPr>
    </w:p>
    <w:p w:rsidR="000A3E7B" w:rsidRPr="000A3E7B" w:rsidRDefault="000A3E7B" w:rsidP="000A3E7B">
      <w:pPr>
        <w:rPr>
          <w:rFonts w:ascii="Arial" w:hAnsi="Arial" w:cs="Arial"/>
          <w:sz w:val="20"/>
          <w:szCs w:val="20"/>
        </w:rPr>
      </w:pPr>
    </w:p>
    <w:p w:rsidR="000A3E7B" w:rsidRPr="000A3E7B" w:rsidRDefault="000A3E7B" w:rsidP="000A3E7B">
      <w:pPr>
        <w:rPr>
          <w:rFonts w:ascii="Arial" w:hAnsi="Arial" w:cs="Arial"/>
          <w:sz w:val="20"/>
          <w:szCs w:val="20"/>
          <w:u w:val="single"/>
        </w:rPr>
      </w:pPr>
      <w:r w:rsidRPr="000A3E7B">
        <w:rPr>
          <w:rFonts w:ascii="Arial" w:hAnsi="Arial" w:cs="Arial"/>
          <w:sz w:val="20"/>
          <w:szCs w:val="20"/>
          <w:u w:val="single"/>
        </w:rPr>
        <w:t>Specifikace objektivu pro video projektor</w:t>
      </w:r>
    </w:p>
    <w:p w:rsidR="000A3E7B" w:rsidRPr="000A3E7B" w:rsidRDefault="000A3E7B" w:rsidP="000A3E7B">
      <w:pPr>
        <w:rPr>
          <w:rFonts w:ascii="Arial" w:hAnsi="Arial" w:cs="Arial"/>
          <w:sz w:val="20"/>
          <w:szCs w:val="20"/>
        </w:rPr>
      </w:pPr>
    </w:p>
    <w:p w:rsidR="000A3E7B" w:rsidRPr="000A3E7B" w:rsidRDefault="000A3E7B" w:rsidP="000A3E7B">
      <w:pPr>
        <w:rPr>
          <w:rFonts w:ascii="Arial" w:hAnsi="Arial" w:cs="Arial"/>
          <w:sz w:val="20"/>
          <w:szCs w:val="20"/>
        </w:rPr>
      </w:pPr>
      <w:r w:rsidRPr="000A3E7B">
        <w:rPr>
          <w:rFonts w:ascii="Arial" w:hAnsi="Arial" w:cs="Arial"/>
          <w:sz w:val="20"/>
          <w:szCs w:val="20"/>
        </w:rPr>
        <w:t>Zoom</w:t>
      </w:r>
    </w:p>
    <w:p w:rsidR="000A3E7B" w:rsidRPr="000A3E7B" w:rsidRDefault="000A3E7B" w:rsidP="000A3E7B">
      <w:pPr>
        <w:rPr>
          <w:rFonts w:ascii="Arial" w:hAnsi="Arial" w:cs="Arial"/>
          <w:sz w:val="20"/>
          <w:szCs w:val="20"/>
        </w:rPr>
      </w:pPr>
      <w:r w:rsidRPr="000A3E7B">
        <w:rPr>
          <w:rFonts w:ascii="Arial" w:hAnsi="Arial" w:cs="Arial"/>
          <w:sz w:val="20"/>
          <w:szCs w:val="20"/>
        </w:rPr>
        <w:t>Projekční vzdálenost  - 24,80 m</w:t>
      </w:r>
    </w:p>
    <w:p w:rsidR="000A3E7B" w:rsidRPr="000A3E7B" w:rsidRDefault="000A3E7B" w:rsidP="000A3E7B">
      <w:pPr>
        <w:rPr>
          <w:rFonts w:ascii="Arial" w:hAnsi="Arial" w:cs="Arial"/>
          <w:sz w:val="20"/>
          <w:szCs w:val="20"/>
        </w:rPr>
      </w:pPr>
      <w:r w:rsidRPr="000A3E7B">
        <w:rPr>
          <w:rFonts w:ascii="Arial" w:hAnsi="Arial" w:cs="Arial"/>
          <w:sz w:val="20"/>
          <w:szCs w:val="20"/>
        </w:rPr>
        <w:t xml:space="preserve">Na uvedenou </w:t>
      </w:r>
      <w:proofErr w:type="gramStart"/>
      <w:r w:rsidRPr="000A3E7B">
        <w:rPr>
          <w:rFonts w:ascii="Arial" w:hAnsi="Arial" w:cs="Arial"/>
          <w:sz w:val="20"/>
          <w:szCs w:val="20"/>
        </w:rPr>
        <w:t>vzdálenost  požadovaná</w:t>
      </w:r>
      <w:proofErr w:type="gramEnd"/>
      <w:r w:rsidRPr="000A3E7B">
        <w:rPr>
          <w:rFonts w:ascii="Arial" w:hAnsi="Arial" w:cs="Arial"/>
          <w:sz w:val="20"/>
          <w:szCs w:val="20"/>
        </w:rPr>
        <w:t xml:space="preserve"> velikost obrázku – šířka 14</w:t>
      </w:r>
      <w:r>
        <w:rPr>
          <w:rFonts w:ascii="Arial" w:hAnsi="Arial" w:cs="Arial"/>
          <w:sz w:val="20"/>
          <w:szCs w:val="20"/>
        </w:rPr>
        <w:t xml:space="preserve">,0 </w:t>
      </w:r>
      <w:r w:rsidRPr="000A3E7B">
        <w:rPr>
          <w:rFonts w:ascii="Arial" w:hAnsi="Arial" w:cs="Arial"/>
          <w:sz w:val="20"/>
          <w:szCs w:val="20"/>
        </w:rPr>
        <w:t>m x výška 8,70 m</w:t>
      </w:r>
    </w:p>
    <w:p w:rsidR="000A3E7B" w:rsidRPr="000A3E7B" w:rsidRDefault="000A3E7B" w:rsidP="000A3E7B">
      <w:pPr>
        <w:rPr>
          <w:rFonts w:ascii="Arial" w:hAnsi="Arial" w:cs="Arial"/>
          <w:sz w:val="20"/>
          <w:szCs w:val="20"/>
        </w:rPr>
      </w:pPr>
    </w:p>
    <w:tbl>
      <w:tblPr>
        <w:tblW w:w="9640" w:type="dxa"/>
        <w:jc w:val="center"/>
        <w:tblCellMar>
          <w:left w:w="70" w:type="dxa"/>
          <w:right w:w="70" w:type="dxa"/>
        </w:tblCellMar>
        <w:tblLook w:val="04A0" w:firstRow="1" w:lastRow="0" w:firstColumn="1" w:lastColumn="0" w:noHBand="0" w:noVBand="1"/>
      </w:tblPr>
      <w:tblGrid>
        <w:gridCol w:w="3681"/>
        <w:gridCol w:w="5959"/>
      </w:tblGrid>
      <w:tr w:rsidR="000A3E7B" w:rsidRPr="000A3E7B" w:rsidTr="000A3E7B">
        <w:trPr>
          <w:trHeight w:val="766"/>
          <w:jc w:val="center"/>
        </w:trPr>
        <w:tc>
          <w:tcPr>
            <w:tcW w:w="3681" w:type="dxa"/>
            <w:tcBorders>
              <w:top w:val="nil"/>
              <w:left w:val="single" w:sz="4" w:space="0" w:color="auto"/>
              <w:bottom w:val="single" w:sz="4" w:space="0" w:color="auto"/>
              <w:right w:val="nil"/>
            </w:tcBorders>
            <w:shd w:val="clear" w:color="auto" w:fill="auto"/>
            <w:noWrap/>
            <w:vAlign w:val="center"/>
            <w:hideMark/>
          </w:tcPr>
          <w:p w:rsidR="000A3E7B" w:rsidRPr="000A3E7B" w:rsidRDefault="000A3E7B" w:rsidP="00CD1730">
            <w:pPr>
              <w:rPr>
                <w:rFonts w:ascii="Arial" w:hAnsi="Arial" w:cs="Arial"/>
                <w:b/>
                <w:color w:val="000000"/>
                <w:sz w:val="20"/>
                <w:szCs w:val="20"/>
              </w:rPr>
            </w:pPr>
            <w:r w:rsidRPr="000A3E7B">
              <w:rPr>
                <w:rFonts w:ascii="Arial" w:hAnsi="Arial" w:cs="Arial"/>
                <w:b/>
                <w:color w:val="000000"/>
                <w:sz w:val="20"/>
                <w:szCs w:val="20"/>
              </w:rPr>
              <w:t xml:space="preserve">R9862010, </w:t>
            </w:r>
            <w:proofErr w:type="spellStart"/>
            <w:r w:rsidRPr="000A3E7B">
              <w:rPr>
                <w:rFonts w:ascii="Arial" w:hAnsi="Arial" w:cs="Arial"/>
                <w:b/>
                <w:color w:val="000000"/>
                <w:sz w:val="20"/>
                <w:szCs w:val="20"/>
              </w:rPr>
              <w:t>Barco</w:t>
            </w:r>
            <w:proofErr w:type="spellEnd"/>
            <w:r w:rsidRPr="000A3E7B">
              <w:rPr>
                <w:rFonts w:ascii="Arial" w:hAnsi="Arial" w:cs="Arial"/>
                <w:b/>
                <w:color w:val="000000"/>
                <w:sz w:val="20"/>
                <w:szCs w:val="20"/>
              </w:rPr>
              <w:t xml:space="preserve"> TLD+ LENS 1.5-2.0  </w:t>
            </w:r>
          </w:p>
        </w:tc>
        <w:tc>
          <w:tcPr>
            <w:tcW w:w="5959" w:type="dxa"/>
            <w:tcBorders>
              <w:top w:val="nil"/>
              <w:left w:val="single" w:sz="4" w:space="0" w:color="auto"/>
              <w:bottom w:val="single" w:sz="4" w:space="0" w:color="auto"/>
              <w:right w:val="single" w:sz="8" w:space="0" w:color="auto"/>
            </w:tcBorders>
            <w:shd w:val="clear" w:color="auto" w:fill="auto"/>
            <w:noWrap/>
            <w:vAlign w:val="center"/>
            <w:hideMark/>
          </w:tcPr>
          <w:p w:rsidR="000A3E7B" w:rsidRPr="000A3E7B" w:rsidRDefault="000A3E7B" w:rsidP="00CD1730">
            <w:pPr>
              <w:rPr>
                <w:rFonts w:ascii="Arial" w:hAnsi="Arial" w:cs="Arial"/>
                <w:b/>
                <w:color w:val="000000"/>
                <w:sz w:val="20"/>
                <w:szCs w:val="20"/>
              </w:rPr>
            </w:pPr>
            <w:r w:rsidRPr="000A3E7B">
              <w:rPr>
                <w:rFonts w:ascii="Arial" w:hAnsi="Arial" w:cs="Arial"/>
                <w:b/>
                <w:color w:val="000000"/>
                <w:sz w:val="20"/>
                <w:szCs w:val="20"/>
              </w:rPr>
              <w:t xml:space="preserve">1.39-1.87:1 </w:t>
            </w:r>
            <w:proofErr w:type="spellStart"/>
            <w:r w:rsidRPr="000A3E7B">
              <w:rPr>
                <w:rFonts w:ascii="Arial" w:hAnsi="Arial" w:cs="Arial"/>
                <w:b/>
                <w:color w:val="000000"/>
                <w:sz w:val="20"/>
                <w:szCs w:val="20"/>
              </w:rPr>
              <w:t>for</w:t>
            </w:r>
            <w:proofErr w:type="spellEnd"/>
            <w:r w:rsidRPr="000A3E7B">
              <w:rPr>
                <w:rFonts w:ascii="Arial" w:hAnsi="Arial" w:cs="Arial"/>
                <w:b/>
                <w:color w:val="000000"/>
                <w:sz w:val="20"/>
                <w:szCs w:val="20"/>
              </w:rPr>
              <w:t xml:space="preserve"> WUXGA ; 1.48-2.0 </w:t>
            </w:r>
            <w:proofErr w:type="spellStart"/>
            <w:r w:rsidRPr="000A3E7B">
              <w:rPr>
                <w:rFonts w:ascii="Arial" w:hAnsi="Arial" w:cs="Arial"/>
                <w:b/>
                <w:color w:val="000000"/>
                <w:sz w:val="20"/>
                <w:szCs w:val="20"/>
              </w:rPr>
              <w:t>for</w:t>
            </w:r>
            <w:proofErr w:type="spellEnd"/>
            <w:r w:rsidRPr="000A3E7B">
              <w:rPr>
                <w:rFonts w:ascii="Arial" w:hAnsi="Arial" w:cs="Arial"/>
                <w:b/>
                <w:color w:val="000000"/>
                <w:sz w:val="20"/>
                <w:szCs w:val="20"/>
              </w:rPr>
              <w:t xml:space="preserve"> WQXGA/4KUHD</w:t>
            </w:r>
          </w:p>
        </w:tc>
      </w:tr>
    </w:tbl>
    <w:p w:rsidR="000A3E7B" w:rsidRPr="000A3E7B" w:rsidRDefault="000A3E7B" w:rsidP="000A3E7B">
      <w:pPr>
        <w:rPr>
          <w:rFonts w:ascii="Arial" w:hAnsi="Arial" w:cs="Arial"/>
          <w:sz w:val="20"/>
          <w:szCs w:val="20"/>
        </w:rPr>
      </w:pPr>
    </w:p>
    <w:p w:rsidR="00163834" w:rsidRPr="000A3E7B" w:rsidRDefault="00163834" w:rsidP="00D421F7">
      <w:pPr>
        <w:tabs>
          <w:tab w:val="left" w:pos="4962"/>
        </w:tabs>
        <w:rPr>
          <w:rFonts w:ascii="Arial" w:hAnsi="Arial" w:cs="Arial"/>
          <w:sz w:val="20"/>
          <w:szCs w:val="20"/>
        </w:rPr>
      </w:pPr>
    </w:p>
    <w:sectPr w:rsidR="00163834" w:rsidRPr="000A3E7B" w:rsidSect="00714CEF">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2C" w:rsidRDefault="0028362C" w:rsidP="005B1606">
      <w:r>
        <w:separator/>
      </w:r>
    </w:p>
  </w:endnote>
  <w:endnote w:type="continuationSeparator" w:id="0">
    <w:p w:rsidR="0028362C" w:rsidRDefault="0028362C"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3" w:rsidRPr="00D421F7" w:rsidRDefault="00B677E9">
    <w:pPr>
      <w:pStyle w:val="Zpat"/>
      <w:jc w:val="right"/>
      <w:rPr>
        <w:rFonts w:ascii="Arial" w:hAnsi="Arial" w:cs="Arial"/>
        <w:sz w:val="18"/>
        <w:szCs w:val="18"/>
      </w:rPr>
    </w:pPr>
    <w:r w:rsidRPr="00D421F7">
      <w:rPr>
        <w:rFonts w:ascii="Arial" w:hAnsi="Arial" w:cs="Arial"/>
        <w:sz w:val="18"/>
        <w:szCs w:val="18"/>
      </w:rPr>
      <w:fldChar w:fldCharType="begin"/>
    </w:r>
    <w:r w:rsidR="00DA42E2" w:rsidRPr="00D421F7">
      <w:rPr>
        <w:rFonts w:ascii="Arial" w:hAnsi="Arial" w:cs="Arial"/>
        <w:sz w:val="18"/>
        <w:szCs w:val="18"/>
      </w:rPr>
      <w:instrText xml:space="preserve"> PAGE </w:instrText>
    </w:r>
    <w:r w:rsidRPr="00D421F7">
      <w:rPr>
        <w:rFonts w:ascii="Arial" w:hAnsi="Arial" w:cs="Arial"/>
        <w:sz w:val="18"/>
        <w:szCs w:val="18"/>
      </w:rPr>
      <w:fldChar w:fldCharType="separate"/>
    </w:r>
    <w:r w:rsidR="000976B3">
      <w:rPr>
        <w:rFonts w:ascii="Arial" w:hAnsi="Arial" w:cs="Arial"/>
        <w:noProof/>
        <w:sz w:val="18"/>
        <w:szCs w:val="18"/>
      </w:rPr>
      <w:t>5</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2C" w:rsidRDefault="0028362C" w:rsidP="005B1606">
      <w:r>
        <w:separator/>
      </w:r>
    </w:p>
  </w:footnote>
  <w:footnote w:type="continuationSeparator" w:id="0">
    <w:p w:rsidR="0028362C" w:rsidRDefault="0028362C"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61AC5"/>
    <w:rsid w:val="000646BF"/>
    <w:rsid w:val="0008264C"/>
    <w:rsid w:val="000976B3"/>
    <w:rsid w:val="000A3E7B"/>
    <w:rsid w:val="000A47FC"/>
    <w:rsid w:val="000B3014"/>
    <w:rsid w:val="000D65B9"/>
    <w:rsid w:val="000E227A"/>
    <w:rsid w:val="001133BA"/>
    <w:rsid w:val="00163834"/>
    <w:rsid w:val="001654E4"/>
    <w:rsid w:val="001731F3"/>
    <w:rsid w:val="00173B24"/>
    <w:rsid w:val="001B1BD2"/>
    <w:rsid w:val="00230D2B"/>
    <w:rsid w:val="00237707"/>
    <w:rsid w:val="00280227"/>
    <w:rsid w:val="0028362C"/>
    <w:rsid w:val="002E0DA7"/>
    <w:rsid w:val="002E6FA1"/>
    <w:rsid w:val="002F6C50"/>
    <w:rsid w:val="00303793"/>
    <w:rsid w:val="00306D81"/>
    <w:rsid w:val="0031190D"/>
    <w:rsid w:val="00332623"/>
    <w:rsid w:val="00382DA2"/>
    <w:rsid w:val="003A6A00"/>
    <w:rsid w:val="003B3634"/>
    <w:rsid w:val="003C437E"/>
    <w:rsid w:val="003C7561"/>
    <w:rsid w:val="0044748D"/>
    <w:rsid w:val="00452A92"/>
    <w:rsid w:val="00473F2E"/>
    <w:rsid w:val="00475662"/>
    <w:rsid w:val="0047796E"/>
    <w:rsid w:val="004B4B11"/>
    <w:rsid w:val="005670A2"/>
    <w:rsid w:val="00591D54"/>
    <w:rsid w:val="005B1606"/>
    <w:rsid w:val="005B4713"/>
    <w:rsid w:val="005B55F3"/>
    <w:rsid w:val="005C6C27"/>
    <w:rsid w:val="005D1FE8"/>
    <w:rsid w:val="0064549D"/>
    <w:rsid w:val="006B1600"/>
    <w:rsid w:val="006C16A7"/>
    <w:rsid w:val="006C26BF"/>
    <w:rsid w:val="00714CEF"/>
    <w:rsid w:val="0072008A"/>
    <w:rsid w:val="007232A1"/>
    <w:rsid w:val="007525DA"/>
    <w:rsid w:val="00755CAF"/>
    <w:rsid w:val="007620E1"/>
    <w:rsid w:val="00783E7B"/>
    <w:rsid w:val="007A200A"/>
    <w:rsid w:val="007C3CE4"/>
    <w:rsid w:val="007D3BC0"/>
    <w:rsid w:val="00826438"/>
    <w:rsid w:val="00854EF8"/>
    <w:rsid w:val="00866A70"/>
    <w:rsid w:val="008A77B5"/>
    <w:rsid w:val="008C4D53"/>
    <w:rsid w:val="008D02A7"/>
    <w:rsid w:val="008D22F4"/>
    <w:rsid w:val="008E25CF"/>
    <w:rsid w:val="00933BCE"/>
    <w:rsid w:val="00936221"/>
    <w:rsid w:val="00940BFD"/>
    <w:rsid w:val="009808B8"/>
    <w:rsid w:val="009A3ECC"/>
    <w:rsid w:val="00A01FF8"/>
    <w:rsid w:val="00A40B40"/>
    <w:rsid w:val="00A44B26"/>
    <w:rsid w:val="00A87F06"/>
    <w:rsid w:val="00AA2E98"/>
    <w:rsid w:val="00AA5CCC"/>
    <w:rsid w:val="00AA63A7"/>
    <w:rsid w:val="00AB725B"/>
    <w:rsid w:val="00B03A08"/>
    <w:rsid w:val="00B263D9"/>
    <w:rsid w:val="00B3039C"/>
    <w:rsid w:val="00B32A9B"/>
    <w:rsid w:val="00B43535"/>
    <w:rsid w:val="00B677E9"/>
    <w:rsid w:val="00B7543F"/>
    <w:rsid w:val="00B80249"/>
    <w:rsid w:val="00B819D2"/>
    <w:rsid w:val="00B8689D"/>
    <w:rsid w:val="00B95FFB"/>
    <w:rsid w:val="00BA1659"/>
    <w:rsid w:val="00BD4E39"/>
    <w:rsid w:val="00C02B19"/>
    <w:rsid w:val="00C15929"/>
    <w:rsid w:val="00C23D55"/>
    <w:rsid w:val="00C36E77"/>
    <w:rsid w:val="00C62D60"/>
    <w:rsid w:val="00C638CA"/>
    <w:rsid w:val="00C862B9"/>
    <w:rsid w:val="00C91120"/>
    <w:rsid w:val="00C97D5C"/>
    <w:rsid w:val="00CA0C32"/>
    <w:rsid w:val="00CD78AB"/>
    <w:rsid w:val="00D10286"/>
    <w:rsid w:val="00D1107E"/>
    <w:rsid w:val="00D421F7"/>
    <w:rsid w:val="00D42B3D"/>
    <w:rsid w:val="00D50EE3"/>
    <w:rsid w:val="00D62E70"/>
    <w:rsid w:val="00D76CE7"/>
    <w:rsid w:val="00D77646"/>
    <w:rsid w:val="00D8145C"/>
    <w:rsid w:val="00D94C78"/>
    <w:rsid w:val="00DA42E2"/>
    <w:rsid w:val="00DA5618"/>
    <w:rsid w:val="00DF4FB7"/>
    <w:rsid w:val="00E00054"/>
    <w:rsid w:val="00E112EC"/>
    <w:rsid w:val="00E401F7"/>
    <w:rsid w:val="00E45DAD"/>
    <w:rsid w:val="00E5592C"/>
    <w:rsid w:val="00E71F72"/>
    <w:rsid w:val="00E85A45"/>
    <w:rsid w:val="00E91ADA"/>
    <w:rsid w:val="00EF229E"/>
    <w:rsid w:val="00F04967"/>
    <w:rsid w:val="00F457A7"/>
    <w:rsid w:val="00F5147F"/>
    <w:rsid w:val="00F60595"/>
    <w:rsid w:val="00F61F22"/>
    <w:rsid w:val="00F75F6D"/>
    <w:rsid w:val="00FA1D6D"/>
    <w:rsid w:val="00FB69A9"/>
    <w:rsid w:val="00FB6A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C86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7632">
      <w:bodyDiv w:val="1"/>
      <w:marLeft w:val="0"/>
      <w:marRight w:val="0"/>
      <w:marTop w:val="0"/>
      <w:marBottom w:val="0"/>
      <w:divBdr>
        <w:top w:val="none" w:sz="0" w:space="0" w:color="auto"/>
        <w:left w:val="none" w:sz="0" w:space="0" w:color="auto"/>
        <w:bottom w:val="none" w:sz="0" w:space="0" w:color="auto"/>
        <w:right w:val="none" w:sz="0" w:space="0" w:color="auto"/>
      </w:divBdr>
    </w:div>
    <w:div w:id="18399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7697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2021-01-14T16:49:00Z</dcterms:created>
  <dcterms:modified xsi:type="dcterms:W3CDTF">2021-01-14T16:52:00Z</dcterms:modified>
</cp:coreProperties>
</file>