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6C8FA" w14:textId="77777777" w:rsidR="00F939F6" w:rsidRDefault="00FF747A">
      <w:pPr>
        <w:jc w:val="center"/>
        <w:rPr>
          <w:caps/>
          <w:spacing w:val="100"/>
          <w:sz w:val="32"/>
        </w:rPr>
      </w:pPr>
      <w:r w:rsidRPr="00CF68BB">
        <w:rPr>
          <w:caps/>
          <w:spacing w:val="100"/>
          <w:sz w:val="32"/>
        </w:rPr>
        <w:t>SmlouVA o POSKYTOVÁNÍ S</w:t>
      </w:r>
      <w:r w:rsidR="00696E3F">
        <w:rPr>
          <w:caps/>
          <w:spacing w:val="100"/>
          <w:sz w:val="32"/>
        </w:rPr>
        <w:t>ervisu</w:t>
      </w:r>
    </w:p>
    <w:p w14:paraId="1B88FE35" w14:textId="77777777" w:rsidR="00FF747A" w:rsidRDefault="00FF747A">
      <w:pPr>
        <w:jc w:val="center"/>
        <w:rPr>
          <w:caps/>
          <w:spacing w:val="100"/>
          <w:sz w:val="32"/>
        </w:rPr>
      </w:pPr>
    </w:p>
    <w:p w14:paraId="718D0A7F" w14:textId="77777777" w:rsidR="00FF747A" w:rsidRPr="00CF68BB" w:rsidRDefault="00FF747A" w:rsidP="00FF747A">
      <w:pPr>
        <w:pStyle w:val="Zkladntext"/>
        <w:spacing w:beforeLines="20" w:before="48"/>
        <w:jc w:val="center"/>
      </w:pPr>
      <w:r w:rsidRPr="00CF68BB">
        <w:t xml:space="preserve">uzavřená podle § 2586 a násl. zák. č.89/2012 Sb., občanský zákoník </w:t>
      </w:r>
    </w:p>
    <w:p w14:paraId="4AD8A2C5" w14:textId="77777777" w:rsidR="00FF747A" w:rsidRDefault="00FF747A">
      <w:pPr>
        <w:jc w:val="center"/>
        <w:rPr>
          <w:b/>
        </w:rPr>
      </w:pPr>
    </w:p>
    <w:p w14:paraId="73E94A7C" w14:textId="069BC1BA" w:rsidR="00E8701F" w:rsidRPr="0017611D" w:rsidRDefault="00E8701F" w:rsidP="00E8701F">
      <w:pPr>
        <w:spacing w:line="100" w:lineRule="atLeast"/>
        <w:ind w:right="-1"/>
        <w:rPr>
          <w:szCs w:val="24"/>
        </w:rPr>
      </w:pPr>
      <w:r w:rsidRPr="0017611D">
        <w:rPr>
          <w:b/>
          <w:szCs w:val="24"/>
        </w:rPr>
        <w:t>Armádní Servisní, příspěvková organizace</w:t>
      </w:r>
    </w:p>
    <w:p w14:paraId="57DB7EF7" w14:textId="77777777" w:rsidR="00E8701F" w:rsidRPr="0017611D" w:rsidRDefault="00E8701F" w:rsidP="00E8701F">
      <w:pPr>
        <w:spacing w:line="100" w:lineRule="atLeast"/>
        <w:ind w:right="-1"/>
        <w:rPr>
          <w:szCs w:val="24"/>
        </w:rPr>
      </w:pPr>
      <w:r w:rsidRPr="0017611D">
        <w:rPr>
          <w:szCs w:val="24"/>
        </w:rPr>
        <w:t>Sídlo:</w:t>
      </w:r>
      <w:r w:rsidRPr="0017611D">
        <w:rPr>
          <w:szCs w:val="24"/>
        </w:rPr>
        <w:tab/>
      </w:r>
      <w:r w:rsidRPr="0017611D">
        <w:rPr>
          <w:szCs w:val="24"/>
        </w:rPr>
        <w:tab/>
      </w:r>
      <w:r w:rsidRPr="0017611D">
        <w:rPr>
          <w:szCs w:val="24"/>
        </w:rPr>
        <w:tab/>
      </w:r>
      <w:r w:rsidRPr="0017611D">
        <w:rPr>
          <w:szCs w:val="24"/>
        </w:rPr>
        <w:tab/>
        <w:t xml:space="preserve">Podbabská 1589/1, 160 00 Praha 6 - Dejvice </w:t>
      </w:r>
    </w:p>
    <w:p w14:paraId="1AA2B6C1" w14:textId="77777777" w:rsidR="00E8701F" w:rsidRPr="0017611D" w:rsidRDefault="00E8701F" w:rsidP="00E8701F">
      <w:pPr>
        <w:spacing w:line="100" w:lineRule="atLeast"/>
        <w:ind w:right="-1"/>
        <w:rPr>
          <w:szCs w:val="24"/>
        </w:rPr>
      </w:pPr>
      <w:r w:rsidRPr="0017611D">
        <w:rPr>
          <w:szCs w:val="24"/>
        </w:rPr>
        <w:t>Zapsan</w:t>
      </w:r>
      <w:r>
        <w:rPr>
          <w:szCs w:val="24"/>
        </w:rPr>
        <w:t>á</w:t>
      </w:r>
      <w:r w:rsidRPr="0017611D">
        <w:rPr>
          <w:szCs w:val="24"/>
        </w:rPr>
        <w:t>:</w:t>
      </w:r>
      <w:r w:rsidRPr="0017611D">
        <w:rPr>
          <w:szCs w:val="24"/>
        </w:rPr>
        <w:tab/>
      </w:r>
      <w:r w:rsidRPr="0017611D">
        <w:rPr>
          <w:szCs w:val="24"/>
        </w:rPr>
        <w:tab/>
      </w:r>
      <w:r w:rsidRPr="0017611D">
        <w:rPr>
          <w:szCs w:val="24"/>
        </w:rPr>
        <w:tab/>
        <w:t>v</w:t>
      </w:r>
      <w:r>
        <w:rPr>
          <w:szCs w:val="24"/>
        </w:rPr>
        <w:t> obchodním rejstříku</w:t>
      </w:r>
      <w:r w:rsidRPr="0017611D">
        <w:rPr>
          <w:szCs w:val="24"/>
        </w:rPr>
        <w:t xml:space="preserve"> u Městského soudu v Praze pod </w:t>
      </w:r>
      <w:proofErr w:type="spellStart"/>
      <w:r w:rsidRPr="0017611D">
        <w:rPr>
          <w:szCs w:val="24"/>
        </w:rPr>
        <w:t>sp</w:t>
      </w:r>
      <w:proofErr w:type="spellEnd"/>
      <w:r w:rsidRPr="0017611D">
        <w:rPr>
          <w:szCs w:val="24"/>
        </w:rPr>
        <w:t xml:space="preserve">. zn. </w:t>
      </w:r>
      <w:proofErr w:type="spellStart"/>
      <w:r w:rsidRPr="0017611D">
        <w:rPr>
          <w:szCs w:val="24"/>
        </w:rPr>
        <w:t>P</w:t>
      </w:r>
      <w:r>
        <w:rPr>
          <w:szCs w:val="24"/>
        </w:rPr>
        <w:t>r</w:t>
      </w:r>
      <w:proofErr w:type="spellEnd"/>
      <w:r>
        <w:rPr>
          <w:szCs w:val="24"/>
        </w:rPr>
        <w:t xml:space="preserve"> </w:t>
      </w:r>
      <w:r w:rsidRPr="0017611D">
        <w:rPr>
          <w:szCs w:val="24"/>
        </w:rPr>
        <w:t>1342</w:t>
      </w:r>
    </w:p>
    <w:p w14:paraId="6F49C89A" w14:textId="77777777" w:rsidR="00E8701F" w:rsidRPr="0017611D" w:rsidRDefault="00E8701F" w:rsidP="00E8701F">
      <w:pPr>
        <w:spacing w:line="100" w:lineRule="atLeast"/>
        <w:ind w:right="-1"/>
        <w:rPr>
          <w:szCs w:val="24"/>
        </w:rPr>
      </w:pPr>
      <w:r>
        <w:rPr>
          <w:szCs w:val="24"/>
        </w:rPr>
        <w:t>Zastoupená</w:t>
      </w:r>
      <w:r w:rsidRPr="0017611D">
        <w:rPr>
          <w:szCs w:val="24"/>
        </w:rPr>
        <w:t>:</w:t>
      </w:r>
      <w:r w:rsidRPr="0017611D">
        <w:rPr>
          <w:szCs w:val="24"/>
        </w:rPr>
        <w:tab/>
      </w:r>
      <w:r w:rsidRPr="0017611D">
        <w:rPr>
          <w:szCs w:val="24"/>
        </w:rPr>
        <w:tab/>
      </w:r>
      <w:r>
        <w:rPr>
          <w:szCs w:val="24"/>
        </w:rPr>
        <w:tab/>
      </w:r>
      <w:r w:rsidRPr="0017611D">
        <w:rPr>
          <w:szCs w:val="24"/>
        </w:rPr>
        <w:t>Ing. Martin</w:t>
      </w:r>
      <w:r>
        <w:rPr>
          <w:szCs w:val="24"/>
        </w:rPr>
        <w:t>em</w:t>
      </w:r>
      <w:r w:rsidRPr="0017611D">
        <w:rPr>
          <w:szCs w:val="24"/>
        </w:rPr>
        <w:t xml:space="preserve"> Lehký</w:t>
      </w:r>
      <w:r>
        <w:rPr>
          <w:szCs w:val="24"/>
        </w:rPr>
        <w:t>m</w:t>
      </w:r>
      <w:r w:rsidRPr="0017611D">
        <w:rPr>
          <w:szCs w:val="24"/>
        </w:rPr>
        <w:t>, ředitel</w:t>
      </w:r>
      <w:r>
        <w:rPr>
          <w:szCs w:val="24"/>
        </w:rPr>
        <w:t>em</w:t>
      </w:r>
    </w:p>
    <w:p w14:paraId="7CA1A883" w14:textId="77777777" w:rsidR="00E8701F" w:rsidRPr="0017611D" w:rsidRDefault="00E8701F" w:rsidP="00E8701F">
      <w:pPr>
        <w:spacing w:line="100" w:lineRule="atLeast"/>
        <w:ind w:right="-1"/>
        <w:jc w:val="both"/>
        <w:rPr>
          <w:szCs w:val="24"/>
        </w:rPr>
      </w:pPr>
      <w:r w:rsidRPr="0017611D">
        <w:rPr>
          <w:szCs w:val="24"/>
        </w:rPr>
        <w:t>IČO:</w:t>
      </w:r>
      <w:r w:rsidRPr="0017611D">
        <w:rPr>
          <w:szCs w:val="24"/>
        </w:rPr>
        <w:tab/>
      </w:r>
      <w:r w:rsidRPr="0017611D">
        <w:rPr>
          <w:szCs w:val="24"/>
        </w:rPr>
        <w:tab/>
      </w:r>
      <w:r w:rsidRPr="0017611D">
        <w:rPr>
          <w:szCs w:val="24"/>
        </w:rPr>
        <w:tab/>
      </w:r>
      <w:r w:rsidRPr="0017611D">
        <w:rPr>
          <w:szCs w:val="24"/>
        </w:rPr>
        <w:tab/>
        <w:t>60460580</w:t>
      </w:r>
    </w:p>
    <w:p w14:paraId="60CAB16F" w14:textId="77777777" w:rsidR="00E8701F" w:rsidRPr="0017611D" w:rsidRDefault="00E8701F" w:rsidP="00E8701F">
      <w:pPr>
        <w:spacing w:line="100" w:lineRule="atLeast"/>
        <w:ind w:right="-1"/>
        <w:rPr>
          <w:szCs w:val="24"/>
        </w:rPr>
      </w:pPr>
      <w:r w:rsidRPr="0017611D">
        <w:rPr>
          <w:szCs w:val="24"/>
        </w:rPr>
        <w:t>DIČ:</w:t>
      </w:r>
      <w:r w:rsidRPr="0017611D">
        <w:rPr>
          <w:szCs w:val="24"/>
        </w:rPr>
        <w:tab/>
      </w:r>
      <w:r w:rsidRPr="0017611D">
        <w:rPr>
          <w:szCs w:val="24"/>
        </w:rPr>
        <w:tab/>
      </w:r>
      <w:r w:rsidRPr="0017611D">
        <w:rPr>
          <w:szCs w:val="24"/>
        </w:rPr>
        <w:tab/>
      </w:r>
      <w:r w:rsidRPr="0017611D">
        <w:rPr>
          <w:szCs w:val="24"/>
        </w:rPr>
        <w:tab/>
        <w:t>CZ60460580</w:t>
      </w:r>
    </w:p>
    <w:p w14:paraId="5B05D54D" w14:textId="77777777" w:rsidR="00E8701F" w:rsidRPr="0017611D" w:rsidRDefault="00E8701F" w:rsidP="00E8701F">
      <w:pPr>
        <w:spacing w:line="100" w:lineRule="atLeast"/>
        <w:ind w:right="-1"/>
        <w:rPr>
          <w:szCs w:val="24"/>
        </w:rPr>
      </w:pPr>
      <w:r w:rsidRPr="0017611D">
        <w:rPr>
          <w:szCs w:val="24"/>
        </w:rPr>
        <w:t xml:space="preserve">ID datové schránky: </w:t>
      </w:r>
      <w:r w:rsidRPr="0017611D">
        <w:rPr>
          <w:szCs w:val="24"/>
        </w:rPr>
        <w:tab/>
      </w:r>
      <w:r w:rsidRPr="0017611D">
        <w:rPr>
          <w:szCs w:val="24"/>
        </w:rPr>
        <w:tab/>
        <w:t>dugmkm6</w:t>
      </w:r>
    </w:p>
    <w:p w14:paraId="40D1D0CB" w14:textId="44E61409" w:rsidR="007836A8" w:rsidRPr="0017611D" w:rsidRDefault="007836A8" w:rsidP="007836A8">
      <w:pPr>
        <w:spacing w:line="100" w:lineRule="atLeast"/>
        <w:ind w:right="-1"/>
        <w:jc w:val="both"/>
        <w:rPr>
          <w:szCs w:val="24"/>
        </w:rPr>
      </w:pPr>
      <w:r w:rsidRPr="0017611D">
        <w:rPr>
          <w:szCs w:val="24"/>
        </w:rPr>
        <w:t xml:space="preserve">Bankovní spojení: </w:t>
      </w:r>
      <w:r w:rsidRPr="0017611D">
        <w:rPr>
          <w:szCs w:val="24"/>
        </w:rPr>
        <w:tab/>
      </w:r>
      <w:r w:rsidRPr="0017611D">
        <w:rPr>
          <w:szCs w:val="24"/>
        </w:rPr>
        <w:tab/>
      </w:r>
      <w:r w:rsidR="009C6873">
        <w:rPr>
          <w:szCs w:val="24"/>
        </w:rPr>
        <w:t>XXX</w:t>
      </w:r>
      <w:r w:rsidRPr="0017611D">
        <w:rPr>
          <w:szCs w:val="24"/>
        </w:rPr>
        <w:t xml:space="preserve"> </w:t>
      </w:r>
    </w:p>
    <w:p w14:paraId="43C88323" w14:textId="6A58144F" w:rsidR="00E8701F" w:rsidRPr="0017611D" w:rsidRDefault="007836A8" w:rsidP="007836A8">
      <w:pPr>
        <w:spacing w:line="100" w:lineRule="atLeast"/>
        <w:ind w:right="-1"/>
        <w:jc w:val="both"/>
        <w:rPr>
          <w:szCs w:val="24"/>
        </w:rPr>
      </w:pPr>
      <w:r w:rsidRPr="0017611D">
        <w:rPr>
          <w:szCs w:val="24"/>
        </w:rPr>
        <w:t>Číslo účtu:</w:t>
      </w:r>
      <w:r w:rsidRPr="0017611D">
        <w:rPr>
          <w:szCs w:val="24"/>
        </w:rPr>
        <w:tab/>
      </w:r>
      <w:r w:rsidRPr="0017611D">
        <w:rPr>
          <w:szCs w:val="24"/>
        </w:rPr>
        <w:tab/>
      </w:r>
      <w:r w:rsidRPr="0017611D">
        <w:rPr>
          <w:szCs w:val="24"/>
        </w:rPr>
        <w:tab/>
      </w:r>
      <w:r w:rsidR="009C6873">
        <w:rPr>
          <w:szCs w:val="24"/>
        </w:rPr>
        <w:t>XXX</w:t>
      </w:r>
    </w:p>
    <w:p w14:paraId="7E5BBA44" w14:textId="77777777" w:rsidR="00E8701F" w:rsidRPr="0017611D" w:rsidRDefault="00E8701F" w:rsidP="00E8701F">
      <w:pPr>
        <w:spacing w:line="100" w:lineRule="atLeast"/>
        <w:ind w:right="-1"/>
        <w:jc w:val="both"/>
        <w:rPr>
          <w:szCs w:val="24"/>
        </w:rPr>
      </w:pPr>
      <w:r w:rsidRPr="0017611D">
        <w:rPr>
          <w:szCs w:val="24"/>
        </w:rPr>
        <w:t>Oprávněn jednat:</w:t>
      </w:r>
      <w:r w:rsidRPr="0017611D">
        <w:rPr>
          <w:szCs w:val="24"/>
        </w:rPr>
        <w:tab/>
      </w:r>
    </w:p>
    <w:p w14:paraId="2005B9C4" w14:textId="77777777" w:rsidR="00E8701F" w:rsidRPr="0017611D" w:rsidRDefault="00E8701F" w:rsidP="0014345F">
      <w:pPr>
        <w:pStyle w:val="Odstavecseseznamem"/>
        <w:numPr>
          <w:ilvl w:val="0"/>
          <w:numId w:val="9"/>
        </w:numPr>
        <w:spacing w:line="100" w:lineRule="atLeast"/>
        <w:ind w:right="-1"/>
        <w:contextualSpacing/>
        <w:jc w:val="both"/>
        <w:rPr>
          <w:szCs w:val="24"/>
        </w:rPr>
      </w:pPr>
      <w:r w:rsidRPr="0017611D">
        <w:rPr>
          <w:szCs w:val="24"/>
        </w:rPr>
        <w:t>ve věcech smluvních:</w:t>
      </w:r>
      <w:r w:rsidRPr="0017611D">
        <w:rPr>
          <w:szCs w:val="24"/>
        </w:rPr>
        <w:tab/>
        <w:t xml:space="preserve">Ing. Martin Lehký, </w:t>
      </w:r>
      <w:r>
        <w:rPr>
          <w:szCs w:val="24"/>
        </w:rPr>
        <w:t>tel.</w:t>
      </w:r>
      <w:r w:rsidRPr="0017611D">
        <w:rPr>
          <w:szCs w:val="24"/>
        </w:rPr>
        <w:t xml:space="preserve"> 973 204 090, fax: 973 204 092</w:t>
      </w:r>
      <w:r w:rsidRPr="0017611D">
        <w:rPr>
          <w:szCs w:val="24"/>
        </w:rPr>
        <w:tab/>
      </w:r>
    </w:p>
    <w:p w14:paraId="16B45FCF" w14:textId="77C2B820" w:rsidR="00E8701F" w:rsidRPr="007836A8" w:rsidRDefault="00E8701F" w:rsidP="0014345F">
      <w:pPr>
        <w:pStyle w:val="Odstavecseseznamem"/>
        <w:numPr>
          <w:ilvl w:val="0"/>
          <w:numId w:val="9"/>
        </w:numPr>
        <w:spacing w:line="100" w:lineRule="atLeast"/>
        <w:ind w:right="-709"/>
        <w:contextualSpacing/>
        <w:rPr>
          <w:szCs w:val="24"/>
          <w:lang w:eastAsia="zh-CN"/>
        </w:rPr>
      </w:pPr>
      <w:r w:rsidRPr="00890CC6">
        <w:rPr>
          <w:szCs w:val="24"/>
        </w:rPr>
        <w:t>ve věcech technických:</w:t>
      </w:r>
      <w:r w:rsidRPr="00890CC6">
        <w:rPr>
          <w:szCs w:val="24"/>
        </w:rPr>
        <w:tab/>
      </w:r>
      <w:r w:rsidR="003B4AF7">
        <w:rPr>
          <w:szCs w:val="24"/>
          <w:lang w:val="cs-CZ"/>
        </w:rPr>
        <w:t>XXX</w:t>
      </w:r>
    </w:p>
    <w:p w14:paraId="3DCA40F8" w14:textId="3B843970" w:rsidR="00FF747A" w:rsidRDefault="00FF747A" w:rsidP="008F57E9">
      <w:pPr>
        <w:pStyle w:val="Zkladntext3"/>
        <w:ind w:left="3402" w:hanging="2835"/>
        <w:jc w:val="left"/>
        <w:rPr>
          <w:b w:val="0"/>
          <w:bCs/>
          <w:i/>
          <w:color w:val="000000"/>
          <w:lang w:eastAsia="en-US"/>
        </w:rPr>
      </w:pPr>
      <w:r>
        <w:rPr>
          <w:b w:val="0"/>
          <w:color w:val="000000"/>
          <w:lang w:eastAsia="en-US"/>
        </w:rPr>
        <w:tab/>
      </w:r>
      <w:r w:rsidR="00C32B16">
        <w:rPr>
          <w:b w:val="0"/>
          <w:color w:val="000000"/>
          <w:lang w:eastAsia="en-US"/>
        </w:rPr>
        <w:tab/>
      </w:r>
    </w:p>
    <w:p w14:paraId="132B30FB" w14:textId="77777777" w:rsidR="00FF747A" w:rsidRPr="008F57E9" w:rsidRDefault="00FF747A" w:rsidP="00FF747A">
      <w:pPr>
        <w:pStyle w:val="Zkladntext"/>
        <w:rPr>
          <w:color w:val="000000"/>
        </w:rPr>
      </w:pPr>
      <w:r w:rsidRPr="008F57E9">
        <w:rPr>
          <w:color w:val="000000"/>
        </w:rPr>
        <w:t>(dále jen „objednatel”)</w:t>
      </w:r>
    </w:p>
    <w:p w14:paraId="7B02BA36" w14:textId="77777777" w:rsidR="00FF747A" w:rsidRPr="00621558" w:rsidRDefault="00FF747A" w:rsidP="00FF747A">
      <w:pPr>
        <w:pStyle w:val="Zkladntext"/>
        <w:rPr>
          <w:i/>
          <w:color w:val="000000"/>
        </w:rPr>
      </w:pPr>
    </w:p>
    <w:p w14:paraId="32AEB031" w14:textId="77777777" w:rsidR="00FF747A" w:rsidRDefault="00FF747A" w:rsidP="00FF747A">
      <w:pPr>
        <w:jc w:val="center"/>
        <w:rPr>
          <w:b/>
          <w:color w:val="000000"/>
        </w:rPr>
      </w:pPr>
      <w:r w:rsidRPr="00C63926">
        <w:rPr>
          <w:b/>
          <w:color w:val="000000"/>
        </w:rPr>
        <w:t>a</w:t>
      </w:r>
    </w:p>
    <w:p w14:paraId="5FC617F9" w14:textId="77777777" w:rsidR="00DE26C5" w:rsidRPr="00C63926" w:rsidRDefault="00DE26C5" w:rsidP="00FF747A">
      <w:pPr>
        <w:jc w:val="center"/>
        <w:rPr>
          <w:b/>
          <w:color w:val="000000"/>
        </w:rPr>
      </w:pPr>
    </w:p>
    <w:p w14:paraId="7F671576" w14:textId="5A9C5B59" w:rsidR="00FF747A" w:rsidRPr="0002085C" w:rsidRDefault="007836A8" w:rsidP="00FF747A">
      <w:pPr>
        <w:spacing w:before="120"/>
        <w:jc w:val="both"/>
        <w:rPr>
          <w:bCs/>
          <w:color w:val="000000"/>
        </w:rPr>
      </w:pPr>
      <w:r w:rsidRPr="00747433">
        <w:rPr>
          <w:b/>
          <w:bCs/>
        </w:rPr>
        <w:t>AC EURO a.s.</w:t>
      </w:r>
    </w:p>
    <w:p w14:paraId="30AF3E17" w14:textId="721B4E80" w:rsidR="00FF747A" w:rsidRPr="00F705DB" w:rsidRDefault="00FF747A" w:rsidP="00825AB1">
      <w:pPr>
        <w:tabs>
          <w:tab w:val="left" w:pos="2835"/>
        </w:tabs>
        <w:jc w:val="both"/>
        <w:rPr>
          <w:color w:val="000000"/>
        </w:rPr>
      </w:pPr>
      <w:r w:rsidRPr="00F705DB">
        <w:rPr>
          <w:color w:val="000000"/>
        </w:rPr>
        <w:t xml:space="preserve">Se sídlem:       </w:t>
      </w:r>
      <w:r w:rsidRPr="00F705DB">
        <w:rPr>
          <w:color w:val="000000"/>
        </w:rPr>
        <w:tab/>
      </w:r>
      <w:r w:rsidR="00747433" w:rsidRPr="00747433">
        <w:rPr>
          <w:bCs/>
        </w:rPr>
        <w:t>Houbalova 2553/4, Líšeň, 628 00 Brno</w:t>
      </w:r>
    </w:p>
    <w:p w14:paraId="4DEDB353" w14:textId="586BBA1A" w:rsidR="00FF747A" w:rsidRPr="00F705DB" w:rsidRDefault="00FF747A" w:rsidP="00FF747A">
      <w:pPr>
        <w:jc w:val="both"/>
        <w:rPr>
          <w:bCs/>
          <w:color w:val="000000"/>
        </w:rPr>
      </w:pPr>
      <w:r w:rsidRPr="00F705DB">
        <w:rPr>
          <w:bCs/>
          <w:color w:val="000000"/>
        </w:rPr>
        <w:t>Zapsaný</w:t>
      </w:r>
      <w:r w:rsidR="00E8701F">
        <w:rPr>
          <w:bCs/>
          <w:color w:val="000000"/>
        </w:rPr>
        <w:t>:</w:t>
      </w:r>
      <w:r w:rsidR="00E8701F">
        <w:rPr>
          <w:bCs/>
          <w:color w:val="000000"/>
        </w:rPr>
        <w:tab/>
      </w:r>
      <w:r w:rsidR="00E8701F">
        <w:rPr>
          <w:bCs/>
          <w:color w:val="000000"/>
        </w:rPr>
        <w:tab/>
      </w:r>
      <w:r w:rsidR="00E8701F">
        <w:rPr>
          <w:bCs/>
          <w:color w:val="000000"/>
        </w:rPr>
        <w:tab/>
      </w:r>
      <w:r w:rsidR="00747433" w:rsidRPr="00747433">
        <w:rPr>
          <w:bCs/>
        </w:rPr>
        <w:t>v obchodním rejstříku u Krajského soudu v Brně, oddíl B, vložka 5345</w:t>
      </w:r>
      <w:r w:rsidRPr="00F705DB">
        <w:rPr>
          <w:bCs/>
          <w:color w:val="000000"/>
        </w:rPr>
        <w:t xml:space="preserve">             </w:t>
      </w:r>
    </w:p>
    <w:p w14:paraId="33054F1F" w14:textId="3B487578" w:rsidR="00FF747A" w:rsidRPr="00F705DB" w:rsidRDefault="00FF747A" w:rsidP="00FF747A">
      <w:pPr>
        <w:jc w:val="both"/>
        <w:rPr>
          <w:color w:val="000000"/>
        </w:rPr>
      </w:pPr>
      <w:r w:rsidRPr="00F705DB">
        <w:t>Zastoupený:</w:t>
      </w:r>
      <w:r w:rsidRPr="00F705DB">
        <w:rPr>
          <w:color w:val="000000"/>
        </w:rPr>
        <w:tab/>
      </w:r>
      <w:r w:rsidRPr="00F705DB">
        <w:rPr>
          <w:color w:val="000000"/>
        </w:rPr>
        <w:tab/>
      </w:r>
      <w:r w:rsidRPr="00F705DB">
        <w:rPr>
          <w:color w:val="000000"/>
        </w:rPr>
        <w:tab/>
      </w:r>
      <w:r w:rsidR="009C6873">
        <w:rPr>
          <w:color w:val="000000"/>
        </w:rPr>
        <w:t>XXX</w:t>
      </w:r>
    </w:p>
    <w:p w14:paraId="6DB9152D" w14:textId="57211097" w:rsidR="00FF747A" w:rsidRPr="00F705DB" w:rsidRDefault="00FF747A" w:rsidP="00FF747A">
      <w:pPr>
        <w:jc w:val="both"/>
        <w:rPr>
          <w:color w:val="000000"/>
        </w:rPr>
      </w:pPr>
      <w:r w:rsidRPr="00F705DB">
        <w:rPr>
          <w:color w:val="000000"/>
        </w:rPr>
        <w:t>IČ</w:t>
      </w:r>
      <w:r w:rsidR="006B4EFE">
        <w:rPr>
          <w:color w:val="000000"/>
        </w:rPr>
        <w:t>O</w:t>
      </w:r>
      <w:r w:rsidRPr="00F705DB">
        <w:rPr>
          <w:color w:val="000000"/>
        </w:rPr>
        <w:t>:</w:t>
      </w:r>
      <w:r w:rsidRPr="00F705DB">
        <w:rPr>
          <w:color w:val="000000"/>
        </w:rPr>
        <w:tab/>
      </w:r>
      <w:r w:rsidRPr="00F705DB">
        <w:rPr>
          <w:color w:val="000000"/>
        </w:rPr>
        <w:tab/>
      </w:r>
      <w:r w:rsidRPr="00F705DB">
        <w:rPr>
          <w:color w:val="000000"/>
        </w:rPr>
        <w:tab/>
      </w:r>
      <w:r w:rsidRPr="00F705DB">
        <w:rPr>
          <w:color w:val="000000"/>
        </w:rPr>
        <w:tab/>
      </w:r>
      <w:r w:rsidR="00747433" w:rsidRPr="00747433">
        <w:rPr>
          <w:bCs/>
        </w:rPr>
        <w:t>28264347</w:t>
      </w:r>
    </w:p>
    <w:p w14:paraId="706E5309" w14:textId="29035E10" w:rsidR="00FF747A" w:rsidRDefault="00FF747A" w:rsidP="00FF747A">
      <w:pPr>
        <w:jc w:val="both"/>
        <w:rPr>
          <w:bCs/>
          <w:highlight w:val="yellow"/>
        </w:rPr>
      </w:pPr>
      <w:r w:rsidRPr="00F705DB">
        <w:rPr>
          <w:color w:val="000000"/>
        </w:rPr>
        <w:t>DIČ:</w:t>
      </w:r>
      <w:r w:rsidRPr="00F705DB">
        <w:rPr>
          <w:color w:val="000000"/>
        </w:rPr>
        <w:tab/>
      </w:r>
      <w:r w:rsidRPr="00F705DB">
        <w:rPr>
          <w:color w:val="000000"/>
        </w:rPr>
        <w:tab/>
      </w:r>
      <w:r w:rsidRPr="00F705DB">
        <w:rPr>
          <w:color w:val="000000"/>
        </w:rPr>
        <w:tab/>
      </w:r>
      <w:r w:rsidRPr="00F705DB">
        <w:rPr>
          <w:color w:val="000000"/>
        </w:rPr>
        <w:tab/>
      </w:r>
      <w:r w:rsidR="00747433" w:rsidRPr="00747433">
        <w:rPr>
          <w:bCs/>
        </w:rPr>
        <w:t>CZ28264347</w:t>
      </w:r>
    </w:p>
    <w:p w14:paraId="53746B7E" w14:textId="685FDD3D" w:rsidR="00E8701F" w:rsidRPr="00F705DB" w:rsidRDefault="00E8701F" w:rsidP="00FF747A">
      <w:pPr>
        <w:jc w:val="both"/>
        <w:rPr>
          <w:color w:val="000000"/>
        </w:rPr>
      </w:pPr>
      <w:r w:rsidRPr="00F412F6">
        <w:rPr>
          <w:color w:val="000000"/>
        </w:rPr>
        <w:t xml:space="preserve">ID datové schránky:     </w:t>
      </w:r>
      <w:r w:rsidRPr="00F412F6">
        <w:rPr>
          <w:color w:val="000000"/>
        </w:rPr>
        <w:tab/>
      </w:r>
      <w:proofErr w:type="spellStart"/>
      <w:r w:rsidR="00747433" w:rsidRPr="00BC3488">
        <w:rPr>
          <w:bCs/>
        </w:rPr>
        <w:t>mpvcjuy</w:t>
      </w:r>
      <w:proofErr w:type="spellEnd"/>
    </w:p>
    <w:p w14:paraId="344C97EB" w14:textId="06202495" w:rsidR="00FF747A" w:rsidRPr="00F705DB" w:rsidRDefault="00FF747A" w:rsidP="00FF747A">
      <w:pPr>
        <w:jc w:val="both"/>
        <w:rPr>
          <w:iCs/>
          <w:color w:val="000000"/>
        </w:rPr>
      </w:pPr>
      <w:r w:rsidRPr="00F705DB">
        <w:rPr>
          <w:color w:val="000000"/>
        </w:rPr>
        <w:t>Bankovní spojení:</w:t>
      </w:r>
      <w:r w:rsidRPr="00F705DB">
        <w:rPr>
          <w:color w:val="000000"/>
        </w:rPr>
        <w:tab/>
      </w:r>
      <w:r w:rsidRPr="00F705DB">
        <w:rPr>
          <w:color w:val="000000"/>
        </w:rPr>
        <w:tab/>
      </w:r>
      <w:r w:rsidR="009C6873">
        <w:rPr>
          <w:bCs/>
        </w:rPr>
        <w:t>X</w:t>
      </w:r>
      <w:r w:rsidR="009952C8">
        <w:rPr>
          <w:bCs/>
        </w:rPr>
        <w:t>XX</w:t>
      </w:r>
    </w:p>
    <w:p w14:paraId="796CCF5C" w14:textId="0EE3248E" w:rsidR="00FF747A" w:rsidRDefault="00FF747A" w:rsidP="00FF747A">
      <w:pPr>
        <w:jc w:val="both"/>
        <w:rPr>
          <w:bCs/>
          <w:highlight w:val="yellow"/>
        </w:rPr>
      </w:pPr>
      <w:r w:rsidRPr="00F705DB">
        <w:rPr>
          <w:color w:val="000000"/>
        </w:rPr>
        <w:t>Číslo účtu:</w:t>
      </w:r>
      <w:r w:rsidRPr="00F705DB">
        <w:rPr>
          <w:color w:val="000000"/>
        </w:rPr>
        <w:tab/>
      </w:r>
      <w:r w:rsidRPr="00F705DB">
        <w:rPr>
          <w:color w:val="000000"/>
        </w:rPr>
        <w:tab/>
      </w:r>
      <w:r w:rsidRPr="00F705DB">
        <w:rPr>
          <w:color w:val="000000"/>
        </w:rPr>
        <w:tab/>
      </w:r>
      <w:r w:rsidR="009952C8">
        <w:rPr>
          <w:bCs/>
        </w:rPr>
        <w:t>XXX</w:t>
      </w:r>
    </w:p>
    <w:p w14:paraId="5E5BF714" w14:textId="77777777" w:rsidR="00E8701F" w:rsidRPr="0017611D" w:rsidRDefault="00E8701F" w:rsidP="00E8701F">
      <w:pPr>
        <w:spacing w:line="100" w:lineRule="atLeast"/>
        <w:ind w:right="-1"/>
        <w:jc w:val="both"/>
        <w:rPr>
          <w:szCs w:val="24"/>
        </w:rPr>
      </w:pPr>
      <w:r w:rsidRPr="0017611D">
        <w:rPr>
          <w:szCs w:val="24"/>
        </w:rPr>
        <w:t>Oprávněn jednat:</w:t>
      </w:r>
      <w:r w:rsidRPr="0017611D">
        <w:rPr>
          <w:szCs w:val="24"/>
        </w:rPr>
        <w:tab/>
      </w:r>
    </w:p>
    <w:p w14:paraId="0922A172" w14:textId="4C7A6775" w:rsidR="00E8701F" w:rsidRPr="0017611D" w:rsidRDefault="00E8701F" w:rsidP="0014345F">
      <w:pPr>
        <w:pStyle w:val="Odstavecseseznamem"/>
        <w:numPr>
          <w:ilvl w:val="0"/>
          <w:numId w:val="9"/>
        </w:numPr>
        <w:spacing w:line="100" w:lineRule="atLeast"/>
        <w:ind w:right="-1"/>
        <w:contextualSpacing/>
        <w:jc w:val="both"/>
        <w:rPr>
          <w:szCs w:val="24"/>
        </w:rPr>
      </w:pPr>
      <w:r w:rsidRPr="0017611D">
        <w:rPr>
          <w:szCs w:val="24"/>
        </w:rPr>
        <w:t>ve věcech smluvních:</w:t>
      </w:r>
      <w:r w:rsidRPr="0017611D">
        <w:rPr>
          <w:szCs w:val="24"/>
        </w:rPr>
        <w:tab/>
      </w:r>
      <w:r w:rsidR="009C6873">
        <w:rPr>
          <w:szCs w:val="24"/>
          <w:lang w:val="cs-CZ"/>
        </w:rPr>
        <w:t>XXX</w:t>
      </w:r>
    </w:p>
    <w:p w14:paraId="10984A77" w14:textId="13DC6D7E" w:rsidR="00E8701F" w:rsidRDefault="00E8701F" w:rsidP="0014345F">
      <w:pPr>
        <w:pStyle w:val="Odstavecseseznamem"/>
        <w:numPr>
          <w:ilvl w:val="0"/>
          <w:numId w:val="9"/>
        </w:numPr>
        <w:spacing w:line="100" w:lineRule="atLeast"/>
        <w:ind w:right="-709"/>
        <w:contextualSpacing/>
        <w:rPr>
          <w:szCs w:val="24"/>
          <w:lang w:eastAsia="zh-CN"/>
        </w:rPr>
      </w:pPr>
      <w:r w:rsidRPr="00890CC6">
        <w:rPr>
          <w:szCs w:val="24"/>
        </w:rPr>
        <w:t>ve věcech technických:</w:t>
      </w:r>
      <w:r w:rsidRPr="00890CC6">
        <w:rPr>
          <w:szCs w:val="24"/>
        </w:rPr>
        <w:tab/>
      </w:r>
      <w:r w:rsidR="009C6873">
        <w:rPr>
          <w:szCs w:val="24"/>
          <w:lang w:val="cs-CZ"/>
        </w:rPr>
        <w:t>XXX</w:t>
      </w:r>
    </w:p>
    <w:p w14:paraId="3D6D659D" w14:textId="77777777" w:rsidR="00E8701F" w:rsidRPr="00F705DB" w:rsidRDefault="00E8701F" w:rsidP="00FF747A">
      <w:pPr>
        <w:jc w:val="both"/>
        <w:rPr>
          <w:color w:val="000000"/>
        </w:rPr>
      </w:pPr>
    </w:p>
    <w:p w14:paraId="28DFFC39" w14:textId="77777777" w:rsidR="00FF747A" w:rsidRPr="00F705DB" w:rsidRDefault="00FF747A" w:rsidP="00FF747A">
      <w:r w:rsidRPr="00F705DB">
        <w:t>(</w:t>
      </w:r>
      <w:r w:rsidRPr="00F705DB">
        <w:rPr>
          <w:color w:val="000000"/>
        </w:rPr>
        <w:t>dále jen „poskytovatel“)</w:t>
      </w:r>
      <w:r w:rsidRPr="00F705DB">
        <w:t xml:space="preserve">  </w:t>
      </w:r>
    </w:p>
    <w:p w14:paraId="33DBD56C" w14:textId="77777777" w:rsidR="00FF747A" w:rsidRDefault="00FF747A" w:rsidP="00FF747A">
      <w:pPr>
        <w:jc w:val="both"/>
        <w:rPr>
          <w:color w:val="000000"/>
        </w:rPr>
      </w:pPr>
    </w:p>
    <w:p w14:paraId="13976B5A" w14:textId="77777777" w:rsidR="00FF747A" w:rsidRDefault="00FF747A" w:rsidP="00FF747A">
      <w:pPr>
        <w:jc w:val="both"/>
        <w:rPr>
          <w:color w:val="000000"/>
        </w:rPr>
      </w:pPr>
      <w:r w:rsidRPr="00CF68BB">
        <w:rPr>
          <w:color w:val="000000"/>
        </w:rPr>
        <w:t>za takto dohodnutých podmínek:</w:t>
      </w:r>
    </w:p>
    <w:p w14:paraId="32FE0A60" w14:textId="77777777" w:rsidR="00521C23" w:rsidRDefault="00521C23" w:rsidP="00841CB2">
      <w:pPr>
        <w:rPr>
          <w:b/>
          <w:bCs/>
        </w:rPr>
      </w:pPr>
    </w:p>
    <w:p w14:paraId="56E0E4EF" w14:textId="77777777" w:rsidR="0026231B" w:rsidRDefault="0026231B" w:rsidP="00841CB2">
      <w:pPr>
        <w:rPr>
          <w:b/>
          <w:bCs/>
        </w:rPr>
      </w:pPr>
    </w:p>
    <w:p w14:paraId="0CBB796C" w14:textId="77777777" w:rsidR="00F939F6" w:rsidRDefault="00F939F6" w:rsidP="00C265C4">
      <w:pPr>
        <w:jc w:val="center"/>
        <w:rPr>
          <w:b/>
          <w:bCs/>
        </w:rPr>
      </w:pPr>
      <w:r>
        <w:rPr>
          <w:b/>
          <w:bCs/>
        </w:rPr>
        <w:t>I.</w:t>
      </w:r>
      <w:r w:rsidR="00C265C4">
        <w:rPr>
          <w:b/>
          <w:bCs/>
        </w:rPr>
        <w:t xml:space="preserve"> PŘEDMĚT SMLOUVY</w:t>
      </w:r>
    </w:p>
    <w:p w14:paraId="0F2DDA7C" w14:textId="77777777" w:rsidR="00521C23" w:rsidRDefault="00521C23" w:rsidP="009B1605">
      <w:pPr>
        <w:pStyle w:val="Normal2"/>
        <w:ind w:left="284"/>
      </w:pPr>
    </w:p>
    <w:p w14:paraId="523AA5C9" w14:textId="2BEFE205" w:rsidR="00DE26C5" w:rsidRPr="00F705DB" w:rsidRDefault="00D62584" w:rsidP="008F57E9">
      <w:pPr>
        <w:pStyle w:val="Normal2"/>
        <w:numPr>
          <w:ilvl w:val="1"/>
          <w:numId w:val="22"/>
        </w:numPr>
        <w:spacing w:after="120"/>
        <w:ind w:left="567" w:hanging="567"/>
        <w:rPr>
          <w:color w:val="000000"/>
        </w:rPr>
      </w:pPr>
      <w:r w:rsidRPr="001C688A">
        <w:t xml:space="preserve">Předmětem </w:t>
      </w:r>
      <w:r w:rsidR="00DC75DF" w:rsidRPr="001C688A">
        <w:t xml:space="preserve">této </w:t>
      </w:r>
      <w:r w:rsidR="003124B0" w:rsidRPr="001C688A">
        <w:t>smlouvy</w:t>
      </w:r>
      <w:r w:rsidRPr="001C688A">
        <w:t xml:space="preserve"> je </w:t>
      </w:r>
      <w:r w:rsidR="00DC75DF" w:rsidRPr="001C688A">
        <w:t>závazek poskytovatele</w:t>
      </w:r>
      <w:r w:rsidR="00DC75DF">
        <w:t xml:space="preserve"> </w:t>
      </w:r>
      <w:r w:rsidR="001B213F">
        <w:t xml:space="preserve">zajistit </w:t>
      </w:r>
      <w:r w:rsidR="00083511">
        <w:t>p</w:t>
      </w:r>
      <w:r w:rsidR="00083511">
        <w:rPr>
          <w:bCs/>
          <w:iCs/>
          <w:color w:val="000000"/>
        </w:rPr>
        <w:t>rovedení pravideln</w:t>
      </w:r>
      <w:r w:rsidR="00612693">
        <w:rPr>
          <w:bCs/>
          <w:iCs/>
          <w:color w:val="000000"/>
        </w:rPr>
        <w:t xml:space="preserve">ých revizí a </w:t>
      </w:r>
      <w:r w:rsidR="00521C23">
        <w:rPr>
          <w:bCs/>
          <w:iCs/>
          <w:color w:val="000000"/>
        </w:rPr>
        <w:t xml:space="preserve">kontrol </w:t>
      </w:r>
      <w:r w:rsidR="00612693">
        <w:rPr>
          <w:bCs/>
          <w:iCs/>
          <w:color w:val="000000"/>
        </w:rPr>
        <w:t xml:space="preserve">klimatizačních zařízení, vzduchotechniky a požárních klapek </w:t>
      </w:r>
      <w:r w:rsidR="00462A4B" w:rsidRPr="008A7CB3">
        <w:rPr>
          <w:bCs/>
          <w:iCs/>
          <w:color w:val="000000"/>
        </w:rPr>
        <w:t>v</w:t>
      </w:r>
      <w:r w:rsidR="00612693" w:rsidRPr="008A7CB3">
        <w:rPr>
          <w:bCs/>
          <w:iCs/>
          <w:color w:val="000000"/>
        </w:rPr>
        <w:t xml:space="preserve"> objektech </w:t>
      </w:r>
      <w:r w:rsidR="00462A4B" w:rsidRPr="008A7CB3">
        <w:rPr>
          <w:bCs/>
          <w:iCs/>
          <w:color w:val="000000"/>
        </w:rPr>
        <w:t>objednatele</w:t>
      </w:r>
      <w:r w:rsidR="00521C23">
        <w:rPr>
          <w:bCs/>
          <w:iCs/>
          <w:color w:val="000000"/>
        </w:rPr>
        <w:t xml:space="preserve"> </w:t>
      </w:r>
      <w:r w:rsidR="00083511">
        <w:rPr>
          <w:bCs/>
          <w:iCs/>
          <w:color w:val="000000"/>
        </w:rPr>
        <w:t xml:space="preserve">v lokalitě </w:t>
      </w:r>
      <w:r w:rsidR="00612693">
        <w:rPr>
          <w:bCs/>
          <w:iCs/>
          <w:color w:val="000000"/>
        </w:rPr>
        <w:t>MORAVA</w:t>
      </w:r>
      <w:r w:rsidR="00521C23">
        <w:rPr>
          <w:bCs/>
          <w:iCs/>
          <w:color w:val="000000"/>
        </w:rPr>
        <w:t xml:space="preserve"> v rozsahu </w:t>
      </w:r>
      <w:r w:rsidR="00083511">
        <w:rPr>
          <w:bCs/>
          <w:iCs/>
          <w:color w:val="000000"/>
        </w:rPr>
        <w:t>dle přílohy</w:t>
      </w:r>
      <w:r w:rsidR="009B1605" w:rsidRPr="00F705DB">
        <w:rPr>
          <w:color w:val="000000"/>
        </w:rPr>
        <w:t xml:space="preserve"> č</w:t>
      </w:r>
      <w:r w:rsidR="009B1605" w:rsidRPr="003D626F">
        <w:rPr>
          <w:color w:val="000000"/>
        </w:rPr>
        <w:t xml:space="preserve">. </w:t>
      </w:r>
      <w:r w:rsidR="00D621C3">
        <w:rPr>
          <w:color w:val="000000"/>
        </w:rPr>
        <w:t>2</w:t>
      </w:r>
      <w:r w:rsidR="003D626F">
        <w:rPr>
          <w:color w:val="000000"/>
        </w:rPr>
        <w:t xml:space="preserve">, která je nedílnou součástí </w:t>
      </w:r>
      <w:r w:rsidR="007154CD" w:rsidRPr="00C32283">
        <w:rPr>
          <w:color w:val="000000"/>
        </w:rPr>
        <w:t>této smlouvy.</w:t>
      </w:r>
    </w:p>
    <w:p w14:paraId="3C3ECFD1" w14:textId="2F99FCBC" w:rsidR="00527817" w:rsidRPr="00F705DB" w:rsidRDefault="00FC0C42" w:rsidP="008F57E9">
      <w:pPr>
        <w:pStyle w:val="Normal2"/>
        <w:numPr>
          <w:ilvl w:val="1"/>
          <w:numId w:val="22"/>
        </w:numPr>
        <w:spacing w:after="240"/>
        <w:ind w:left="567" w:hanging="567"/>
        <w:rPr>
          <w:bCs/>
          <w:color w:val="000000"/>
        </w:rPr>
      </w:pPr>
      <w:r w:rsidRPr="00F705DB">
        <w:rPr>
          <w:color w:val="000000"/>
        </w:rPr>
        <w:t xml:space="preserve">Poskytovatel se zavazuje k provádění služeb na základě objednatelem vystavených a poskytovateli zaslaných dílčích objednávek dle tabulky servisních činností v příloze č. </w:t>
      </w:r>
      <w:r w:rsidR="00D621C3">
        <w:rPr>
          <w:color w:val="000000"/>
        </w:rPr>
        <w:t>2</w:t>
      </w:r>
      <w:r w:rsidRPr="00F705DB">
        <w:rPr>
          <w:color w:val="000000"/>
        </w:rPr>
        <w:t xml:space="preserve"> této smlouvy.</w:t>
      </w:r>
    </w:p>
    <w:p w14:paraId="25C9B63B" w14:textId="77777777" w:rsidR="00F84065" w:rsidRDefault="00F84065">
      <w:pPr>
        <w:jc w:val="both"/>
        <w:rPr>
          <w:bCs/>
        </w:rPr>
      </w:pPr>
    </w:p>
    <w:p w14:paraId="4660BA38" w14:textId="77777777" w:rsidR="00F939F6" w:rsidRDefault="00F939F6" w:rsidP="00C265C4">
      <w:pPr>
        <w:jc w:val="center"/>
        <w:rPr>
          <w:b/>
          <w:bCs/>
        </w:rPr>
      </w:pPr>
      <w:r>
        <w:rPr>
          <w:b/>
          <w:bCs/>
        </w:rPr>
        <w:lastRenderedPageBreak/>
        <w:t>II.</w:t>
      </w:r>
      <w:r w:rsidR="00C265C4">
        <w:rPr>
          <w:b/>
          <w:bCs/>
        </w:rPr>
        <w:t xml:space="preserve"> CENA</w:t>
      </w:r>
    </w:p>
    <w:p w14:paraId="07D4C672" w14:textId="2A86497F" w:rsidR="00FE6696" w:rsidRDefault="00FE6696" w:rsidP="00C265C4">
      <w:pPr>
        <w:shd w:val="clear" w:color="auto" w:fill="FFFFFF"/>
        <w:spacing w:after="120"/>
        <w:jc w:val="both"/>
      </w:pPr>
    </w:p>
    <w:p w14:paraId="08CDBD90" w14:textId="2E61DB99" w:rsidR="00C265C4" w:rsidRPr="00756BB0" w:rsidRDefault="00FC0C42" w:rsidP="00C265C4">
      <w:pPr>
        <w:shd w:val="clear" w:color="auto" w:fill="FFFFFF"/>
        <w:spacing w:after="120"/>
        <w:jc w:val="both"/>
      </w:pPr>
      <w:r>
        <w:t>C</w:t>
      </w:r>
      <w:r w:rsidR="00C265C4" w:rsidRPr="00B00327">
        <w:t>ena za předmět díla bez DPH</w:t>
      </w:r>
      <w:r w:rsidR="00C265C4" w:rsidRPr="00756BB0">
        <w:t xml:space="preserve"> je cenou konečnou, nejvýše přípustnou, ve které jsou zahrnuty veškeré náklady dle článku I</w:t>
      </w:r>
      <w:r w:rsidR="00C265C4">
        <w:t>.</w:t>
      </w:r>
      <w:r w:rsidR="00C265C4" w:rsidRPr="00756BB0">
        <w:t xml:space="preserve"> této smlouvy a činí: </w:t>
      </w:r>
      <w:r w:rsidR="00BC3488" w:rsidRPr="00BC3488">
        <w:rPr>
          <w:b/>
        </w:rPr>
        <w:t>261 950</w:t>
      </w:r>
      <w:r w:rsidR="00C265C4" w:rsidRPr="005F0C16">
        <w:rPr>
          <w:b/>
        </w:rPr>
        <w:t xml:space="preserve"> Kč</w:t>
      </w:r>
      <w:r w:rsidR="00C265C4" w:rsidRPr="00710C31">
        <w:t>,</w:t>
      </w:r>
    </w:p>
    <w:p w14:paraId="57EDEEFD" w14:textId="77777777" w:rsidR="00C265C4" w:rsidRPr="00756BB0" w:rsidRDefault="00C265C4" w:rsidP="00C265C4">
      <w:pPr>
        <w:shd w:val="clear" w:color="auto" w:fill="FFFFFF"/>
        <w:tabs>
          <w:tab w:val="left" w:pos="1080"/>
          <w:tab w:val="right" w:pos="7740"/>
        </w:tabs>
        <w:ind w:left="540"/>
        <w:jc w:val="both"/>
        <w:rPr>
          <w:b/>
        </w:rPr>
      </w:pPr>
      <w:r w:rsidRPr="00756BB0">
        <w:tab/>
      </w:r>
      <w:r w:rsidRPr="00756BB0">
        <w:tab/>
      </w:r>
      <w:r w:rsidRPr="00756BB0">
        <w:rPr>
          <w:b/>
        </w:rPr>
        <w:t xml:space="preserve"> </w:t>
      </w:r>
    </w:p>
    <w:p w14:paraId="4C87D019" w14:textId="41817537" w:rsidR="00C265C4" w:rsidRPr="00756BB0" w:rsidRDefault="00C265C4" w:rsidP="00C32283">
      <w:pPr>
        <w:jc w:val="both"/>
      </w:pPr>
      <w:r w:rsidRPr="005F0C16">
        <w:t xml:space="preserve">slovy: </w:t>
      </w:r>
      <w:r w:rsidRPr="00393E6E">
        <w:tab/>
        <w:t>„</w:t>
      </w:r>
      <w:proofErr w:type="spellStart"/>
      <w:r w:rsidR="00BC3488" w:rsidRPr="00BC3488">
        <w:t>dvěstěšedesátjednatisícdevětsetpadesát</w:t>
      </w:r>
      <w:proofErr w:type="spellEnd"/>
      <w:r w:rsidR="00DE26C5">
        <w:t xml:space="preserve"> </w:t>
      </w:r>
      <w:r w:rsidRPr="005F0C16">
        <w:t>korun</w:t>
      </w:r>
      <w:r w:rsidR="00C3715E">
        <w:t xml:space="preserve"> </w:t>
      </w:r>
      <w:r w:rsidRPr="005F0C16">
        <w:t>českých“.</w:t>
      </w:r>
    </w:p>
    <w:p w14:paraId="11473AAF" w14:textId="77777777" w:rsidR="00C265C4" w:rsidRPr="00756BB0" w:rsidRDefault="00C265C4" w:rsidP="00C265C4">
      <w:pPr>
        <w:shd w:val="clear" w:color="auto" w:fill="FFFFFF"/>
      </w:pPr>
    </w:p>
    <w:p w14:paraId="74A2F8C1" w14:textId="77777777" w:rsidR="00C265C4" w:rsidRPr="00B00327" w:rsidRDefault="00C265C4" w:rsidP="008F57E9">
      <w:pPr>
        <w:shd w:val="clear" w:color="auto" w:fill="FFFFFF"/>
        <w:spacing w:after="240"/>
        <w:rPr>
          <w:szCs w:val="24"/>
        </w:rPr>
      </w:pPr>
      <w:r w:rsidRPr="00B00327">
        <w:rPr>
          <w:szCs w:val="24"/>
        </w:rPr>
        <w:t>DPH bude účtováno v sazbě platné ke dni uskutečnění zdanitelného plnění.</w:t>
      </w:r>
    </w:p>
    <w:p w14:paraId="1CB3A86B" w14:textId="77777777" w:rsidR="00C265C4" w:rsidRDefault="00C265C4">
      <w:pPr>
        <w:jc w:val="both"/>
        <w:rPr>
          <w:bCs/>
        </w:rPr>
      </w:pPr>
    </w:p>
    <w:p w14:paraId="3350CD90" w14:textId="77777777" w:rsidR="00F939F6" w:rsidRDefault="00F939F6" w:rsidP="00C265C4">
      <w:pPr>
        <w:jc w:val="center"/>
        <w:rPr>
          <w:b/>
          <w:bCs/>
        </w:rPr>
      </w:pPr>
      <w:r>
        <w:rPr>
          <w:b/>
          <w:bCs/>
        </w:rPr>
        <w:t>III.</w:t>
      </w:r>
      <w:r w:rsidR="00C265C4">
        <w:rPr>
          <w:b/>
          <w:bCs/>
        </w:rPr>
        <w:t xml:space="preserve"> MÍSTO A DOBA PLNĚNÍ</w:t>
      </w:r>
    </w:p>
    <w:p w14:paraId="3DEAEC19" w14:textId="77777777" w:rsidR="00FE6696" w:rsidRDefault="00FE6696" w:rsidP="001B213F">
      <w:pPr>
        <w:jc w:val="both"/>
        <w:rPr>
          <w:rFonts w:eastAsia="Calibri"/>
          <w:bCs/>
          <w:szCs w:val="24"/>
          <w:lang w:eastAsia="en-US"/>
        </w:rPr>
      </w:pPr>
    </w:p>
    <w:p w14:paraId="072C2248" w14:textId="5E65778F" w:rsidR="00FC0C42" w:rsidRDefault="00C265C4">
      <w:pPr>
        <w:spacing w:after="120"/>
        <w:jc w:val="both"/>
        <w:rPr>
          <w:rFonts w:eastAsia="Calibri"/>
          <w:bCs/>
          <w:szCs w:val="24"/>
          <w:lang w:eastAsia="en-US"/>
        </w:rPr>
      </w:pPr>
      <w:r w:rsidRPr="005075ED">
        <w:rPr>
          <w:rFonts w:eastAsia="Calibri"/>
          <w:bCs/>
          <w:szCs w:val="24"/>
          <w:lang w:eastAsia="en-US"/>
        </w:rPr>
        <w:t>Termín zahájení plnění:</w:t>
      </w:r>
      <w:r>
        <w:rPr>
          <w:rFonts w:eastAsia="Calibri"/>
          <w:bCs/>
          <w:szCs w:val="24"/>
          <w:lang w:eastAsia="en-US"/>
        </w:rPr>
        <w:t xml:space="preserve"> </w:t>
      </w:r>
      <w:r w:rsidR="00B04A4C">
        <w:rPr>
          <w:rFonts w:eastAsia="Calibri"/>
          <w:bCs/>
          <w:szCs w:val="24"/>
          <w:lang w:eastAsia="en-US"/>
        </w:rPr>
        <w:tab/>
      </w:r>
      <w:r w:rsidR="00B909FB">
        <w:rPr>
          <w:rFonts w:eastAsia="Calibri"/>
          <w:bCs/>
          <w:szCs w:val="24"/>
          <w:lang w:eastAsia="en-US"/>
        </w:rPr>
        <w:t xml:space="preserve">dle čl. </w:t>
      </w:r>
      <w:r w:rsidR="00F705DB">
        <w:rPr>
          <w:rFonts w:eastAsia="Calibri"/>
          <w:bCs/>
          <w:szCs w:val="24"/>
          <w:lang w:eastAsia="en-US"/>
        </w:rPr>
        <w:t xml:space="preserve">X. bod </w:t>
      </w:r>
      <w:r w:rsidR="00123F63">
        <w:rPr>
          <w:rFonts w:eastAsia="Calibri"/>
          <w:bCs/>
          <w:szCs w:val="24"/>
          <w:lang w:eastAsia="en-US"/>
        </w:rPr>
        <w:t>10</w:t>
      </w:r>
      <w:r w:rsidR="00C32283">
        <w:rPr>
          <w:rFonts w:eastAsia="Calibri"/>
          <w:bCs/>
          <w:szCs w:val="24"/>
          <w:lang w:eastAsia="en-US"/>
        </w:rPr>
        <w:t>.</w:t>
      </w:r>
      <w:r w:rsidR="00F705DB">
        <w:rPr>
          <w:rFonts w:eastAsia="Calibri"/>
          <w:bCs/>
          <w:szCs w:val="24"/>
          <w:lang w:eastAsia="en-US"/>
        </w:rPr>
        <w:t>2</w:t>
      </w:r>
      <w:r w:rsidR="00FC0C42">
        <w:rPr>
          <w:rFonts w:eastAsia="Calibri"/>
          <w:bCs/>
          <w:szCs w:val="24"/>
          <w:lang w:eastAsia="en-US"/>
        </w:rPr>
        <w:t xml:space="preserve"> </w:t>
      </w:r>
      <w:r w:rsidR="00B04A4C">
        <w:rPr>
          <w:rFonts w:eastAsia="Calibri"/>
          <w:bCs/>
          <w:szCs w:val="24"/>
          <w:lang w:eastAsia="en-US"/>
        </w:rPr>
        <w:t>této smlouvy</w:t>
      </w:r>
      <w:r>
        <w:rPr>
          <w:rFonts w:eastAsia="Calibri"/>
          <w:bCs/>
          <w:szCs w:val="24"/>
          <w:lang w:eastAsia="en-US"/>
        </w:rPr>
        <w:tab/>
      </w:r>
      <w:r w:rsidR="001B213F">
        <w:rPr>
          <w:rFonts w:eastAsia="Calibri"/>
          <w:bCs/>
          <w:szCs w:val="24"/>
          <w:lang w:eastAsia="en-US"/>
        </w:rPr>
        <w:tab/>
      </w:r>
      <w:r w:rsidR="001B213F">
        <w:rPr>
          <w:rFonts w:eastAsia="Calibri"/>
          <w:bCs/>
          <w:szCs w:val="24"/>
          <w:lang w:eastAsia="en-US"/>
        </w:rPr>
        <w:tab/>
      </w:r>
    </w:p>
    <w:p w14:paraId="4DC2041F" w14:textId="77777777" w:rsidR="00DE26C5" w:rsidRDefault="00C265C4" w:rsidP="008F57E9">
      <w:pPr>
        <w:spacing w:after="120"/>
        <w:jc w:val="both"/>
        <w:rPr>
          <w:rFonts w:eastAsia="Calibri"/>
          <w:bCs/>
          <w:szCs w:val="24"/>
          <w:lang w:eastAsia="en-US"/>
        </w:rPr>
      </w:pPr>
      <w:r w:rsidRPr="005075ED">
        <w:rPr>
          <w:rFonts w:eastAsia="Calibri"/>
          <w:bCs/>
          <w:szCs w:val="24"/>
          <w:lang w:eastAsia="en-US"/>
        </w:rPr>
        <w:t>Termín ukončení plnění:</w:t>
      </w:r>
      <w:r w:rsidR="00FC0C42">
        <w:rPr>
          <w:rFonts w:eastAsia="Calibri"/>
          <w:bCs/>
          <w:szCs w:val="24"/>
          <w:lang w:eastAsia="en-US"/>
        </w:rPr>
        <w:t xml:space="preserve"> </w:t>
      </w:r>
      <w:r w:rsidR="001E4955">
        <w:rPr>
          <w:rFonts w:eastAsia="Calibri"/>
          <w:bCs/>
          <w:szCs w:val="24"/>
          <w:lang w:eastAsia="en-US"/>
        </w:rPr>
        <w:tab/>
      </w:r>
      <w:r w:rsidR="00FC0C42">
        <w:rPr>
          <w:rFonts w:eastAsia="Calibri"/>
          <w:bCs/>
          <w:szCs w:val="24"/>
          <w:lang w:eastAsia="en-US"/>
        </w:rPr>
        <w:t>3</w:t>
      </w:r>
      <w:r w:rsidR="001E4955">
        <w:rPr>
          <w:rFonts w:eastAsia="Calibri"/>
          <w:bCs/>
          <w:szCs w:val="24"/>
          <w:lang w:eastAsia="en-US"/>
        </w:rPr>
        <w:t>1</w:t>
      </w:r>
      <w:r w:rsidR="00FC0C42">
        <w:rPr>
          <w:rFonts w:eastAsia="Calibri"/>
          <w:bCs/>
          <w:szCs w:val="24"/>
          <w:lang w:eastAsia="en-US"/>
        </w:rPr>
        <w:t>.</w:t>
      </w:r>
      <w:r w:rsidR="00B04A4C">
        <w:rPr>
          <w:rFonts w:eastAsia="Calibri"/>
          <w:bCs/>
          <w:szCs w:val="24"/>
          <w:lang w:eastAsia="en-US"/>
        </w:rPr>
        <w:t xml:space="preserve"> </w:t>
      </w:r>
      <w:r w:rsidR="001E4955">
        <w:rPr>
          <w:rFonts w:eastAsia="Calibri"/>
          <w:bCs/>
          <w:szCs w:val="24"/>
          <w:lang w:eastAsia="en-US"/>
        </w:rPr>
        <w:t>12</w:t>
      </w:r>
      <w:r w:rsidR="00FC0C42">
        <w:rPr>
          <w:rFonts w:eastAsia="Calibri"/>
          <w:bCs/>
          <w:szCs w:val="24"/>
          <w:lang w:eastAsia="en-US"/>
        </w:rPr>
        <w:t>.</w:t>
      </w:r>
      <w:r w:rsidR="00B04A4C">
        <w:rPr>
          <w:rFonts w:eastAsia="Calibri"/>
          <w:bCs/>
          <w:szCs w:val="24"/>
          <w:lang w:eastAsia="en-US"/>
        </w:rPr>
        <w:t xml:space="preserve"> </w:t>
      </w:r>
      <w:r w:rsidR="00FC0C42">
        <w:rPr>
          <w:rFonts w:eastAsia="Calibri"/>
          <w:bCs/>
          <w:szCs w:val="24"/>
          <w:lang w:eastAsia="en-US"/>
        </w:rPr>
        <w:t>202</w:t>
      </w:r>
      <w:r w:rsidR="00612693">
        <w:rPr>
          <w:rFonts w:eastAsia="Calibri"/>
          <w:bCs/>
          <w:szCs w:val="24"/>
          <w:lang w:eastAsia="en-US"/>
        </w:rPr>
        <w:t>1</w:t>
      </w:r>
    </w:p>
    <w:p w14:paraId="4DBA41D3" w14:textId="68726AE7" w:rsidR="00521C23" w:rsidRDefault="00C265C4" w:rsidP="008F57E9">
      <w:pPr>
        <w:spacing w:after="240"/>
        <w:jc w:val="both"/>
        <w:rPr>
          <w:rFonts w:eastAsia="Calibri"/>
          <w:bCs/>
          <w:szCs w:val="24"/>
          <w:lang w:eastAsia="en-US"/>
        </w:rPr>
      </w:pPr>
      <w:r w:rsidRPr="0026231B">
        <w:rPr>
          <w:rFonts w:eastAsia="Calibri"/>
          <w:bCs/>
          <w:szCs w:val="24"/>
          <w:lang w:eastAsia="en-US"/>
        </w:rPr>
        <w:t>Míst</w:t>
      </w:r>
      <w:r w:rsidR="00E8701F">
        <w:rPr>
          <w:rFonts w:eastAsia="Calibri"/>
          <w:bCs/>
          <w:szCs w:val="24"/>
          <w:lang w:eastAsia="en-US"/>
        </w:rPr>
        <w:t>em</w:t>
      </w:r>
      <w:r w:rsidRPr="0026231B">
        <w:rPr>
          <w:rFonts w:eastAsia="Calibri"/>
          <w:bCs/>
          <w:szCs w:val="24"/>
          <w:lang w:eastAsia="en-US"/>
        </w:rPr>
        <w:t xml:space="preserve"> plnění</w:t>
      </w:r>
      <w:r w:rsidR="00E8701F">
        <w:rPr>
          <w:rFonts w:eastAsia="Calibri"/>
          <w:bCs/>
          <w:szCs w:val="24"/>
          <w:lang w:eastAsia="en-US"/>
        </w:rPr>
        <w:t xml:space="preserve"> j</w:t>
      </w:r>
      <w:r w:rsidR="00B04A4C">
        <w:rPr>
          <w:rFonts w:eastAsia="Calibri"/>
          <w:bCs/>
          <w:szCs w:val="24"/>
          <w:lang w:eastAsia="en-US"/>
        </w:rPr>
        <w:t xml:space="preserve">sou </w:t>
      </w:r>
      <w:r w:rsidR="00B04A4C" w:rsidRPr="008A7CB3">
        <w:rPr>
          <w:rFonts w:eastAsia="Calibri"/>
          <w:bCs/>
          <w:szCs w:val="24"/>
          <w:lang w:eastAsia="en-US"/>
        </w:rPr>
        <w:t xml:space="preserve">objekty </w:t>
      </w:r>
      <w:r w:rsidR="00462A4B" w:rsidRPr="008A7CB3">
        <w:rPr>
          <w:rFonts w:eastAsia="Calibri"/>
          <w:bCs/>
          <w:szCs w:val="24"/>
          <w:lang w:eastAsia="en-US"/>
        </w:rPr>
        <w:t>objednatele</w:t>
      </w:r>
      <w:r w:rsidR="00B04A4C" w:rsidRPr="008A7CB3">
        <w:rPr>
          <w:rFonts w:eastAsia="Calibri"/>
          <w:bCs/>
          <w:szCs w:val="24"/>
          <w:lang w:eastAsia="en-US"/>
        </w:rPr>
        <w:t xml:space="preserve"> Morava</w:t>
      </w:r>
      <w:r w:rsidR="008A7CB3">
        <w:rPr>
          <w:rFonts w:eastAsia="Calibri"/>
          <w:bCs/>
          <w:szCs w:val="24"/>
          <w:lang w:eastAsia="en-US"/>
        </w:rPr>
        <w:t xml:space="preserve"> – viz příloha číslo 2</w:t>
      </w:r>
      <w:r w:rsidR="00B04A4C">
        <w:rPr>
          <w:rFonts w:eastAsia="Calibri"/>
          <w:bCs/>
          <w:szCs w:val="24"/>
          <w:lang w:eastAsia="en-US"/>
        </w:rPr>
        <w:t xml:space="preserve"> této smlouvy.</w:t>
      </w:r>
    </w:p>
    <w:p w14:paraId="0664A2C4" w14:textId="77777777" w:rsidR="00F939F6" w:rsidRDefault="00F939F6" w:rsidP="008F57E9">
      <w:pPr>
        <w:jc w:val="both"/>
        <w:rPr>
          <w:bCs/>
        </w:rPr>
      </w:pPr>
    </w:p>
    <w:p w14:paraId="5DC4E9AE" w14:textId="77777777" w:rsidR="00F939F6" w:rsidRDefault="00CF627D" w:rsidP="00BE69FA">
      <w:pPr>
        <w:jc w:val="center"/>
        <w:rPr>
          <w:b/>
          <w:bCs/>
        </w:rPr>
      </w:pPr>
      <w:r>
        <w:rPr>
          <w:b/>
          <w:bCs/>
        </w:rPr>
        <w:t>I</w:t>
      </w:r>
      <w:r w:rsidR="00F939F6">
        <w:rPr>
          <w:b/>
          <w:bCs/>
        </w:rPr>
        <w:t>V.</w:t>
      </w:r>
      <w:r w:rsidR="00BE69FA">
        <w:rPr>
          <w:b/>
          <w:bCs/>
        </w:rPr>
        <w:t xml:space="preserve"> </w:t>
      </w:r>
      <w:r w:rsidR="00E8701F">
        <w:rPr>
          <w:b/>
          <w:bCs/>
        </w:rPr>
        <w:t>FAKTURAČNÍ A PLATEBNÍ PODMÍNKY</w:t>
      </w:r>
    </w:p>
    <w:p w14:paraId="6645A60E" w14:textId="77777777" w:rsidR="00BE69FA" w:rsidRPr="00CE6BFD" w:rsidRDefault="00BE69FA" w:rsidP="00BE69FA">
      <w:pPr>
        <w:jc w:val="center"/>
        <w:rPr>
          <w:b/>
          <w:bCs/>
        </w:rPr>
      </w:pPr>
    </w:p>
    <w:p w14:paraId="19004BDE" w14:textId="5C43F5D7" w:rsidR="001A25BB" w:rsidRDefault="00F939F6" w:rsidP="008F57E9">
      <w:pPr>
        <w:numPr>
          <w:ilvl w:val="0"/>
          <w:numId w:val="1"/>
        </w:numPr>
        <w:spacing w:after="120"/>
        <w:ind w:left="709" w:hanging="709"/>
        <w:jc w:val="both"/>
      </w:pPr>
      <w:r>
        <w:rPr>
          <w:bCs/>
        </w:rPr>
        <w:t>Poskytovatel je povinen po vzniku práva fakturovat vystavit a do 1</w:t>
      </w:r>
      <w:r w:rsidR="00FD2365">
        <w:rPr>
          <w:bCs/>
        </w:rPr>
        <w:t>0</w:t>
      </w:r>
      <w:r>
        <w:rPr>
          <w:bCs/>
        </w:rPr>
        <w:t xml:space="preserve"> dnů doručit objednateli daňový doklad (dále jen „faktura“) na dohodnutou smluvní cenu s rozepsáním jednotlivých položek podle § 28 z</w:t>
      </w:r>
      <w:r w:rsidR="00E01390">
        <w:rPr>
          <w:bCs/>
        </w:rPr>
        <w:t>ákona</w:t>
      </w:r>
      <w:r w:rsidR="00495496">
        <w:t xml:space="preserve"> č. 235/2004 Sb., o </w:t>
      </w:r>
      <w:r>
        <w:t>dani z přidané hodnoty, ve znění pozdějších předpisů.</w:t>
      </w:r>
    </w:p>
    <w:p w14:paraId="1CF1E3FF" w14:textId="2F4182BB" w:rsidR="00FD2365" w:rsidRDefault="0026231B" w:rsidP="008F57E9">
      <w:pPr>
        <w:numPr>
          <w:ilvl w:val="0"/>
          <w:numId w:val="1"/>
        </w:numPr>
        <w:spacing w:after="120"/>
        <w:ind w:left="709" w:hanging="709"/>
        <w:jc w:val="both"/>
      </w:pPr>
      <w:r>
        <w:t xml:space="preserve">Objednatel se zavazuje uhradit cenu za poskytnuté služby na základě </w:t>
      </w:r>
      <w:r w:rsidR="00DF75F2">
        <w:t>faktury</w:t>
      </w:r>
      <w:r>
        <w:t>, jež bude vystaven</w:t>
      </w:r>
      <w:r w:rsidR="006B4EFE">
        <w:t>a</w:t>
      </w:r>
      <w:r>
        <w:t xml:space="preserve"> v souladu s </w:t>
      </w:r>
      <w:proofErr w:type="spellStart"/>
      <w:r>
        <w:t>ust</w:t>
      </w:r>
      <w:proofErr w:type="spellEnd"/>
      <w:r>
        <w:t>. § 11 odst. 1 zák. č. 563/1991 Sb.,</w:t>
      </w:r>
      <w:r w:rsidR="00FD2365">
        <w:t xml:space="preserve"> o účetnictví,</w:t>
      </w:r>
      <w:r w:rsidR="00E106E8">
        <w:t xml:space="preserve"> v platném znění. </w:t>
      </w:r>
      <w:r w:rsidR="00DF75F2">
        <w:t>Faktura</w:t>
      </w:r>
      <w:r w:rsidRPr="00BA31FB">
        <w:t xml:space="preserve"> musí</w:t>
      </w:r>
      <w:r>
        <w:t xml:space="preserve"> dále obsahovat údaje podle zákona č. </w:t>
      </w:r>
      <w:r w:rsidRPr="00BA31FB">
        <w:t>235/2004 Sb., o dani z přidané hodnot</w:t>
      </w:r>
      <w:r>
        <w:t>y, v platném znění</w:t>
      </w:r>
      <w:r w:rsidR="006B4EFE">
        <w:t>.</w:t>
      </w:r>
    </w:p>
    <w:p w14:paraId="06C465D6" w14:textId="77777777" w:rsidR="00F939F6" w:rsidRDefault="00F939F6" w:rsidP="00D40423">
      <w:pPr>
        <w:numPr>
          <w:ilvl w:val="0"/>
          <w:numId w:val="1"/>
        </w:numPr>
        <w:ind w:left="709" w:hanging="709"/>
        <w:jc w:val="both"/>
      </w:pPr>
      <w:r>
        <w:t>Kromě náležitostí v zákoně uvedených musí faktura obsahovat též následující údaje:</w:t>
      </w:r>
    </w:p>
    <w:p w14:paraId="37837F0F" w14:textId="77777777" w:rsidR="00F939F6" w:rsidRDefault="00F939F6" w:rsidP="00EB240B">
      <w:pPr>
        <w:ind w:left="709" w:hanging="709"/>
        <w:jc w:val="both"/>
      </w:pPr>
      <w:r>
        <w:tab/>
        <w:t>a) označení dokladu jako daňový doklad (faktura),</w:t>
      </w:r>
    </w:p>
    <w:p w14:paraId="4AAE44C1" w14:textId="77777777" w:rsidR="00F939F6" w:rsidRDefault="00F939F6" w:rsidP="00CF627D">
      <w:pPr>
        <w:ind w:left="709" w:hanging="709"/>
        <w:jc w:val="both"/>
      </w:pPr>
      <w:r>
        <w:t xml:space="preserve"> </w:t>
      </w:r>
      <w:r>
        <w:tab/>
        <w:t>b) číslo smlouvy dle číslování objednatele,</w:t>
      </w:r>
    </w:p>
    <w:p w14:paraId="1A9085F2" w14:textId="77777777" w:rsidR="00F939F6" w:rsidRDefault="00F939F6" w:rsidP="00CF627D">
      <w:pPr>
        <w:ind w:left="709" w:hanging="709"/>
        <w:jc w:val="both"/>
      </w:pPr>
      <w:r>
        <w:tab/>
        <w:t>c) den vystavení, den odeslání a den (lhůta) splatnosti faktury,</w:t>
      </w:r>
    </w:p>
    <w:p w14:paraId="356F429F" w14:textId="77777777" w:rsidR="00F939F6" w:rsidRDefault="00F939F6" w:rsidP="00CF627D">
      <w:pPr>
        <w:ind w:left="709" w:hanging="709"/>
        <w:jc w:val="both"/>
      </w:pPr>
      <w:r>
        <w:tab/>
        <w:t>d) příjemce a místo předání služby,</w:t>
      </w:r>
    </w:p>
    <w:p w14:paraId="085B9FF6" w14:textId="39680F2F" w:rsidR="00F939F6" w:rsidRDefault="00F939F6" w:rsidP="00CF627D">
      <w:pPr>
        <w:ind w:left="709" w:hanging="709"/>
      </w:pPr>
      <w:r>
        <w:tab/>
        <w:t>e) IČ</w:t>
      </w:r>
      <w:r w:rsidR="006B4EFE">
        <w:t>O</w:t>
      </w:r>
      <w:r>
        <w:t xml:space="preserve"> a DIČ smluvních stran,</w:t>
      </w:r>
    </w:p>
    <w:p w14:paraId="3E145DCF" w14:textId="77777777" w:rsidR="00F939F6" w:rsidRDefault="00F939F6" w:rsidP="00CF627D">
      <w:pPr>
        <w:ind w:left="709" w:hanging="709"/>
      </w:pPr>
      <w:r>
        <w:tab/>
        <w:t>f) označení peněžního ústavu a číslo účtu, na který má být placeno,</w:t>
      </w:r>
    </w:p>
    <w:p w14:paraId="4EA99680" w14:textId="7F40FF18" w:rsidR="00DF75F2" w:rsidRDefault="00F939F6" w:rsidP="008F57E9">
      <w:pPr>
        <w:spacing w:after="120"/>
      </w:pPr>
      <w:r>
        <w:tab/>
        <w:t>g) počet příloh a razítko s podpisem poskytovatele</w:t>
      </w:r>
      <w:r w:rsidR="00B04A4C">
        <w:t>.</w:t>
      </w:r>
    </w:p>
    <w:p w14:paraId="5FC149C9" w14:textId="0EC7B669" w:rsidR="00F939F6" w:rsidRDefault="00F939F6" w:rsidP="008F57E9">
      <w:pPr>
        <w:pStyle w:val="Odstavecseseznamem"/>
        <w:numPr>
          <w:ilvl w:val="0"/>
          <w:numId w:val="1"/>
        </w:numPr>
        <w:spacing w:after="120"/>
        <w:ind w:left="709" w:hanging="643"/>
        <w:jc w:val="both"/>
      </w:pPr>
      <w:r>
        <w:t>Splatnost faktury činí</w:t>
      </w:r>
      <w:r w:rsidRPr="00983229">
        <w:t xml:space="preserve"> </w:t>
      </w:r>
      <w:r w:rsidR="00983229" w:rsidRPr="001C688A">
        <w:t>30</w:t>
      </w:r>
      <w:r>
        <w:t xml:space="preserve"> dnů ode dne jejího doručení na adresu objednatele pro doručování korespondence uvedenou v</w:t>
      </w:r>
      <w:r w:rsidR="003159D6">
        <w:t> hlavičce této smlouvy</w:t>
      </w:r>
      <w:r w:rsidR="004C27A1">
        <w:t>.</w:t>
      </w:r>
      <w:r w:rsidR="0026231B">
        <w:t xml:space="preserve"> V případě, že poskytovatel uvede na faktuře den splatnosti, který nebude odpovídat podmínce </w:t>
      </w:r>
      <w:r w:rsidR="00F705DB">
        <w:t>30den</w:t>
      </w:r>
      <w:r w:rsidR="00DE26C5">
        <w:t>n</w:t>
      </w:r>
      <w:r w:rsidR="00F705DB">
        <w:t>í</w:t>
      </w:r>
      <w:r w:rsidR="0026231B">
        <w:t xml:space="preserve"> lhůty po doručení do sídla objednatele, je objednatel oprávněn tuto fakturu vrátit zpět. </w:t>
      </w:r>
    </w:p>
    <w:p w14:paraId="15388E1F" w14:textId="77777777" w:rsidR="00F939F6" w:rsidRPr="001C688A" w:rsidRDefault="00983229" w:rsidP="008F57E9">
      <w:pPr>
        <w:numPr>
          <w:ilvl w:val="0"/>
          <w:numId w:val="1"/>
        </w:numPr>
        <w:spacing w:after="120"/>
        <w:ind w:left="709" w:hanging="709"/>
        <w:jc w:val="both"/>
        <w:rPr>
          <w:bCs/>
          <w:iCs/>
          <w:color w:val="000000"/>
        </w:rPr>
      </w:pPr>
      <w:r w:rsidRPr="001C688A">
        <w:t>Poskytovatel</w:t>
      </w:r>
      <w:r w:rsidR="00CE6BFD" w:rsidRPr="001C688A">
        <w:t xml:space="preserve"> je</w:t>
      </w:r>
      <w:r w:rsidR="00CE6BFD" w:rsidRPr="001C688A">
        <w:rPr>
          <w:color w:val="000000"/>
        </w:rPr>
        <w:t xml:space="preserve"> povinen v předmětu fakturace uvést přesný název akce a číslo smlouvy. Jinak bude faktura vrácena </w:t>
      </w:r>
      <w:r w:rsidR="00FF734D" w:rsidRPr="001C688A">
        <w:rPr>
          <w:color w:val="000000"/>
        </w:rPr>
        <w:t>poskytovateli</w:t>
      </w:r>
      <w:r w:rsidR="00CE6BFD" w:rsidRPr="001C688A">
        <w:rPr>
          <w:color w:val="000000"/>
        </w:rPr>
        <w:t xml:space="preserve"> k doplnění</w:t>
      </w:r>
      <w:r w:rsidR="00CE6BFD" w:rsidRPr="001C688A">
        <w:rPr>
          <w:bCs/>
          <w:iCs/>
          <w:color w:val="000000"/>
        </w:rPr>
        <w:t xml:space="preserve">. </w:t>
      </w:r>
    </w:p>
    <w:p w14:paraId="35B0F688" w14:textId="77777777" w:rsidR="00310C10" w:rsidRPr="001C688A" w:rsidRDefault="00F939F6" w:rsidP="008F57E9">
      <w:pPr>
        <w:numPr>
          <w:ilvl w:val="0"/>
          <w:numId w:val="1"/>
        </w:numPr>
        <w:spacing w:after="120"/>
        <w:ind w:left="709" w:hanging="709"/>
        <w:jc w:val="both"/>
      </w:pPr>
      <w:r w:rsidRPr="001C688A">
        <w:t>Objednatel neposkytuje zálohové platby.</w:t>
      </w:r>
    </w:p>
    <w:p w14:paraId="60EE8CE1" w14:textId="77777777" w:rsidR="00983229" w:rsidRPr="001C688A" w:rsidRDefault="00983229" w:rsidP="00D40423">
      <w:pPr>
        <w:numPr>
          <w:ilvl w:val="0"/>
          <w:numId w:val="1"/>
        </w:numPr>
        <w:ind w:left="709" w:hanging="709"/>
        <w:jc w:val="both"/>
      </w:pPr>
      <w:r w:rsidRPr="001C688A">
        <w:t>Poskytovatel nesmí postoupit pohledávku nebo její část vyplývající z této smlouvy vůči objednateli třetí osobě bez předchozího písemného souhlasu objednatele.</w:t>
      </w:r>
    </w:p>
    <w:p w14:paraId="3A9F8CE6" w14:textId="77777777" w:rsidR="00983229" w:rsidRDefault="00983229" w:rsidP="00983229">
      <w:pPr>
        <w:jc w:val="both"/>
      </w:pPr>
    </w:p>
    <w:p w14:paraId="15ED2262" w14:textId="77777777" w:rsidR="0026231B" w:rsidRPr="001C688A" w:rsidRDefault="0026231B" w:rsidP="00983229">
      <w:pPr>
        <w:jc w:val="both"/>
      </w:pPr>
    </w:p>
    <w:p w14:paraId="454CC060" w14:textId="77777777" w:rsidR="00BE69FA" w:rsidRPr="001C688A" w:rsidRDefault="00983229" w:rsidP="00983229">
      <w:pPr>
        <w:jc w:val="center"/>
        <w:rPr>
          <w:b/>
          <w:bCs/>
          <w:iCs/>
          <w:szCs w:val="24"/>
        </w:rPr>
      </w:pPr>
      <w:r w:rsidRPr="001C688A">
        <w:rPr>
          <w:b/>
          <w:bCs/>
          <w:iCs/>
          <w:szCs w:val="24"/>
        </w:rPr>
        <w:lastRenderedPageBreak/>
        <w:t xml:space="preserve">V. PRÁVA A POVINNNOSTI </w:t>
      </w:r>
      <w:r w:rsidR="0052785B">
        <w:rPr>
          <w:b/>
          <w:bCs/>
          <w:iCs/>
          <w:szCs w:val="24"/>
        </w:rPr>
        <w:t>STRAN</w:t>
      </w:r>
    </w:p>
    <w:p w14:paraId="2C7CF440" w14:textId="77777777" w:rsidR="00983229" w:rsidRPr="001C688A" w:rsidRDefault="00983229" w:rsidP="00983229">
      <w:pPr>
        <w:jc w:val="center"/>
        <w:rPr>
          <w:b/>
          <w:bCs/>
          <w:iCs/>
          <w:szCs w:val="24"/>
        </w:rPr>
      </w:pPr>
    </w:p>
    <w:p w14:paraId="5776FCB3" w14:textId="55173B65" w:rsidR="00994657" w:rsidRPr="003157E4" w:rsidRDefault="003157E4" w:rsidP="003157E4">
      <w:pPr>
        <w:pStyle w:val="Odstavecseseznamem"/>
        <w:numPr>
          <w:ilvl w:val="1"/>
          <w:numId w:val="21"/>
        </w:numPr>
        <w:tabs>
          <w:tab w:val="left" w:pos="-3119"/>
          <w:tab w:val="left" w:pos="-2977"/>
        </w:tabs>
        <w:suppressAutoHyphens/>
        <w:overflowPunct w:val="0"/>
        <w:autoSpaceDE w:val="0"/>
        <w:spacing w:after="120"/>
        <w:ind w:left="709"/>
        <w:jc w:val="both"/>
        <w:textAlignment w:val="baseline"/>
        <w:rPr>
          <w:szCs w:val="24"/>
          <w:lang w:eastAsia="ar-SA"/>
        </w:rPr>
      </w:pPr>
      <w:r>
        <w:rPr>
          <w:szCs w:val="24"/>
          <w:lang w:val="cs-CZ" w:eastAsia="ar-SA"/>
        </w:rPr>
        <w:t>O p</w:t>
      </w:r>
      <w:proofErr w:type="spellStart"/>
      <w:r w:rsidR="00994657" w:rsidRPr="003157E4">
        <w:rPr>
          <w:szCs w:val="24"/>
          <w:lang w:eastAsia="ar-SA"/>
        </w:rPr>
        <w:t>ředání</w:t>
      </w:r>
      <w:proofErr w:type="spellEnd"/>
      <w:r w:rsidR="00994657" w:rsidRPr="003157E4">
        <w:rPr>
          <w:szCs w:val="24"/>
          <w:lang w:eastAsia="ar-SA"/>
        </w:rPr>
        <w:t xml:space="preserve"> služeb bude vždy sepsán předávací protokol. Pokud bude provedená služba vykazovat jakékoli vady, je objednatel oprávněn provedené služby nepřevzít a smluvní strany sepíší zápis s uvedením zjištěných vad a nedodělků a s termíny jejich odstranění. Objednatel je však oprávněn dle svého vlastního uvážení převzít služby vykazující vady, které však nebrání řádnému užívání, o čemž se sepíše zápis s uvedením nedostatků. Tím není dotčena povinnost poskytovatele dílo službu dokončit, tedy odstranit veškeré vady a nedodělky. Po řádném dokončení služby sepíší strany předávací protokol o odstranění vad a nedodělků.</w:t>
      </w:r>
    </w:p>
    <w:p w14:paraId="0AC953FE" w14:textId="77777777" w:rsidR="00994657" w:rsidRPr="003157E4" w:rsidRDefault="00994657" w:rsidP="003157E4">
      <w:pPr>
        <w:pStyle w:val="Odstavecseseznamem"/>
        <w:numPr>
          <w:ilvl w:val="0"/>
          <w:numId w:val="21"/>
        </w:numPr>
        <w:tabs>
          <w:tab w:val="left" w:pos="-3119"/>
          <w:tab w:val="left" w:pos="-2977"/>
        </w:tabs>
        <w:suppressAutoHyphens/>
        <w:overflowPunct w:val="0"/>
        <w:autoSpaceDE w:val="0"/>
        <w:spacing w:after="120"/>
        <w:jc w:val="both"/>
        <w:textAlignment w:val="baseline"/>
        <w:rPr>
          <w:szCs w:val="24"/>
          <w:lang w:eastAsia="ar-SA"/>
        </w:rPr>
      </w:pPr>
      <w:r w:rsidRPr="003157E4">
        <w:rPr>
          <w:szCs w:val="24"/>
          <w:lang w:eastAsia="ar-SA"/>
        </w:rPr>
        <w:t>Podkladem pro vystavení faktury bude soupis provedených a odsouhlasených služeb uvedených v předávacím protokolu a podepsaný objednatelem. Objednatel není povinen zaplatit za službu, která nebude provedena řádně, a to až do doby vyřešení nároků objednatele z vad.</w:t>
      </w:r>
    </w:p>
    <w:p w14:paraId="68A7FF81" w14:textId="77777777" w:rsidR="00994657" w:rsidRPr="003157E4" w:rsidRDefault="00994657" w:rsidP="003157E4">
      <w:pPr>
        <w:pStyle w:val="Odstavecseseznamem"/>
        <w:numPr>
          <w:ilvl w:val="0"/>
          <w:numId w:val="21"/>
        </w:numPr>
        <w:tabs>
          <w:tab w:val="left" w:pos="-3119"/>
          <w:tab w:val="left" w:pos="-2977"/>
        </w:tabs>
        <w:suppressAutoHyphens/>
        <w:overflowPunct w:val="0"/>
        <w:autoSpaceDE w:val="0"/>
        <w:spacing w:after="120"/>
        <w:jc w:val="both"/>
        <w:textAlignment w:val="baseline"/>
        <w:rPr>
          <w:szCs w:val="24"/>
          <w:lang w:eastAsia="ar-SA"/>
        </w:rPr>
      </w:pPr>
      <w:r w:rsidRPr="003157E4">
        <w:rPr>
          <w:szCs w:val="24"/>
          <w:lang w:eastAsia="ar-SA"/>
        </w:rPr>
        <w:t>Bude-li poskytování služeb prováděno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1001D59A" w14:textId="195FF0F9" w:rsidR="00994657" w:rsidRPr="003157E4" w:rsidRDefault="00994657" w:rsidP="003157E4">
      <w:pPr>
        <w:pStyle w:val="Odstavecseseznamem"/>
        <w:numPr>
          <w:ilvl w:val="0"/>
          <w:numId w:val="21"/>
        </w:numPr>
        <w:tabs>
          <w:tab w:val="left" w:pos="-3119"/>
          <w:tab w:val="left" w:pos="-2977"/>
        </w:tabs>
        <w:suppressAutoHyphens/>
        <w:overflowPunct w:val="0"/>
        <w:autoSpaceDE w:val="0"/>
        <w:spacing w:after="120"/>
        <w:jc w:val="both"/>
        <w:textAlignment w:val="baseline"/>
        <w:rPr>
          <w:szCs w:val="24"/>
          <w:lang w:eastAsia="ar-SA"/>
        </w:rPr>
      </w:pPr>
      <w:r w:rsidRPr="003157E4">
        <w:rPr>
          <w:szCs w:val="24"/>
          <w:lang w:eastAsia="ar-SA"/>
        </w:rPr>
        <w:t xml:space="preserve">Poskytovatel prohlašuje, že má uzavřeno pojištění odpovědnosti za škodu způsobenou provozní činností, a to do výše min. </w:t>
      </w:r>
      <w:r w:rsidR="003157E4">
        <w:rPr>
          <w:szCs w:val="24"/>
          <w:lang w:val="cs-CZ" w:eastAsia="ar-SA"/>
        </w:rPr>
        <w:t>4</w:t>
      </w:r>
      <w:r w:rsidRPr="003157E4">
        <w:rPr>
          <w:szCs w:val="24"/>
          <w:lang w:eastAsia="ar-SA"/>
        </w:rPr>
        <w:t> 000 000 Kč. Poskytovatel je povinen mít pojištění minimálně v tomto rozsahu uzavřené po celou dobu trvání této smlouvy, jakož i po dobu trvání záruky za jakost.</w:t>
      </w:r>
    </w:p>
    <w:p w14:paraId="316C3157" w14:textId="77777777" w:rsidR="00994657" w:rsidRPr="003157E4" w:rsidRDefault="00994657" w:rsidP="003157E4">
      <w:pPr>
        <w:pStyle w:val="Odstavecseseznamem"/>
        <w:numPr>
          <w:ilvl w:val="0"/>
          <w:numId w:val="21"/>
        </w:numPr>
        <w:tabs>
          <w:tab w:val="left" w:pos="-3119"/>
          <w:tab w:val="left" w:pos="-2977"/>
        </w:tabs>
        <w:suppressAutoHyphens/>
        <w:overflowPunct w:val="0"/>
        <w:autoSpaceDE w:val="0"/>
        <w:spacing w:after="120"/>
        <w:jc w:val="both"/>
        <w:textAlignment w:val="baseline"/>
        <w:rPr>
          <w:rFonts w:cs="Arial"/>
          <w:color w:val="000000"/>
          <w:szCs w:val="24"/>
        </w:rPr>
      </w:pPr>
      <w:r w:rsidRPr="003157E4">
        <w:rPr>
          <w:szCs w:val="24"/>
          <w:lang w:eastAsia="ar-SA"/>
        </w:rPr>
        <w:t>Služby budou prováděny při zajištění veškeré nezbytné přepravy, vyložení, zabudování, ochrany, bezpečnostních opatření v rámci BOZP a PO, potřebných pracovních sil a materiálů, řízení prací, výrobních prostor a jiných dočasných prací, které jsou zapotřebí k jejich řádnému provedení, při provedení všech předepsaných zkoušek a revizí</w:t>
      </w:r>
    </w:p>
    <w:p w14:paraId="1EAD9985" w14:textId="77777777" w:rsidR="00994657" w:rsidRPr="003157E4" w:rsidRDefault="00994657" w:rsidP="003157E4">
      <w:pPr>
        <w:pStyle w:val="Odstavecseseznamem"/>
        <w:numPr>
          <w:ilvl w:val="0"/>
          <w:numId w:val="21"/>
        </w:numPr>
        <w:tabs>
          <w:tab w:val="left" w:pos="-3119"/>
          <w:tab w:val="left" w:pos="-2977"/>
        </w:tabs>
        <w:suppressAutoHyphens/>
        <w:overflowPunct w:val="0"/>
        <w:autoSpaceDE w:val="0"/>
        <w:spacing w:after="120"/>
        <w:jc w:val="both"/>
        <w:textAlignment w:val="baseline"/>
        <w:rPr>
          <w:rFonts w:cs="Arial"/>
          <w:color w:val="000000"/>
          <w:szCs w:val="24"/>
        </w:rPr>
      </w:pPr>
      <w:r w:rsidRPr="003157E4">
        <w:rPr>
          <w:rFonts w:cs="Arial"/>
          <w:color w:val="000000"/>
          <w:szCs w:val="24"/>
        </w:rPr>
        <w:t xml:space="preserve">Služby budou realizovány za dodržení platných bezpečnostních a hygienických norem a předpisů, předepsaných technologických postupů a technických norem, které jsou pro uvedenou službu závazné. Služby budou poskytnuty v nejvyšší kvalitě. </w:t>
      </w:r>
    </w:p>
    <w:p w14:paraId="04E73EAA" w14:textId="77777777" w:rsidR="00994657" w:rsidRPr="003157E4" w:rsidRDefault="00994657" w:rsidP="008F57E9">
      <w:pPr>
        <w:pStyle w:val="Odstavecseseznamem"/>
        <w:numPr>
          <w:ilvl w:val="0"/>
          <w:numId w:val="21"/>
        </w:numPr>
        <w:tabs>
          <w:tab w:val="left" w:pos="-3119"/>
          <w:tab w:val="left" w:pos="-2977"/>
        </w:tabs>
        <w:suppressAutoHyphens/>
        <w:overflowPunct w:val="0"/>
        <w:autoSpaceDE w:val="0"/>
        <w:spacing w:after="240"/>
        <w:jc w:val="both"/>
        <w:textAlignment w:val="baseline"/>
        <w:rPr>
          <w:rFonts w:cs="Arial"/>
          <w:color w:val="000000"/>
          <w:szCs w:val="24"/>
        </w:rPr>
      </w:pPr>
      <w:r w:rsidRPr="003157E4">
        <w:rPr>
          <w:szCs w:val="24"/>
        </w:rPr>
        <w:t xml:space="preserve">Všichni pracovníci, kteří se budou podílet na realizaci služeb, musí být občané České republiky, NATO nebo ze zemí EU – realizace bude probíhat v uzavřených vojenských areálech a objektech. Do uzavřených vojenských areálu je umožněn poskytovateli služeb vstup pouze na základě vyřízených vstupů a vjezdů, které zajišťuje objednatel, na základě předloženého seznamu osob a vozidel, podílejících se na realizaci služeb dle této smlouvy.  </w:t>
      </w:r>
    </w:p>
    <w:p w14:paraId="696D307A" w14:textId="77777777" w:rsidR="00FF734D" w:rsidRPr="001C688A" w:rsidRDefault="00FF734D" w:rsidP="00FF734D">
      <w:pPr>
        <w:ind w:left="709"/>
        <w:jc w:val="both"/>
      </w:pPr>
    </w:p>
    <w:p w14:paraId="1CE9A5DE" w14:textId="77777777" w:rsidR="00F939F6" w:rsidRPr="001C688A" w:rsidRDefault="00B06393" w:rsidP="00BE69FA">
      <w:pPr>
        <w:jc w:val="center"/>
        <w:rPr>
          <w:b/>
        </w:rPr>
      </w:pPr>
      <w:r w:rsidRPr="001C688A">
        <w:rPr>
          <w:b/>
        </w:rPr>
        <w:t>V</w:t>
      </w:r>
      <w:r w:rsidR="001747F3" w:rsidRPr="001C688A">
        <w:rPr>
          <w:b/>
        </w:rPr>
        <w:t>I</w:t>
      </w:r>
      <w:r w:rsidR="00F939F6" w:rsidRPr="001C688A">
        <w:rPr>
          <w:b/>
        </w:rPr>
        <w:t>.</w:t>
      </w:r>
      <w:r w:rsidR="00BE69FA" w:rsidRPr="001C688A">
        <w:rPr>
          <w:b/>
        </w:rPr>
        <w:t xml:space="preserve"> ODPOVĚDNOST ZA VADY</w:t>
      </w:r>
    </w:p>
    <w:p w14:paraId="4A8CFE8E" w14:textId="77777777" w:rsidR="00CE6BFD" w:rsidRPr="001C688A" w:rsidRDefault="00CE6BFD" w:rsidP="00CE6BFD">
      <w:pPr>
        <w:jc w:val="center"/>
        <w:rPr>
          <w:b/>
        </w:rPr>
      </w:pPr>
    </w:p>
    <w:p w14:paraId="1E0E5D50" w14:textId="067D37A4" w:rsidR="00B04A4C" w:rsidRPr="000243B5" w:rsidRDefault="00B04A4C" w:rsidP="008F57E9">
      <w:pPr>
        <w:pStyle w:val="slovn"/>
        <w:numPr>
          <w:ilvl w:val="0"/>
          <w:numId w:val="27"/>
        </w:numPr>
        <w:spacing w:after="120"/>
        <w:ind w:left="709" w:hanging="709"/>
        <w:rPr>
          <w:rFonts w:ascii="Times New Roman" w:hAnsi="Times New Roman" w:cs="Times New Roman"/>
          <w:sz w:val="24"/>
          <w:szCs w:val="24"/>
        </w:rPr>
      </w:pPr>
      <w:r w:rsidRPr="000243B5">
        <w:rPr>
          <w:rFonts w:ascii="Times New Roman" w:hAnsi="Times New Roman" w:cs="Times New Roman"/>
          <w:sz w:val="24"/>
          <w:szCs w:val="24"/>
        </w:rPr>
        <w:t>Poskytovatel se zavazuje provádět služby řádně a včas. Řádným provedením se rozumí provedení služeb bez vad a nedodělků a v souladu se sjednanými podmínkami a termíny plnění</w:t>
      </w:r>
      <w:r w:rsidR="00D40423">
        <w:rPr>
          <w:rFonts w:ascii="Times New Roman" w:hAnsi="Times New Roman" w:cs="Times New Roman"/>
          <w:sz w:val="24"/>
          <w:szCs w:val="24"/>
        </w:rPr>
        <w:t>.</w:t>
      </w:r>
    </w:p>
    <w:p w14:paraId="119E06FC" w14:textId="30F13D23" w:rsidR="00D40423" w:rsidRPr="008F57E9" w:rsidRDefault="00B04A4C" w:rsidP="008F57E9">
      <w:pPr>
        <w:pStyle w:val="slovn"/>
        <w:numPr>
          <w:ilvl w:val="0"/>
          <w:numId w:val="27"/>
        </w:numPr>
        <w:spacing w:after="120"/>
        <w:ind w:left="709" w:right="-1" w:hanging="709"/>
      </w:pPr>
      <w:r w:rsidRPr="000243B5">
        <w:rPr>
          <w:rFonts w:ascii="Times New Roman" w:hAnsi="Times New Roman" w:cs="Times New Roman"/>
          <w:color w:val="000000"/>
          <w:sz w:val="24"/>
          <w:szCs w:val="24"/>
        </w:rPr>
        <w:t>Poskytovatel odpovídá a je povinen uhradit objednateli škody na věcech a zařízeních objednatele způsobené jím a jím určenými pracovníky, kteří se budou podílet na provádění služb</w:t>
      </w:r>
      <w:r w:rsidR="00D40423">
        <w:rPr>
          <w:rFonts w:ascii="Times New Roman" w:hAnsi="Times New Roman" w:cs="Times New Roman"/>
          <w:color w:val="000000"/>
          <w:sz w:val="24"/>
          <w:szCs w:val="24"/>
        </w:rPr>
        <w:t xml:space="preserve">y. </w:t>
      </w:r>
    </w:p>
    <w:p w14:paraId="4ADB1D5B" w14:textId="32D348C5" w:rsidR="00F939F6" w:rsidRPr="001C688A" w:rsidRDefault="00D40423" w:rsidP="008F57E9">
      <w:pPr>
        <w:pStyle w:val="slovn"/>
        <w:numPr>
          <w:ilvl w:val="0"/>
          <w:numId w:val="27"/>
        </w:numPr>
        <w:spacing w:after="240"/>
        <w:ind w:left="709" w:right="-1" w:hanging="709"/>
      </w:pPr>
      <w:r>
        <w:rPr>
          <w:rFonts w:ascii="Times New Roman" w:hAnsi="Times New Roman" w:cs="Times New Roman"/>
          <w:color w:val="000000"/>
          <w:sz w:val="24"/>
          <w:szCs w:val="24"/>
        </w:rPr>
        <w:t xml:space="preserve">Poskytovatel </w:t>
      </w:r>
      <w:r w:rsidR="00B04A4C" w:rsidRPr="000243B5">
        <w:rPr>
          <w:rFonts w:ascii="Times New Roman" w:hAnsi="Times New Roman" w:cs="Times New Roman"/>
          <w:color w:val="000000"/>
          <w:sz w:val="24"/>
          <w:szCs w:val="24"/>
        </w:rPr>
        <w:t xml:space="preserve">je dále povinen uhradit objednateli jako škodu případnou sankci uloženou mu příslušným orgánem jako důsledek </w:t>
      </w:r>
      <w:r w:rsidR="00B04A4C" w:rsidRPr="000243B5">
        <w:rPr>
          <w:rFonts w:ascii="Times New Roman" w:hAnsi="Times New Roman" w:cs="Times New Roman"/>
          <w:bCs/>
          <w:sz w:val="24"/>
          <w:szCs w:val="24"/>
        </w:rPr>
        <w:t xml:space="preserve">porušení povinností </w:t>
      </w:r>
      <w:r w:rsidR="006B4EFE">
        <w:rPr>
          <w:rFonts w:ascii="Times New Roman" w:hAnsi="Times New Roman" w:cs="Times New Roman"/>
          <w:bCs/>
          <w:sz w:val="24"/>
          <w:szCs w:val="24"/>
        </w:rPr>
        <w:t>poskytovatele</w:t>
      </w:r>
      <w:r w:rsidR="00B04A4C" w:rsidRPr="000243B5">
        <w:rPr>
          <w:rFonts w:ascii="Times New Roman" w:hAnsi="Times New Roman" w:cs="Times New Roman"/>
          <w:bCs/>
          <w:sz w:val="24"/>
          <w:szCs w:val="24"/>
        </w:rPr>
        <w:t>.</w:t>
      </w:r>
    </w:p>
    <w:p w14:paraId="14230D1A" w14:textId="77777777" w:rsidR="00DE26C5" w:rsidRPr="001C688A" w:rsidRDefault="00DE26C5">
      <w:pPr>
        <w:jc w:val="both"/>
      </w:pPr>
    </w:p>
    <w:p w14:paraId="0FCE788C" w14:textId="77777777" w:rsidR="00F939F6" w:rsidRPr="001C688A" w:rsidRDefault="00B06393" w:rsidP="00BE69FA">
      <w:pPr>
        <w:jc w:val="center"/>
        <w:rPr>
          <w:b/>
        </w:rPr>
      </w:pPr>
      <w:r w:rsidRPr="001C688A">
        <w:rPr>
          <w:b/>
        </w:rPr>
        <w:lastRenderedPageBreak/>
        <w:t>V</w:t>
      </w:r>
      <w:r w:rsidR="00123F63">
        <w:rPr>
          <w:b/>
        </w:rPr>
        <w:t>I</w:t>
      </w:r>
      <w:r w:rsidRPr="001C688A">
        <w:rPr>
          <w:b/>
        </w:rPr>
        <w:t>I</w:t>
      </w:r>
      <w:r w:rsidR="00F939F6" w:rsidRPr="001C688A">
        <w:rPr>
          <w:b/>
        </w:rPr>
        <w:t>.</w:t>
      </w:r>
      <w:r w:rsidR="00BE69FA" w:rsidRPr="001C688A">
        <w:rPr>
          <w:b/>
        </w:rPr>
        <w:t xml:space="preserve"> SMLUVNÍ POKUTY A ÚROK Z PRODLENÍ</w:t>
      </w:r>
    </w:p>
    <w:p w14:paraId="7EF35D09" w14:textId="77777777" w:rsidR="00FE6696" w:rsidRDefault="00FE6696" w:rsidP="00FE6696">
      <w:pPr>
        <w:pStyle w:val="Zkladntext3"/>
        <w:shd w:val="clear" w:color="00FFFF" w:fill="auto"/>
        <w:tabs>
          <w:tab w:val="left" w:pos="-3119"/>
        </w:tabs>
        <w:ind w:left="360"/>
        <w:rPr>
          <w:b w:val="0"/>
        </w:rPr>
      </w:pPr>
    </w:p>
    <w:p w14:paraId="2FC47252" w14:textId="5ED49BE4" w:rsidR="00994657" w:rsidRPr="00DE26C5" w:rsidRDefault="00994657" w:rsidP="008F57E9">
      <w:pPr>
        <w:pStyle w:val="Zkladntext3"/>
        <w:numPr>
          <w:ilvl w:val="0"/>
          <w:numId w:val="19"/>
        </w:numPr>
        <w:shd w:val="clear" w:color="00FFFF" w:fill="auto"/>
        <w:tabs>
          <w:tab w:val="left" w:pos="-3119"/>
        </w:tabs>
        <w:spacing w:after="120"/>
        <w:rPr>
          <w:b w:val="0"/>
        </w:rPr>
      </w:pPr>
      <w:r w:rsidRPr="00994657">
        <w:rPr>
          <w:b w:val="0"/>
        </w:rPr>
        <w:t xml:space="preserve">V případě prodlení s provedením jakéhokoli druhu služeb, které tvoří předmět smlouvy, je poskytovatel povinen zaplatit objednateli smluvní pokutu ve výši 1 000 Kč za každá jednotlivá nesplnění povinností uvedených v příloze č. </w:t>
      </w:r>
      <w:r w:rsidR="00D40423">
        <w:rPr>
          <w:b w:val="0"/>
        </w:rPr>
        <w:t>2</w:t>
      </w:r>
      <w:r w:rsidRPr="00994657">
        <w:rPr>
          <w:b w:val="0"/>
        </w:rPr>
        <w:t xml:space="preserve"> této smlouvy. Tímto jednotlivým nesplněním se rozumí neposkytnutí úplného rozsahu u každého jednotlivého druhu poskytovaných služeb. </w:t>
      </w:r>
    </w:p>
    <w:p w14:paraId="458CCEE9" w14:textId="1D6D7397" w:rsidR="00994657" w:rsidRPr="00DE26C5" w:rsidRDefault="00994657" w:rsidP="008F57E9">
      <w:pPr>
        <w:pStyle w:val="Zkladntext3"/>
        <w:numPr>
          <w:ilvl w:val="0"/>
          <w:numId w:val="19"/>
        </w:numPr>
        <w:shd w:val="clear" w:color="00FFFF" w:fill="auto"/>
        <w:tabs>
          <w:tab w:val="left" w:pos="-3119"/>
        </w:tabs>
        <w:spacing w:after="120"/>
        <w:rPr>
          <w:b w:val="0"/>
        </w:rPr>
      </w:pPr>
      <w:r w:rsidRPr="00994657">
        <w:rPr>
          <w:b w:val="0"/>
        </w:rPr>
        <w:t xml:space="preserve">Při prodlení objednatele s úhradou faktury je poskytovatel oprávněn účtovat smluvní pokutu ve výši 0,05 % z fakturované částky za každý den prodlení. </w:t>
      </w:r>
    </w:p>
    <w:p w14:paraId="54CDB1DD" w14:textId="0AF821B4" w:rsidR="00994657" w:rsidRPr="00DE26C5" w:rsidRDefault="00994657" w:rsidP="008F57E9">
      <w:pPr>
        <w:pStyle w:val="Zkladntext3"/>
        <w:numPr>
          <w:ilvl w:val="0"/>
          <w:numId w:val="19"/>
        </w:numPr>
        <w:shd w:val="clear" w:color="00FFFF" w:fill="auto"/>
        <w:tabs>
          <w:tab w:val="left" w:pos="-3119"/>
        </w:tabs>
        <w:spacing w:after="120"/>
        <w:rPr>
          <w:b w:val="0"/>
        </w:rPr>
      </w:pPr>
      <w:r w:rsidRPr="00994657">
        <w:rPr>
          <w:b w:val="0"/>
        </w:rPr>
        <w:t xml:space="preserve">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 </w:t>
      </w:r>
    </w:p>
    <w:p w14:paraId="72A2A79A" w14:textId="6C31B28E" w:rsidR="00E60F42" w:rsidRPr="001C688A" w:rsidRDefault="00994657" w:rsidP="008F57E9">
      <w:pPr>
        <w:pStyle w:val="Zkladntext3"/>
        <w:numPr>
          <w:ilvl w:val="0"/>
          <w:numId w:val="19"/>
        </w:numPr>
        <w:shd w:val="clear" w:color="00FFFF" w:fill="auto"/>
        <w:tabs>
          <w:tab w:val="left" w:pos="-3119"/>
        </w:tabs>
        <w:spacing w:after="240"/>
      </w:pPr>
      <w:r w:rsidRPr="00994657">
        <w:rPr>
          <w:b w:val="0"/>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14:paraId="6504BB79" w14:textId="77777777" w:rsidR="001E1DDB" w:rsidRPr="001C688A" w:rsidRDefault="001E1DDB">
      <w:pPr>
        <w:jc w:val="center"/>
        <w:rPr>
          <w:b/>
        </w:rPr>
      </w:pPr>
    </w:p>
    <w:p w14:paraId="01990CF8" w14:textId="77777777" w:rsidR="00F939F6" w:rsidRPr="00C32283" w:rsidRDefault="00B06393" w:rsidP="00C32283">
      <w:pPr>
        <w:ind w:left="360"/>
        <w:jc w:val="center"/>
        <w:rPr>
          <w:b/>
        </w:rPr>
      </w:pPr>
      <w:r w:rsidRPr="00C32283">
        <w:rPr>
          <w:b/>
        </w:rPr>
        <w:t>VI</w:t>
      </w:r>
      <w:r w:rsidR="00123F63" w:rsidRPr="00C32283">
        <w:rPr>
          <w:b/>
        </w:rPr>
        <w:t>I</w:t>
      </w:r>
      <w:r w:rsidRPr="00C32283">
        <w:rPr>
          <w:b/>
        </w:rPr>
        <w:t>I</w:t>
      </w:r>
      <w:r w:rsidR="00F939F6" w:rsidRPr="00C32283">
        <w:rPr>
          <w:b/>
        </w:rPr>
        <w:t>.</w:t>
      </w:r>
      <w:r w:rsidR="00BE69FA" w:rsidRPr="00C32283">
        <w:rPr>
          <w:b/>
        </w:rPr>
        <w:t xml:space="preserve"> DALŠÍ UJEDNÁNÍ</w:t>
      </w:r>
    </w:p>
    <w:p w14:paraId="13DE2131" w14:textId="77777777" w:rsidR="00FF734D" w:rsidRPr="001C688A" w:rsidRDefault="00FF734D" w:rsidP="008F57E9">
      <w:pPr>
        <w:jc w:val="both"/>
      </w:pPr>
    </w:p>
    <w:p w14:paraId="245B7FB9" w14:textId="499BEC51" w:rsidR="007154CD" w:rsidRPr="00F705DB" w:rsidRDefault="00983229" w:rsidP="008F57E9">
      <w:pPr>
        <w:numPr>
          <w:ilvl w:val="0"/>
          <w:numId w:val="12"/>
        </w:numPr>
        <w:spacing w:after="120"/>
        <w:ind w:hanging="720"/>
        <w:jc w:val="both"/>
      </w:pPr>
      <w:r w:rsidRPr="00F705DB">
        <w:rPr>
          <w:iCs/>
        </w:rPr>
        <w:t>Plnění dle této smlouvy bude probíhat</w:t>
      </w:r>
      <w:r w:rsidR="00F939F6" w:rsidRPr="00F705DB">
        <w:rPr>
          <w:iCs/>
        </w:rPr>
        <w:t xml:space="preserve"> ve vojensk</w:t>
      </w:r>
      <w:r w:rsidR="00482BC2" w:rsidRPr="00F705DB">
        <w:rPr>
          <w:iCs/>
        </w:rPr>
        <w:t>ých</w:t>
      </w:r>
      <w:r w:rsidR="00F939F6" w:rsidRPr="00F705DB">
        <w:rPr>
          <w:iCs/>
        </w:rPr>
        <w:t xml:space="preserve"> (střežen</w:t>
      </w:r>
      <w:r w:rsidR="00482BC2" w:rsidRPr="00F705DB">
        <w:rPr>
          <w:iCs/>
        </w:rPr>
        <w:t>ých</w:t>
      </w:r>
      <w:r w:rsidR="00F939F6" w:rsidRPr="00F705DB">
        <w:rPr>
          <w:iCs/>
        </w:rPr>
        <w:t>) objekt</w:t>
      </w:r>
      <w:r w:rsidR="00482BC2" w:rsidRPr="00F705DB">
        <w:rPr>
          <w:iCs/>
        </w:rPr>
        <w:t>ech</w:t>
      </w:r>
      <w:r w:rsidR="00F939F6" w:rsidRPr="00F705DB">
        <w:rPr>
          <w:iCs/>
        </w:rPr>
        <w:t xml:space="preserve"> se zvláštním režimem. </w:t>
      </w:r>
      <w:r w:rsidRPr="00F705DB">
        <w:rPr>
          <w:iCs/>
        </w:rPr>
        <w:t>P</w:t>
      </w:r>
      <w:r w:rsidR="00482BC2" w:rsidRPr="00F705DB">
        <w:t>oskytovatel</w:t>
      </w:r>
      <w:r w:rsidR="001747F3" w:rsidRPr="00F705DB">
        <w:t xml:space="preserve"> je</w:t>
      </w:r>
      <w:r w:rsidR="00482BC2" w:rsidRPr="00F705DB">
        <w:t xml:space="preserve"> povinen zabezpečit </w:t>
      </w:r>
      <w:r w:rsidR="00BF61A3" w:rsidRPr="00F705DB">
        <w:t>si</w:t>
      </w:r>
      <w:r w:rsidR="00482BC2" w:rsidRPr="00F705DB">
        <w:t xml:space="preserve"> vlastním jménem vstup do těchto objektů </w:t>
      </w:r>
      <w:r w:rsidR="00652A00" w:rsidRPr="00F705DB">
        <w:t xml:space="preserve">ve spolupráci s velitelem příp. správcem toho kterého objektu </w:t>
      </w:r>
      <w:r w:rsidR="00482BC2" w:rsidRPr="00F705DB">
        <w:t>a dodržovat pokyny pro pohyb osob v těchto objektech.</w:t>
      </w:r>
      <w:r w:rsidR="008F6216" w:rsidRPr="00F705DB">
        <w:t xml:space="preserve"> Poskytovatel se zavazuje, že tyto pokyny budou jeho pracovníci respektovat. </w:t>
      </w:r>
      <w:r w:rsidR="00FD2365" w:rsidRPr="00F705DB">
        <w:t xml:space="preserve"> </w:t>
      </w:r>
    </w:p>
    <w:p w14:paraId="5415EB9F" w14:textId="7DC5CDA4" w:rsidR="007154CD" w:rsidRPr="00F705DB" w:rsidRDefault="003A07D8" w:rsidP="008F57E9">
      <w:pPr>
        <w:numPr>
          <w:ilvl w:val="0"/>
          <w:numId w:val="12"/>
        </w:numPr>
        <w:spacing w:after="120"/>
        <w:ind w:hanging="720"/>
        <w:jc w:val="both"/>
      </w:pPr>
      <w:r w:rsidRPr="00F705DB">
        <w:rPr>
          <w:iCs/>
        </w:rPr>
        <w:t>V případě objektů spravovaných objednatelem poučí objednatel poskytovatele resp. jeho pracovníky</w:t>
      </w:r>
      <w:r w:rsidR="00F939F6" w:rsidRPr="00F705DB">
        <w:t xml:space="preserve">, kteří budou službu provádět, o podmínkách vstupu do </w:t>
      </w:r>
      <w:r w:rsidRPr="00F705DB">
        <w:t xml:space="preserve">těchto </w:t>
      </w:r>
      <w:r w:rsidR="00F939F6" w:rsidRPr="00F705DB">
        <w:t>objekt</w:t>
      </w:r>
      <w:r w:rsidRPr="00F705DB">
        <w:t>ů</w:t>
      </w:r>
      <w:r w:rsidR="00F939F6" w:rsidRPr="00F705DB">
        <w:t xml:space="preserve"> a o pohybu na vyhrazen</w:t>
      </w:r>
      <w:r w:rsidRPr="00F705DB">
        <w:t>ých</w:t>
      </w:r>
      <w:r w:rsidR="00F939F6" w:rsidRPr="00F705DB">
        <w:t xml:space="preserve"> míst</w:t>
      </w:r>
      <w:r w:rsidR="001A5C0A" w:rsidRPr="00F705DB">
        <w:t>e</w:t>
      </w:r>
      <w:r w:rsidRPr="00F705DB">
        <w:t>ch</w:t>
      </w:r>
      <w:r w:rsidR="00F939F6" w:rsidRPr="00F705DB">
        <w:t xml:space="preserve">. Poskytovatel se zavazuje, že tyto podmínky budou jeho pracovníci respektovat. </w:t>
      </w:r>
    </w:p>
    <w:p w14:paraId="67FD2088" w14:textId="77777777" w:rsidR="00DA1BEE" w:rsidRPr="00F705DB" w:rsidRDefault="00F939F6" w:rsidP="008F57E9">
      <w:pPr>
        <w:numPr>
          <w:ilvl w:val="0"/>
          <w:numId w:val="12"/>
        </w:numPr>
        <w:spacing w:after="120"/>
        <w:ind w:hanging="720"/>
        <w:jc w:val="both"/>
      </w:pPr>
      <w:r w:rsidRPr="00F705DB">
        <w:t>Objednatel se v případě splnění všech podmínek uvedených v</w:t>
      </w:r>
      <w:r w:rsidR="001747F3" w:rsidRPr="00F705DB">
        <w:t> předchozím odstavci</w:t>
      </w:r>
      <w:r w:rsidRPr="00F705DB">
        <w:t xml:space="preserve"> zavazuje zabezpečit přístup pracovníků poskytovatele do prostorů</w:t>
      </w:r>
      <w:r w:rsidR="003A07D8" w:rsidRPr="00F705DB">
        <w:t xml:space="preserve"> v objektech, které spravuje a</w:t>
      </w:r>
      <w:r w:rsidRPr="00F705DB">
        <w:t xml:space="preserve"> ve kterých bude </w:t>
      </w:r>
      <w:r w:rsidR="001747F3" w:rsidRPr="00F705DB">
        <w:t>plnění probíhat.</w:t>
      </w:r>
    </w:p>
    <w:p w14:paraId="74D5DF37" w14:textId="77777777" w:rsidR="00FF734D" w:rsidRDefault="00FF734D" w:rsidP="008F57E9">
      <w:pPr>
        <w:numPr>
          <w:ilvl w:val="0"/>
          <w:numId w:val="12"/>
        </w:numPr>
        <w:spacing w:after="120"/>
        <w:ind w:hanging="720"/>
        <w:jc w:val="both"/>
      </w:pPr>
      <w:r w:rsidRPr="00F705DB">
        <w:t>Objednatel je oprávněn ponížit rozsah (počet) revidovaných zařízení. Případná změna rozsahu revid</w:t>
      </w:r>
      <w:r w:rsidR="0052785B" w:rsidRPr="00F705DB">
        <w:t>ovaných zařízení bude upravena d</w:t>
      </w:r>
      <w:r w:rsidRPr="00F705DB">
        <w:t>odatkem k této smlouvě.</w:t>
      </w:r>
    </w:p>
    <w:p w14:paraId="18A45C93" w14:textId="286F1433" w:rsidR="007154CD" w:rsidRPr="001C688A" w:rsidRDefault="00F939F6" w:rsidP="008F57E9">
      <w:pPr>
        <w:numPr>
          <w:ilvl w:val="0"/>
          <w:numId w:val="12"/>
        </w:numPr>
        <w:spacing w:after="240"/>
        <w:ind w:hanging="720"/>
        <w:jc w:val="both"/>
      </w:pPr>
      <w:r w:rsidRPr="001C688A">
        <w:t xml:space="preserve">Smluvní strany se dohodly, že všechny závazné projevy vůle je třeba činit písemnou formou a prokazatelně doručit druhé smluvní straně na adresu pro doručování korespondence uvedenou v úvodních ustanoveních této smlouvy. </w:t>
      </w:r>
    </w:p>
    <w:p w14:paraId="748040F3" w14:textId="77777777" w:rsidR="007154CD" w:rsidRDefault="007154CD" w:rsidP="00BE69FA">
      <w:pPr>
        <w:jc w:val="center"/>
      </w:pPr>
    </w:p>
    <w:p w14:paraId="7748AA67" w14:textId="6EEBF1FA" w:rsidR="007154CD" w:rsidRDefault="00123F63" w:rsidP="007154CD">
      <w:pPr>
        <w:jc w:val="center"/>
        <w:rPr>
          <w:b/>
        </w:rPr>
      </w:pPr>
      <w:r>
        <w:rPr>
          <w:b/>
        </w:rPr>
        <w:t>IX</w:t>
      </w:r>
      <w:r w:rsidR="00BE69FA" w:rsidRPr="001C688A">
        <w:rPr>
          <w:b/>
        </w:rPr>
        <w:t>. ZÁNIK ZÁVAZKŮ</w:t>
      </w:r>
    </w:p>
    <w:p w14:paraId="4E438C60" w14:textId="77777777" w:rsidR="00F939F6" w:rsidRPr="001C688A" w:rsidRDefault="00F939F6">
      <w:pPr>
        <w:jc w:val="both"/>
      </w:pPr>
    </w:p>
    <w:p w14:paraId="106D0B74" w14:textId="0E9F49EF" w:rsidR="007154CD" w:rsidRPr="00C32283" w:rsidRDefault="007154CD" w:rsidP="001F787A">
      <w:pPr>
        <w:pStyle w:val="Odstavecseseznamem"/>
        <w:numPr>
          <w:ilvl w:val="0"/>
          <w:numId w:val="13"/>
        </w:numPr>
        <w:spacing w:after="120"/>
        <w:ind w:right="-1" w:hanging="294"/>
        <w:jc w:val="both"/>
        <w:rPr>
          <w:rFonts w:eastAsia="Calibri"/>
          <w:color w:val="000000"/>
          <w:szCs w:val="24"/>
        </w:rPr>
      </w:pPr>
      <w:r w:rsidRPr="00C32283">
        <w:rPr>
          <w:rFonts w:eastAsia="Calibri"/>
          <w:color w:val="000000"/>
          <w:szCs w:val="24"/>
        </w:rPr>
        <w:t>Tato smlouva končí:</w:t>
      </w:r>
    </w:p>
    <w:p w14:paraId="425D2D0B" w14:textId="763B8620" w:rsidR="00123F63" w:rsidRPr="00123F63" w:rsidRDefault="00123F63" w:rsidP="001F787A">
      <w:pPr>
        <w:widowControl w:val="0"/>
        <w:numPr>
          <w:ilvl w:val="1"/>
          <w:numId w:val="13"/>
        </w:numPr>
        <w:ind w:right="-1" w:hanging="294"/>
        <w:jc w:val="both"/>
        <w:rPr>
          <w:color w:val="000000"/>
          <w:w w:val="105"/>
          <w:lang w:val="x-none" w:eastAsia="x-none"/>
        </w:rPr>
      </w:pPr>
      <w:r w:rsidRPr="00123F63">
        <w:rPr>
          <w:color w:val="000000"/>
          <w:w w:val="105"/>
          <w:lang w:val="x-none" w:eastAsia="x-none"/>
        </w:rPr>
        <w:t>uplynutím</w:t>
      </w:r>
      <w:r w:rsidRPr="00123F63">
        <w:rPr>
          <w:color w:val="000000"/>
          <w:spacing w:val="25"/>
          <w:w w:val="105"/>
          <w:lang w:val="x-none" w:eastAsia="x-none"/>
        </w:rPr>
        <w:t xml:space="preserve"> </w:t>
      </w:r>
      <w:r w:rsidRPr="00123F63">
        <w:rPr>
          <w:color w:val="000000"/>
          <w:w w:val="105"/>
          <w:lang w:val="x-none" w:eastAsia="x-none"/>
        </w:rPr>
        <w:t>doby</w:t>
      </w:r>
      <w:r w:rsidRPr="00123F63">
        <w:rPr>
          <w:color w:val="000000"/>
          <w:spacing w:val="10"/>
          <w:w w:val="105"/>
          <w:lang w:val="x-none" w:eastAsia="x-none"/>
        </w:rPr>
        <w:t xml:space="preserve"> </w:t>
      </w:r>
      <w:r w:rsidRPr="00123F63">
        <w:rPr>
          <w:color w:val="000000"/>
          <w:w w:val="105"/>
          <w:lang w:val="x-none" w:eastAsia="x-none"/>
        </w:rPr>
        <w:t>určité</w:t>
      </w:r>
      <w:r w:rsidRPr="00123F63">
        <w:rPr>
          <w:color w:val="000000"/>
          <w:spacing w:val="10"/>
          <w:w w:val="105"/>
          <w:lang w:val="x-none" w:eastAsia="x-none"/>
        </w:rPr>
        <w:t xml:space="preserve"> </w:t>
      </w:r>
      <w:r w:rsidRPr="00123F63">
        <w:rPr>
          <w:color w:val="000000"/>
          <w:w w:val="105"/>
          <w:lang w:val="x-none" w:eastAsia="x-none"/>
        </w:rPr>
        <w:t>dle</w:t>
      </w:r>
      <w:r w:rsidRPr="00123F63">
        <w:rPr>
          <w:color w:val="000000"/>
          <w:spacing w:val="8"/>
          <w:w w:val="105"/>
          <w:lang w:val="x-none" w:eastAsia="x-none"/>
        </w:rPr>
        <w:t xml:space="preserve"> </w:t>
      </w:r>
      <w:r w:rsidRPr="00123F63">
        <w:rPr>
          <w:color w:val="000000"/>
          <w:w w:val="105"/>
          <w:lang w:val="x-none" w:eastAsia="x-none"/>
        </w:rPr>
        <w:t>ustanovení</w:t>
      </w:r>
      <w:r w:rsidRPr="00123F63">
        <w:rPr>
          <w:color w:val="000000"/>
          <w:spacing w:val="29"/>
          <w:w w:val="105"/>
          <w:lang w:val="x-none" w:eastAsia="x-none"/>
        </w:rPr>
        <w:t xml:space="preserve"> </w:t>
      </w:r>
      <w:r w:rsidRPr="00123F63">
        <w:rPr>
          <w:color w:val="000000"/>
          <w:w w:val="105"/>
          <w:lang w:val="x-none" w:eastAsia="x-none"/>
        </w:rPr>
        <w:t>článku</w:t>
      </w:r>
      <w:r w:rsidRPr="00123F63">
        <w:rPr>
          <w:color w:val="000000"/>
          <w:spacing w:val="9"/>
          <w:w w:val="105"/>
          <w:lang w:val="x-none" w:eastAsia="x-none"/>
        </w:rPr>
        <w:t xml:space="preserve"> </w:t>
      </w:r>
      <w:r w:rsidRPr="00123F63">
        <w:rPr>
          <w:color w:val="000000"/>
          <w:w w:val="105"/>
          <w:lang w:eastAsia="x-none"/>
        </w:rPr>
        <w:t>III této smlouvy</w:t>
      </w:r>
      <w:r w:rsidR="00C62C26">
        <w:rPr>
          <w:color w:val="000000"/>
          <w:w w:val="105"/>
          <w:lang w:eastAsia="x-none"/>
        </w:rPr>
        <w:t>,</w:t>
      </w:r>
    </w:p>
    <w:p w14:paraId="0B95D8EA" w14:textId="681B415C" w:rsidR="00123F63" w:rsidRPr="00123F63" w:rsidRDefault="00123F63" w:rsidP="001F787A">
      <w:pPr>
        <w:widowControl w:val="0"/>
        <w:numPr>
          <w:ilvl w:val="1"/>
          <w:numId w:val="13"/>
        </w:numPr>
        <w:ind w:right="-1" w:hanging="294"/>
        <w:jc w:val="both"/>
        <w:rPr>
          <w:color w:val="000000"/>
          <w:w w:val="105"/>
          <w:lang w:val="x-none" w:eastAsia="x-none"/>
        </w:rPr>
      </w:pPr>
      <w:r w:rsidRPr="00123F63">
        <w:rPr>
          <w:color w:val="000000"/>
          <w:w w:val="105"/>
          <w:lang w:val="x-none" w:eastAsia="x-none"/>
        </w:rPr>
        <w:t xml:space="preserve">odstoupením od smlouvy dle ustanovení odst. </w:t>
      </w:r>
      <w:r w:rsidR="006B4EFE">
        <w:rPr>
          <w:color w:val="000000"/>
          <w:w w:val="105"/>
          <w:lang w:eastAsia="x-none"/>
        </w:rPr>
        <w:t>9.</w:t>
      </w:r>
      <w:r w:rsidRPr="00123F63">
        <w:rPr>
          <w:color w:val="000000"/>
          <w:w w:val="105"/>
          <w:lang w:eastAsia="x-none"/>
        </w:rPr>
        <w:t>2 tohoto článku</w:t>
      </w:r>
      <w:r w:rsidRPr="00123F63">
        <w:rPr>
          <w:color w:val="000000"/>
          <w:w w:val="105"/>
          <w:lang w:val="x-none" w:eastAsia="x-none"/>
        </w:rPr>
        <w:t>,</w:t>
      </w:r>
    </w:p>
    <w:p w14:paraId="0EAF3B4A" w14:textId="77777777" w:rsidR="00123F63" w:rsidRPr="00123F63" w:rsidRDefault="00123F63" w:rsidP="001F787A">
      <w:pPr>
        <w:widowControl w:val="0"/>
        <w:numPr>
          <w:ilvl w:val="1"/>
          <w:numId w:val="13"/>
        </w:numPr>
        <w:ind w:right="-1" w:hanging="294"/>
        <w:jc w:val="both"/>
        <w:rPr>
          <w:color w:val="000000"/>
          <w:w w:val="105"/>
          <w:lang w:val="x-none" w:eastAsia="x-none"/>
        </w:rPr>
      </w:pPr>
      <w:r w:rsidRPr="00123F63">
        <w:rPr>
          <w:color w:val="000000"/>
          <w:w w:val="105"/>
          <w:lang w:val="x-none" w:eastAsia="x-none"/>
        </w:rPr>
        <w:t>zánikem některé ze smluvních stran bez právního nástupce</w:t>
      </w:r>
      <w:r w:rsidRPr="00123F63">
        <w:rPr>
          <w:color w:val="000000"/>
          <w:w w:val="105"/>
          <w:lang w:eastAsia="x-none"/>
        </w:rPr>
        <w:t>,</w:t>
      </w:r>
    </w:p>
    <w:p w14:paraId="738234C9" w14:textId="77777777" w:rsidR="00123F63" w:rsidRPr="00123F63" w:rsidRDefault="00123F63" w:rsidP="001F787A">
      <w:pPr>
        <w:widowControl w:val="0"/>
        <w:numPr>
          <w:ilvl w:val="1"/>
          <w:numId w:val="13"/>
        </w:numPr>
        <w:ind w:right="-1" w:hanging="294"/>
        <w:jc w:val="both"/>
        <w:rPr>
          <w:color w:val="000000"/>
          <w:w w:val="105"/>
          <w:lang w:val="x-none" w:eastAsia="x-none"/>
        </w:rPr>
      </w:pPr>
      <w:r w:rsidRPr="00123F63">
        <w:rPr>
          <w:color w:val="000000"/>
          <w:w w:val="105"/>
          <w:lang w:val="x-none" w:eastAsia="x-none"/>
        </w:rPr>
        <w:t>ztrátou oprávnění některé ze smluvních stran k výkonu činnosti, kter</w:t>
      </w:r>
      <w:r w:rsidRPr="00123F63">
        <w:rPr>
          <w:color w:val="000000"/>
          <w:w w:val="105"/>
          <w:lang w:eastAsia="x-none"/>
        </w:rPr>
        <w:t>é</w:t>
      </w:r>
      <w:r w:rsidRPr="00123F63">
        <w:rPr>
          <w:color w:val="000000"/>
          <w:w w:val="105"/>
          <w:lang w:val="x-none" w:eastAsia="x-none"/>
        </w:rPr>
        <w:t xml:space="preserve"> je zapotřebí pro plnění ustanovení této smlouvy</w:t>
      </w:r>
      <w:r w:rsidRPr="00123F63">
        <w:rPr>
          <w:color w:val="000000"/>
          <w:w w:val="105"/>
          <w:lang w:eastAsia="x-none"/>
        </w:rPr>
        <w:t>,</w:t>
      </w:r>
    </w:p>
    <w:p w14:paraId="52FC548D" w14:textId="0EC49E1B" w:rsidR="007154CD" w:rsidRPr="00C32283" w:rsidRDefault="00123F63" w:rsidP="001F787A">
      <w:pPr>
        <w:widowControl w:val="0"/>
        <w:numPr>
          <w:ilvl w:val="1"/>
          <w:numId w:val="13"/>
        </w:numPr>
        <w:spacing w:after="120"/>
        <w:ind w:right="-1" w:hanging="294"/>
        <w:jc w:val="both"/>
        <w:rPr>
          <w:rFonts w:eastAsia="Calibri"/>
          <w:color w:val="000000"/>
          <w:szCs w:val="24"/>
        </w:rPr>
      </w:pPr>
      <w:r w:rsidRPr="00123F63">
        <w:rPr>
          <w:color w:val="000000"/>
          <w:w w:val="105"/>
          <w:lang w:val="x-none" w:eastAsia="x-none"/>
        </w:rPr>
        <w:lastRenderedPageBreak/>
        <w:t>výpovědí i bez uvedení důvodů s dvouměsíční výpovědní lhůtou, jež počíná běžet od prvého dne měsíce následujícího po doručení výpovědi.</w:t>
      </w:r>
    </w:p>
    <w:p w14:paraId="354475C6" w14:textId="667140D1" w:rsidR="007154CD" w:rsidRPr="00C32283" w:rsidRDefault="007154CD" w:rsidP="001F787A">
      <w:pPr>
        <w:pStyle w:val="Odstavecseseznamem"/>
        <w:widowControl w:val="0"/>
        <w:numPr>
          <w:ilvl w:val="0"/>
          <w:numId w:val="13"/>
        </w:numPr>
        <w:spacing w:after="120"/>
        <w:ind w:right="-1" w:hanging="294"/>
        <w:jc w:val="both"/>
        <w:rPr>
          <w:rFonts w:eastAsia="Calibri"/>
          <w:color w:val="000000"/>
          <w:szCs w:val="24"/>
        </w:rPr>
      </w:pPr>
      <w:r w:rsidRPr="00C32283">
        <w:rPr>
          <w:rFonts w:eastAsia="Calibri"/>
          <w:color w:val="000000"/>
          <w:szCs w:val="24"/>
        </w:rPr>
        <w:t>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Za velmi vážné porušení této smlouvy jako důvod odstoupení od smlouvy ze strany poskytovatele se považuje neuhrazení ceny objednatelem a opakované vážné závady v poskytování služeb ze strany poskytovatele.</w:t>
      </w:r>
    </w:p>
    <w:p w14:paraId="1E66EA86" w14:textId="21D08E62" w:rsidR="007154CD" w:rsidRPr="00C32283" w:rsidRDefault="007154CD" w:rsidP="001F787A">
      <w:pPr>
        <w:pStyle w:val="Odstavecseseznamem"/>
        <w:widowControl w:val="0"/>
        <w:numPr>
          <w:ilvl w:val="0"/>
          <w:numId w:val="13"/>
        </w:numPr>
        <w:spacing w:after="120"/>
        <w:ind w:right="-1" w:hanging="294"/>
        <w:jc w:val="both"/>
        <w:rPr>
          <w:color w:val="000000"/>
        </w:rPr>
      </w:pPr>
      <w:r w:rsidRPr="00C32283">
        <w:rPr>
          <w:rFonts w:eastAsia="Calibri"/>
          <w:color w:val="000000"/>
          <w:szCs w:val="24"/>
        </w:rPr>
        <w:t>Tuto smlouvu mohou obě smluvní strany vypovědět v případě, že plnění dle této smlouvy se stane pro některou ze stran obtížné natolik, že nelze spravedlivě požadovat její pokračování. Nastane-li tato skutečnost, zavazují se smluvní strany před uplatněním výpovědi dle tohoto článku navzájem informovat s cílem vyřešit vzniklou situaci smírně.</w:t>
      </w:r>
    </w:p>
    <w:p w14:paraId="6D3FD5FE" w14:textId="58F31420" w:rsidR="007154CD" w:rsidRPr="00C32283" w:rsidRDefault="007154CD" w:rsidP="008F57E9">
      <w:pPr>
        <w:pStyle w:val="Odstavecseseznamem"/>
        <w:numPr>
          <w:ilvl w:val="0"/>
          <w:numId w:val="13"/>
        </w:numPr>
        <w:spacing w:after="240"/>
        <w:ind w:right="-1" w:hanging="294"/>
        <w:jc w:val="both"/>
        <w:rPr>
          <w:rFonts w:eastAsia="Calibri"/>
          <w:color w:val="000000"/>
          <w:szCs w:val="24"/>
        </w:rPr>
      </w:pPr>
      <w:r w:rsidRPr="00C32283">
        <w:rPr>
          <w:rFonts w:eastAsia="Calibri"/>
          <w:color w:val="000000"/>
          <w:szCs w:val="24"/>
        </w:rPr>
        <w:t xml:space="preserve">Obě smluvní strany se zavazují ke dni ukončení platnosti této smlouvy vrátit druhé smluvní straně veškeré písemnosti a věci, které obdržela v souvislosti s plněním ustanovení této smlouvy nebo které jí náleží. </w:t>
      </w:r>
    </w:p>
    <w:p w14:paraId="60772901" w14:textId="77777777" w:rsidR="000D1797" w:rsidRPr="001C688A" w:rsidRDefault="000D1797" w:rsidP="000D1797">
      <w:pPr>
        <w:jc w:val="both"/>
      </w:pPr>
    </w:p>
    <w:p w14:paraId="566CEE6B" w14:textId="0057F741" w:rsidR="00F939F6" w:rsidRPr="001C688A" w:rsidRDefault="006974F7" w:rsidP="00BE69FA">
      <w:pPr>
        <w:jc w:val="center"/>
        <w:rPr>
          <w:b/>
        </w:rPr>
      </w:pPr>
      <w:r w:rsidRPr="001C688A">
        <w:rPr>
          <w:b/>
        </w:rPr>
        <w:t>X</w:t>
      </w:r>
      <w:r w:rsidR="00F939F6" w:rsidRPr="001C688A">
        <w:rPr>
          <w:b/>
        </w:rPr>
        <w:t xml:space="preserve">. </w:t>
      </w:r>
      <w:r w:rsidR="00BE69FA" w:rsidRPr="001C688A">
        <w:rPr>
          <w:b/>
        </w:rPr>
        <w:t>ZÁVĚREČNÁ UJEDNÁNÍ</w:t>
      </w:r>
    </w:p>
    <w:p w14:paraId="2C035DA8" w14:textId="77777777" w:rsidR="00F939F6" w:rsidRPr="001C688A" w:rsidRDefault="00F939F6" w:rsidP="00170390">
      <w:pPr>
        <w:jc w:val="both"/>
      </w:pPr>
    </w:p>
    <w:p w14:paraId="182CC742" w14:textId="4866B9AD" w:rsidR="00170390" w:rsidRPr="001C688A" w:rsidRDefault="00170390" w:rsidP="008F57E9">
      <w:pPr>
        <w:numPr>
          <w:ilvl w:val="0"/>
          <w:numId w:val="15"/>
        </w:numPr>
        <w:spacing w:after="120"/>
        <w:ind w:left="709" w:hanging="283"/>
        <w:jc w:val="both"/>
      </w:pPr>
      <w:r w:rsidRPr="001C688A">
        <w:t xml:space="preserve">Tato smlouva a práva a povinnosti z ní vzniklé se řídí zákonem č. 89/2012 Sb., </w:t>
      </w:r>
      <w:r w:rsidR="006B4EFE">
        <w:t>o</w:t>
      </w:r>
      <w:r w:rsidR="006B4EFE" w:rsidRPr="001C688A">
        <w:t xml:space="preserve">bčanský </w:t>
      </w:r>
      <w:r w:rsidRPr="001C688A">
        <w:t xml:space="preserve">zákoník. </w:t>
      </w:r>
    </w:p>
    <w:p w14:paraId="08E4DE8F" w14:textId="0364CE91" w:rsidR="00170390" w:rsidRPr="001C688A" w:rsidRDefault="00170390" w:rsidP="008F57E9">
      <w:pPr>
        <w:numPr>
          <w:ilvl w:val="0"/>
          <w:numId w:val="15"/>
        </w:numPr>
        <w:spacing w:after="120"/>
        <w:ind w:left="709" w:hanging="283"/>
        <w:jc w:val="both"/>
      </w:pPr>
      <w:r w:rsidRPr="001C688A">
        <w:t>Smlouva nabývá platnosti dnem podpisu oběma smluvními stranami a účinnosti dnem uveřejnění v registru smluv</w:t>
      </w:r>
      <w:r w:rsidR="00C32283">
        <w:t>.</w:t>
      </w:r>
      <w:r w:rsidRPr="001C688A">
        <w:t xml:space="preserve"> </w:t>
      </w:r>
      <w:r w:rsidR="00FF734D" w:rsidRPr="001C688A">
        <w:t>Poskytovatel</w:t>
      </w:r>
      <w:r w:rsidRPr="001C688A">
        <w:t xml:space="preserve"> bere na vědomí, že uveřejnění</w:t>
      </w:r>
      <w:r w:rsidR="00696E3F">
        <w:t xml:space="preserve"> smlouvy v plném znění</w:t>
      </w:r>
      <w:r w:rsidRPr="001C688A">
        <w:t xml:space="preserve"> v tomto registru zajistí objednatel.</w:t>
      </w:r>
    </w:p>
    <w:p w14:paraId="4F3AD489" w14:textId="77777777" w:rsidR="00170390" w:rsidRPr="001C688A" w:rsidRDefault="00170390" w:rsidP="008F57E9">
      <w:pPr>
        <w:numPr>
          <w:ilvl w:val="0"/>
          <w:numId w:val="15"/>
        </w:numPr>
        <w:spacing w:after="120"/>
        <w:ind w:left="709" w:hanging="283"/>
        <w:jc w:val="both"/>
      </w:pPr>
      <w:r w:rsidRPr="001C688A">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1EF87BA4" w14:textId="77777777" w:rsidR="00123F63" w:rsidRPr="000A009B" w:rsidRDefault="00123F63" w:rsidP="00C32283">
      <w:pPr>
        <w:numPr>
          <w:ilvl w:val="0"/>
          <w:numId w:val="15"/>
        </w:numPr>
        <w:spacing w:after="120"/>
        <w:ind w:left="709" w:right="-1" w:hanging="283"/>
        <w:jc w:val="both"/>
        <w:rPr>
          <w:rFonts w:eastAsia="Calibri"/>
          <w:color w:val="000000"/>
          <w:szCs w:val="24"/>
        </w:rPr>
      </w:pPr>
      <w:r w:rsidRPr="000A009B">
        <w:rPr>
          <w:rFonts w:eastAsia="Calibri"/>
          <w:color w:val="000000"/>
          <w:szCs w:val="24"/>
        </w:rPr>
        <w:t>Smlouvu lze měnit a doplňovat po dohodě smluvních stran formou písemných</w:t>
      </w:r>
      <w:r>
        <w:rPr>
          <w:rFonts w:eastAsia="Calibri"/>
          <w:color w:val="000000"/>
          <w:szCs w:val="24"/>
        </w:rPr>
        <w:t xml:space="preserve"> či elektronických</w:t>
      </w:r>
      <w:r w:rsidRPr="000A009B">
        <w:rPr>
          <w:rFonts w:eastAsia="Calibri"/>
          <w:color w:val="000000"/>
          <w:szCs w:val="24"/>
        </w:rPr>
        <w:t xml:space="preserve"> dodatků k této smlouvě</w:t>
      </w:r>
      <w:r>
        <w:rPr>
          <w:rFonts w:eastAsia="Calibri"/>
          <w:color w:val="000000"/>
          <w:szCs w:val="24"/>
        </w:rPr>
        <w:t>,</w:t>
      </w:r>
      <w:r w:rsidRPr="000A009B">
        <w:rPr>
          <w:rFonts w:eastAsia="Calibri"/>
          <w:color w:val="000000"/>
          <w:szCs w:val="24"/>
        </w:rPr>
        <w:t xml:space="preserve"> podepsaných oběma smluvními stranami. </w:t>
      </w:r>
      <w:r w:rsidRPr="00E52565">
        <w:rPr>
          <w:szCs w:val="24"/>
        </w:rPr>
        <w:t xml:space="preserve">Podepsané dodatky se stávají nedílnou součástí této smlouvy. </w:t>
      </w:r>
      <w:r w:rsidRPr="000A009B">
        <w:rPr>
          <w:rFonts w:eastAsia="Calibri"/>
          <w:color w:val="000000"/>
          <w:szCs w:val="24"/>
        </w:rPr>
        <w:t>Za písemnou formu nebude pro tento účel považována výměna</w:t>
      </w:r>
      <w:r>
        <w:rPr>
          <w:rFonts w:eastAsia="Calibri"/>
          <w:color w:val="000000"/>
          <w:szCs w:val="24"/>
        </w:rPr>
        <w:t xml:space="preserve"> běžných</w:t>
      </w:r>
      <w:r w:rsidRPr="000A009B">
        <w:rPr>
          <w:rFonts w:eastAsia="Calibri"/>
          <w:color w:val="000000"/>
          <w:szCs w:val="24"/>
        </w:rPr>
        <w:t xml:space="preserve"> e-mailových či jiných elektronických zpráv.</w:t>
      </w:r>
    </w:p>
    <w:p w14:paraId="3DABFD53" w14:textId="24EE1FEB" w:rsidR="00123F63" w:rsidRPr="000A009B" w:rsidRDefault="00123F63" w:rsidP="00C32283">
      <w:pPr>
        <w:pStyle w:val="Odstavecseseznamem"/>
        <w:numPr>
          <w:ilvl w:val="0"/>
          <w:numId w:val="15"/>
        </w:numPr>
        <w:spacing w:after="120"/>
        <w:ind w:left="709" w:hanging="283"/>
        <w:jc w:val="both"/>
        <w:rPr>
          <w:rFonts w:eastAsia="Calibri"/>
          <w:color w:val="000000"/>
          <w:szCs w:val="24"/>
        </w:rPr>
      </w:pPr>
      <w:r w:rsidRPr="000857C5">
        <w:rPr>
          <w:szCs w:val="24"/>
        </w:rPr>
        <w:t xml:space="preserve">Tato smlouva byla vyhotovena ve dvou stejnopisech, z nichž objednatel obdrží jedno vyhotovení a </w:t>
      </w:r>
      <w:r w:rsidR="006B4EFE">
        <w:rPr>
          <w:szCs w:val="24"/>
          <w:lang w:val="cs-CZ"/>
        </w:rPr>
        <w:t>poskytovatel</w:t>
      </w:r>
      <w:r w:rsidR="006B4EFE" w:rsidRPr="000857C5">
        <w:rPr>
          <w:szCs w:val="24"/>
        </w:rPr>
        <w:t xml:space="preserve"> </w:t>
      </w:r>
      <w:r w:rsidRPr="000857C5">
        <w:rPr>
          <w:szCs w:val="24"/>
        </w:rPr>
        <w:t xml:space="preserve">jedno vyhotovení. Předchozí věta neplatí v případě, bude-li smlouva uzavřena v elektronické podobě s připojením elektronických podpisů smluvních stran. </w:t>
      </w:r>
    </w:p>
    <w:p w14:paraId="18385D8B" w14:textId="77777777" w:rsidR="00170390" w:rsidRPr="001C688A" w:rsidRDefault="00170390" w:rsidP="00C32283">
      <w:pPr>
        <w:numPr>
          <w:ilvl w:val="0"/>
          <w:numId w:val="15"/>
        </w:numPr>
        <w:ind w:left="709" w:hanging="283"/>
        <w:jc w:val="both"/>
      </w:pPr>
      <w:r w:rsidRPr="001C688A">
        <w:t>Účastníci smlouvu přečetli, s jejím obsahem souhlasí, což stvrzují svými podpisy.</w:t>
      </w:r>
    </w:p>
    <w:p w14:paraId="45696CEC" w14:textId="77777777" w:rsidR="00D432C5" w:rsidRPr="001C688A" w:rsidRDefault="00D432C5" w:rsidP="00C32283">
      <w:pPr>
        <w:tabs>
          <w:tab w:val="left" w:pos="5580"/>
        </w:tabs>
        <w:ind w:left="709" w:hanging="283"/>
        <w:jc w:val="both"/>
      </w:pPr>
    </w:p>
    <w:p w14:paraId="788461E3" w14:textId="77777777" w:rsidR="00D432C5" w:rsidRPr="001C688A" w:rsidRDefault="00D432C5">
      <w:pPr>
        <w:tabs>
          <w:tab w:val="left" w:pos="5580"/>
        </w:tabs>
        <w:jc w:val="both"/>
      </w:pPr>
    </w:p>
    <w:p w14:paraId="09AC3E99" w14:textId="77777777" w:rsidR="00170390" w:rsidRPr="001C688A" w:rsidRDefault="00170390">
      <w:pPr>
        <w:tabs>
          <w:tab w:val="left" w:pos="5580"/>
        </w:tabs>
        <w:jc w:val="both"/>
      </w:pPr>
    </w:p>
    <w:p w14:paraId="2FEA343F" w14:textId="42E42EC8" w:rsidR="0066149C" w:rsidRDefault="0066149C" w:rsidP="0066149C">
      <w:pPr>
        <w:rPr>
          <w:szCs w:val="24"/>
          <w:u w:val="single"/>
        </w:rPr>
      </w:pPr>
      <w:r w:rsidRPr="001C688A">
        <w:rPr>
          <w:szCs w:val="24"/>
          <w:u w:val="single"/>
        </w:rPr>
        <w:t>Přílohy smlouvy:</w:t>
      </w:r>
    </w:p>
    <w:p w14:paraId="46E37D42" w14:textId="6EE8F913" w:rsidR="00C32283" w:rsidRPr="00C32283" w:rsidRDefault="00C32283" w:rsidP="0066149C">
      <w:pPr>
        <w:rPr>
          <w:szCs w:val="24"/>
        </w:rPr>
      </w:pPr>
      <w:r w:rsidRPr="00C32283">
        <w:rPr>
          <w:szCs w:val="24"/>
        </w:rPr>
        <w:t>Příloha č. 1: Sankce za porušení BOZP, PO a OŽP</w:t>
      </w:r>
    </w:p>
    <w:p w14:paraId="54294BE3" w14:textId="06C89CE2" w:rsidR="0066149C" w:rsidRPr="001C688A" w:rsidRDefault="0066149C" w:rsidP="008F57E9">
      <w:r w:rsidRPr="001C688A">
        <w:rPr>
          <w:szCs w:val="24"/>
        </w:rPr>
        <w:t xml:space="preserve">Příloha č. </w:t>
      </w:r>
      <w:r w:rsidR="00994657">
        <w:rPr>
          <w:szCs w:val="24"/>
        </w:rPr>
        <w:t>2</w:t>
      </w:r>
      <w:r w:rsidRPr="001C688A">
        <w:rPr>
          <w:szCs w:val="24"/>
        </w:rPr>
        <w:t xml:space="preserve">: </w:t>
      </w:r>
      <w:r w:rsidR="00A46C6A">
        <w:rPr>
          <w:szCs w:val="24"/>
        </w:rPr>
        <w:t>Oceněný rozsah služeb</w:t>
      </w:r>
      <w:r w:rsidR="00C26C43">
        <w:rPr>
          <w:szCs w:val="24"/>
        </w:rPr>
        <w:t xml:space="preserve"> </w:t>
      </w:r>
    </w:p>
    <w:p w14:paraId="4F51216D" w14:textId="1C7143A6" w:rsidR="0066149C" w:rsidRDefault="00025E2D" w:rsidP="0066149C">
      <w:pPr>
        <w:tabs>
          <w:tab w:val="left" w:pos="5250"/>
        </w:tabs>
        <w:spacing w:beforeLines="20" w:before="48"/>
      </w:pPr>
      <w:r>
        <w:t xml:space="preserve">Příloha č. 3: Plná moc </w:t>
      </w:r>
    </w:p>
    <w:p w14:paraId="4656F947" w14:textId="77777777" w:rsidR="0066149C" w:rsidRPr="001C688A" w:rsidRDefault="0066149C" w:rsidP="0066149C">
      <w:pPr>
        <w:tabs>
          <w:tab w:val="left" w:pos="5250"/>
        </w:tabs>
        <w:spacing w:beforeLines="20" w:before="48"/>
      </w:pPr>
    </w:p>
    <w:p w14:paraId="11A5E2AD" w14:textId="21080B20" w:rsidR="0066149C" w:rsidRPr="001C688A" w:rsidRDefault="0066149C" w:rsidP="0066149C">
      <w:pPr>
        <w:ind w:left="284" w:hanging="568"/>
      </w:pPr>
      <w:r w:rsidRPr="001C688A">
        <w:lastRenderedPageBreak/>
        <w:t>V Praze dne:</w:t>
      </w:r>
      <w:r w:rsidRPr="001C688A">
        <w:tab/>
      </w:r>
      <w:r w:rsidRPr="001C688A">
        <w:tab/>
      </w:r>
      <w:r w:rsidRPr="001C688A">
        <w:tab/>
      </w:r>
      <w:r w:rsidRPr="001C688A">
        <w:tab/>
      </w:r>
      <w:r w:rsidRPr="001C688A">
        <w:tab/>
      </w:r>
      <w:r w:rsidRPr="001C688A">
        <w:tab/>
      </w:r>
      <w:r w:rsidRPr="00BC3488">
        <w:t>V </w:t>
      </w:r>
      <w:r w:rsidR="00BC3488" w:rsidRPr="00BC3488">
        <w:t>Brně</w:t>
      </w:r>
      <w:r w:rsidRPr="00BC3488">
        <w:t xml:space="preserve"> </w:t>
      </w:r>
      <w:r w:rsidRPr="001C688A">
        <w:t>dne:</w:t>
      </w:r>
    </w:p>
    <w:p w14:paraId="23F5BE12" w14:textId="77777777" w:rsidR="0066149C" w:rsidRPr="001C688A" w:rsidRDefault="0066149C" w:rsidP="0066149C"/>
    <w:p w14:paraId="25898D5C" w14:textId="77777777" w:rsidR="0066149C" w:rsidRPr="001C688A" w:rsidRDefault="0066149C" w:rsidP="0066149C"/>
    <w:p w14:paraId="5F0E023B" w14:textId="3778765D" w:rsidR="00994657" w:rsidRDefault="00994657" w:rsidP="0066149C"/>
    <w:p w14:paraId="23619AF7" w14:textId="7282ACA6" w:rsidR="00994657" w:rsidRDefault="00994657" w:rsidP="0066149C"/>
    <w:p w14:paraId="1A2661FB" w14:textId="4D898F75" w:rsidR="00994657" w:rsidRDefault="00994657" w:rsidP="0066149C"/>
    <w:p w14:paraId="31515AF7" w14:textId="77777777" w:rsidR="00994657" w:rsidRPr="001C688A" w:rsidRDefault="00994657" w:rsidP="0066149C"/>
    <w:p w14:paraId="1EDB615D" w14:textId="59375182" w:rsidR="0066149C" w:rsidRPr="001C688A" w:rsidRDefault="0066149C" w:rsidP="0066149C">
      <w:pPr>
        <w:pStyle w:val="Odstavecseseznamem"/>
        <w:ind w:left="0" w:hanging="284"/>
      </w:pPr>
      <w:r w:rsidRPr="001C688A">
        <w:t>_______________________________________</w:t>
      </w:r>
      <w:r w:rsidRPr="001C688A">
        <w:tab/>
        <w:t>____________________________</w:t>
      </w:r>
      <w:r w:rsidR="00DE26C5" w:rsidRPr="001C688A">
        <w:t>______</w:t>
      </w:r>
    </w:p>
    <w:p w14:paraId="6132E1E8" w14:textId="605745A1" w:rsidR="0066149C" w:rsidRPr="00BC3488" w:rsidRDefault="0066149C" w:rsidP="0066149C">
      <w:pPr>
        <w:pStyle w:val="Odstavecseseznamem"/>
        <w:ind w:hanging="1004"/>
        <w:rPr>
          <w:lang w:val="cs-CZ"/>
        </w:rPr>
      </w:pPr>
      <w:r w:rsidRPr="001C688A">
        <w:t>Armádní Servisní, příspěvková organizace</w:t>
      </w:r>
      <w:r w:rsidRPr="001C688A">
        <w:tab/>
      </w:r>
      <w:r w:rsidRPr="001C688A">
        <w:tab/>
      </w:r>
      <w:r w:rsidRPr="001C688A">
        <w:tab/>
      </w:r>
      <w:r w:rsidRPr="001C688A">
        <w:tab/>
      </w:r>
      <w:r w:rsidR="00BC3488" w:rsidRPr="00BC3488">
        <w:rPr>
          <w:lang w:val="cs-CZ"/>
        </w:rPr>
        <w:t>AC EURO a.s.</w:t>
      </w:r>
    </w:p>
    <w:p w14:paraId="7811792A" w14:textId="17B31EF5" w:rsidR="0066149C" w:rsidRDefault="0066149C" w:rsidP="0066149C">
      <w:pPr>
        <w:pStyle w:val="Odstavecseseznamem"/>
        <w:rPr>
          <w:lang w:val="cs-CZ"/>
        </w:rPr>
      </w:pPr>
      <w:r w:rsidRPr="001C688A">
        <w:t>Ing. Martin Lehký</w:t>
      </w:r>
      <w:r w:rsidRPr="001C688A">
        <w:tab/>
      </w:r>
      <w:r w:rsidRPr="001C688A">
        <w:tab/>
      </w:r>
      <w:r w:rsidRPr="001C688A">
        <w:tab/>
      </w:r>
      <w:r w:rsidRPr="001C688A">
        <w:tab/>
      </w:r>
      <w:r w:rsidRPr="001C688A">
        <w:tab/>
      </w:r>
      <w:r w:rsidRPr="001C688A">
        <w:tab/>
      </w:r>
      <w:r w:rsidR="009952C8">
        <w:t xml:space="preserve">        </w:t>
      </w:r>
      <w:r w:rsidR="009952C8">
        <w:rPr>
          <w:lang w:val="cs-CZ"/>
        </w:rPr>
        <w:t>XXX</w:t>
      </w:r>
    </w:p>
    <w:p w14:paraId="5A6F535A" w14:textId="4D77BC2E" w:rsidR="006931C7" w:rsidRPr="00BC3488" w:rsidRDefault="006931C7" w:rsidP="0066149C">
      <w:pPr>
        <w:pStyle w:val="Odstavecseseznamem"/>
        <w:rPr>
          <w:lang w:val="cs-CZ"/>
        </w:rPr>
      </w:pPr>
      <w:r>
        <w:rPr>
          <w:lang w:val="cs-CZ"/>
        </w:rPr>
        <w:tab/>
      </w:r>
      <w:r w:rsidRPr="001C688A">
        <w:t>ředitel</w:t>
      </w:r>
      <w:r>
        <w:rPr>
          <w:lang w:val="cs-CZ"/>
        </w:rPr>
        <w:tab/>
      </w:r>
      <w:r>
        <w:rPr>
          <w:lang w:val="cs-CZ"/>
        </w:rPr>
        <w:tab/>
      </w:r>
      <w:r>
        <w:rPr>
          <w:lang w:val="cs-CZ"/>
        </w:rPr>
        <w:tab/>
      </w:r>
      <w:r>
        <w:rPr>
          <w:lang w:val="cs-CZ"/>
        </w:rPr>
        <w:tab/>
      </w:r>
      <w:r>
        <w:rPr>
          <w:lang w:val="cs-CZ"/>
        </w:rPr>
        <w:tab/>
        <w:t xml:space="preserve">            </w:t>
      </w:r>
      <w:r w:rsidR="009952C8">
        <w:rPr>
          <w:lang w:val="cs-CZ"/>
        </w:rPr>
        <w:t xml:space="preserve">                    XXX</w:t>
      </w:r>
    </w:p>
    <w:p w14:paraId="51623213" w14:textId="32388834" w:rsidR="0066149C" w:rsidRPr="007C2CC9" w:rsidRDefault="0066149C" w:rsidP="0066149C">
      <w:pPr>
        <w:pStyle w:val="Odstavecseseznamem"/>
        <w:ind w:left="1440"/>
        <w:rPr>
          <w:lang w:val="cs-CZ"/>
        </w:rPr>
      </w:pPr>
      <w:r w:rsidRPr="001C688A">
        <w:tab/>
      </w:r>
      <w:r w:rsidRPr="001C688A">
        <w:tab/>
      </w:r>
      <w:r w:rsidRPr="001C688A">
        <w:tab/>
      </w:r>
      <w:r w:rsidRPr="001C688A">
        <w:tab/>
      </w:r>
      <w:r w:rsidRPr="001C688A">
        <w:tab/>
      </w:r>
      <w:r w:rsidRPr="001C688A">
        <w:tab/>
      </w:r>
      <w:r w:rsidR="007C2CC9">
        <w:rPr>
          <w:lang w:val="cs-CZ"/>
        </w:rPr>
        <w:t xml:space="preserve">       </w:t>
      </w:r>
      <w:r w:rsidR="009952C8">
        <w:rPr>
          <w:lang w:val="cs-CZ"/>
        </w:rPr>
        <w:t xml:space="preserve">      </w:t>
      </w:r>
      <w:bookmarkStart w:id="0" w:name="_GoBack"/>
      <w:bookmarkEnd w:id="0"/>
      <w:r w:rsidR="009952C8">
        <w:rPr>
          <w:lang w:val="cs-CZ"/>
        </w:rPr>
        <w:t xml:space="preserve">       XXX</w:t>
      </w:r>
    </w:p>
    <w:p w14:paraId="3F27D972" w14:textId="77777777" w:rsidR="00F939F6" w:rsidRDefault="00F939F6" w:rsidP="0066149C">
      <w:pPr>
        <w:tabs>
          <w:tab w:val="left" w:pos="5580"/>
        </w:tabs>
        <w:jc w:val="both"/>
        <w:rPr>
          <w:bCs/>
        </w:rPr>
      </w:pPr>
    </w:p>
    <w:p w14:paraId="4DC0F0DD" w14:textId="77777777" w:rsidR="0066149C" w:rsidRDefault="0066149C" w:rsidP="0066149C">
      <w:pPr>
        <w:tabs>
          <w:tab w:val="left" w:pos="5580"/>
        </w:tabs>
        <w:jc w:val="both"/>
        <w:rPr>
          <w:bCs/>
        </w:rPr>
      </w:pPr>
    </w:p>
    <w:p w14:paraId="2C834035" w14:textId="77777777" w:rsidR="0066149C" w:rsidRPr="00A12374" w:rsidRDefault="0066149C" w:rsidP="0066149C">
      <w:pPr>
        <w:pageBreakBefore/>
        <w:autoSpaceDE w:val="0"/>
        <w:autoSpaceDN w:val="0"/>
        <w:adjustRightInd w:val="0"/>
        <w:spacing w:after="120"/>
        <w:rPr>
          <w:bCs/>
        </w:rPr>
      </w:pPr>
      <w:r>
        <w:rPr>
          <w:bCs/>
        </w:rPr>
        <w:lastRenderedPageBreak/>
        <w:t>Příloha č. 1</w:t>
      </w:r>
    </w:p>
    <w:p w14:paraId="424309BF" w14:textId="77777777" w:rsidR="0066149C" w:rsidRPr="00595E50" w:rsidRDefault="0066149C" w:rsidP="0066149C">
      <w:pPr>
        <w:pStyle w:val="Nadpis1"/>
        <w:spacing w:afterLines="50" w:after="120"/>
        <w:rPr>
          <w:rFonts w:ascii="Arial Narrow" w:hAnsi="Arial Narrow"/>
        </w:rPr>
      </w:pPr>
      <w:r w:rsidRPr="00595E50">
        <w:rPr>
          <w:rFonts w:ascii="Arial Narrow" w:hAnsi="Arial Narrow"/>
        </w:rPr>
        <w:t>Sankce za porušení BOZP, PO a OŽP</w:t>
      </w:r>
    </w:p>
    <w:p w14:paraId="20D9ABB8" w14:textId="77777777" w:rsidR="0066149C" w:rsidRPr="009C4BA1" w:rsidRDefault="0066149C" w:rsidP="0066149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92"/>
        <w:gridCol w:w="3041"/>
        <w:gridCol w:w="1377"/>
      </w:tblGrid>
      <w:tr w:rsidR="0066149C" w:rsidRPr="0036336D" w14:paraId="7CB225E7" w14:textId="77777777" w:rsidTr="004673EC">
        <w:trPr>
          <w:trHeight w:val="426"/>
        </w:trPr>
        <w:tc>
          <w:tcPr>
            <w:tcW w:w="2725" w:type="pct"/>
            <w:tcBorders>
              <w:top w:val="single" w:sz="4" w:space="0" w:color="auto"/>
              <w:bottom w:val="single" w:sz="4" w:space="0" w:color="auto"/>
            </w:tcBorders>
            <w:vAlign w:val="center"/>
          </w:tcPr>
          <w:p w14:paraId="599D88AF" w14:textId="77777777" w:rsidR="0066149C" w:rsidRPr="00A12374" w:rsidRDefault="0066149C" w:rsidP="004673EC">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0B918F6C" w14:textId="77777777" w:rsidR="0066149C" w:rsidRPr="00A12374" w:rsidRDefault="0066149C" w:rsidP="004673EC">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6A37E0A6" w14:textId="77777777" w:rsidR="0066149C" w:rsidRPr="00A12374" w:rsidRDefault="0066149C" w:rsidP="004673EC">
            <w:pPr>
              <w:jc w:val="center"/>
              <w:rPr>
                <w:rFonts w:ascii="Arial" w:hAnsi="Arial" w:cs="Arial"/>
                <w:b/>
              </w:rPr>
            </w:pPr>
            <w:r w:rsidRPr="00A12374">
              <w:rPr>
                <w:rFonts w:ascii="Arial" w:hAnsi="Arial" w:cs="Arial"/>
                <w:b/>
              </w:rPr>
              <w:t>Rozsah krácení [Kč]</w:t>
            </w:r>
          </w:p>
        </w:tc>
      </w:tr>
      <w:tr w:rsidR="0066149C" w:rsidRPr="0036336D" w14:paraId="644B08BA" w14:textId="77777777" w:rsidTr="004673EC">
        <w:trPr>
          <w:trHeight w:val="340"/>
        </w:trPr>
        <w:tc>
          <w:tcPr>
            <w:tcW w:w="2725" w:type="pct"/>
            <w:tcBorders>
              <w:top w:val="single" w:sz="4" w:space="0" w:color="auto"/>
              <w:bottom w:val="single" w:sz="4" w:space="0" w:color="auto"/>
              <w:right w:val="dotted" w:sz="4" w:space="0" w:color="auto"/>
            </w:tcBorders>
            <w:vAlign w:val="center"/>
          </w:tcPr>
          <w:p w14:paraId="59651ACF" w14:textId="77777777" w:rsidR="0066149C" w:rsidRPr="0036336D" w:rsidRDefault="0066149C" w:rsidP="0014345F">
            <w:pPr>
              <w:pStyle w:val="13Stupovit"/>
              <w:numPr>
                <w:ilvl w:val="0"/>
                <w:numId w:val="5"/>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16C255D6" w14:textId="77777777"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863B607" w14:textId="77777777" w:rsidR="0066149C" w:rsidRPr="0036336D" w:rsidRDefault="0066149C" w:rsidP="004673EC">
            <w:pPr>
              <w:jc w:val="center"/>
              <w:rPr>
                <w:rFonts w:ascii="Arial" w:hAnsi="Arial" w:cs="Arial"/>
                <w:sz w:val="18"/>
              </w:rPr>
            </w:pPr>
          </w:p>
        </w:tc>
      </w:tr>
      <w:tr w:rsidR="0066149C" w:rsidRPr="0036336D" w14:paraId="1E071C1C" w14:textId="77777777" w:rsidTr="004673EC">
        <w:trPr>
          <w:trHeight w:val="340"/>
        </w:trPr>
        <w:tc>
          <w:tcPr>
            <w:tcW w:w="2725" w:type="pct"/>
            <w:tcBorders>
              <w:top w:val="single" w:sz="4" w:space="0" w:color="auto"/>
            </w:tcBorders>
            <w:vAlign w:val="center"/>
          </w:tcPr>
          <w:p w14:paraId="2D9AADC6"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2209557B" w14:textId="77777777"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5B210D46" w14:textId="77777777" w:rsidR="0066149C" w:rsidRPr="0036336D" w:rsidRDefault="0066149C" w:rsidP="004673EC">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66149C" w:rsidRPr="0036336D" w14:paraId="36094655" w14:textId="77777777" w:rsidTr="004673EC">
        <w:trPr>
          <w:trHeight w:val="691"/>
        </w:trPr>
        <w:tc>
          <w:tcPr>
            <w:tcW w:w="2725" w:type="pct"/>
            <w:vAlign w:val="center"/>
          </w:tcPr>
          <w:p w14:paraId="11CE244F"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2C539EC7" w14:textId="77777777"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vAlign w:val="center"/>
          </w:tcPr>
          <w:p w14:paraId="1EFEF4FD" w14:textId="77777777" w:rsidR="0066149C" w:rsidRPr="0036336D" w:rsidRDefault="0066149C" w:rsidP="004673EC">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66149C" w:rsidRPr="0036336D" w14:paraId="52890BE0" w14:textId="77777777" w:rsidTr="004673EC">
        <w:trPr>
          <w:trHeight w:val="340"/>
        </w:trPr>
        <w:tc>
          <w:tcPr>
            <w:tcW w:w="2725" w:type="pct"/>
            <w:tcBorders>
              <w:top w:val="dotted" w:sz="4" w:space="0" w:color="auto"/>
              <w:bottom w:val="dotted" w:sz="4" w:space="0" w:color="auto"/>
            </w:tcBorders>
            <w:vAlign w:val="center"/>
          </w:tcPr>
          <w:p w14:paraId="1CDBFC1B" w14:textId="77777777" w:rsidR="0066149C" w:rsidRPr="0036336D" w:rsidRDefault="0066149C" w:rsidP="0014345F">
            <w:pPr>
              <w:pStyle w:val="13Stupovit"/>
              <w:numPr>
                <w:ilvl w:val="1"/>
                <w:numId w:val="5"/>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3E634763" w14:textId="77777777"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1B687EC" w14:textId="77777777" w:rsidR="0066149C" w:rsidRPr="0036336D" w:rsidRDefault="0066149C" w:rsidP="004673EC">
            <w:pPr>
              <w:jc w:val="center"/>
              <w:rPr>
                <w:rFonts w:ascii="Arial" w:hAnsi="Arial" w:cs="Arial"/>
                <w:sz w:val="18"/>
              </w:rPr>
            </w:pPr>
            <w:r w:rsidRPr="0036336D">
              <w:rPr>
                <w:rFonts w:ascii="Arial" w:hAnsi="Arial" w:cs="Arial"/>
                <w:sz w:val="18"/>
              </w:rPr>
              <w:t>500</w:t>
            </w:r>
          </w:p>
        </w:tc>
      </w:tr>
      <w:tr w:rsidR="0066149C" w:rsidRPr="0036336D" w14:paraId="77DD6684" w14:textId="77777777" w:rsidTr="004673EC">
        <w:trPr>
          <w:trHeight w:val="340"/>
        </w:trPr>
        <w:tc>
          <w:tcPr>
            <w:tcW w:w="2725" w:type="pct"/>
            <w:tcBorders>
              <w:top w:val="dotted" w:sz="4" w:space="0" w:color="auto"/>
              <w:bottom w:val="dotted" w:sz="4" w:space="0" w:color="auto"/>
            </w:tcBorders>
            <w:vAlign w:val="center"/>
          </w:tcPr>
          <w:p w14:paraId="6E99717B"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0FA37C1D" w14:textId="77777777"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DDD24E7" w14:textId="77777777" w:rsidR="0066149C" w:rsidRPr="0036336D" w:rsidRDefault="0066149C" w:rsidP="004673EC">
            <w:pPr>
              <w:jc w:val="center"/>
              <w:rPr>
                <w:rFonts w:ascii="Arial" w:hAnsi="Arial" w:cs="Arial"/>
                <w:color w:val="FF0000"/>
                <w:sz w:val="18"/>
              </w:rPr>
            </w:pPr>
            <w:r w:rsidRPr="0036336D">
              <w:rPr>
                <w:rFonts w:ascii="Arial" w:hAnsi="Arial" w:cs="Arial"/>
                <w:sz w:val="18"/>
              </w:rPr>
              <w:t>300 – 800</w:t>
            </w:r>
          </w:p>
        </w:tc>
      </w:tr>
      <w:tr w:rsidR="0066149C" w:rsidRPr="0036336D" w14:paraId="38B2C195" w14:textId="77777777" w:rsidTr="004673EC">
        <w:trPr>
          <w:trHeight w:val="340"/>
        </w:trPr>
        <w:tc>
          <w:tcPr>
            <w:tcW w:w="2725" w:type="pct"/>
            <w:tcBorders>
              <w:top w:val="dotted" w:sz="4" w:space="0" w:color="auto"/>
              <w:bottom w:val="dotted" w:sz="4" w:space="0" w:color="auto"/>
            </w:tcBorders>
            <w:vAlign w:val="center"/>
          </w:tcPr>
          <w:p w14:paraId="03B2C36D"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7BFFEE9B" w14:textId="77777777"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471B17D" w14:textId="77777777" w:rsidR="0066149C" w:rsidRPr="0036336D" w:rsidRDefault="0066149C" w:rsidP="004673EC">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6149C" w:rsidRPr="0036336D" w14:paraId="0177F812" w14:textId="77777777" w:rsidTr="004673EC">
        <w:trPr>
          <w:trHeight w:val="340"/>
        </w:trPr>
        <w:tc>
          <w:tcPr>
            <w:tcW w:w="2725" w:type="pct"/>
            <w:tcBorders>
              <w:top w:val="dotted" w:sz="4" w:space="0" w:color="auto"/>
              <w:bottom w:val="dotted" w:sz="4" w:space="0" w:color="auto"/>
            </w:tcBorders>
            <w:vAlign w:val="center"/>
          </w:tcPr>
          <w:p w14:paraId="3CB93B4F" w14:textId="77777777" w:rsidR="0066149C" w:rsidRPr="0036336D" w:rsidRDefault="0066149C" w:rsidP="0014345F">
            <w:pPr>
              <w:pStyle w:val="13Stupovit"/>
              <w:numPr>
                <w:ilvl w:val="1"/>
                <w:numId w:val="5"/>
              </w:numPr>
              <w:rPr>
                <w:rFonts w:ascii="Arial" w:hAnsi="Arial" w:cs="Arial"/>
                <w:sz w:val="18"/>
              </w:rPr>
            </w:pPr>
          </w:p>
        </w:tc>
        <w:tc>
          <w:tcPr>
            <w:tcW w:w="1566" w:type="pct"/>
            <w:tcBorders>
              <w:top w:val="dotted" w:sz="4" w:space="0" w:color="auto"/>
              <w:bottom w:val="dotted" w:sz="4" w:space="0" w:color="auto"/>
            </w:tcBorders>
            <w:vAlign w:val="center"/>
          </w:tcPr>
          <w:p w14:paraId="292518CC" w14:textId="77777777"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14:paraId="0F350E73" w14:textId="77777777" w:rsidR="0066149C" w:rsidRPr="0036336D" w:rsidRDefault="0066149C" w:rsidP="004673EC">
            <w:pPr>
              <w:jc w:val="center"/>
              <w:rPr>
                <w:rFonts w:ascii="Arial" w:hAnsi="Arial" w:cs="Arial"/>
                <w:spacing w:val="-4"/>
                <w:sz w:val="18"/>
              </w:rPr>
            </w:pPr>
          </w:p>
        </w:tc>
      </w:tr>
      <w:tr w:rsidR="0066149C" w:rsidRPr="0036336D" w14:paraId="71373AD9" w14:textId="77777777" w:rsidTr="004673EC">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7274770B" w14:textId="77777777" w:rsidR="0066149C" w:rsidRPr="0036336D" w:rsidRDefault="0066149C" w:rsidP="0014345F">
            <w:pPr>
              <w:pStyle w:val="13Stupovit"/>
              <w:numPr>
                <w:ilvl w:val="1"/>
                <w:numId w:val="5"/>
              </w:numPr>
              <w:rPr>
                <w:rFonts w:ascii="Arial" w:hAnsi="Arial" w:cs="Arial"/>
                <w:sz w:val="18"/>
              </w:rPr>
            </w:pPr>
          </w:p>
        </w:tc>
        <w:tc>
          <w:tcPr>
            <w:tcW w:w="1566" w:type="pct"/>
            <w:tcBorders>
              <w:top w:val="dotted" w:sz="4" w:space="0" w:color="auto"/>
              <w:left w:val="dotted" w:sz="4" w:space="0" w:color="auto"/>
              <w:bottom w:val="single" w:sz="4" w:space="0" w:color="auto"/>
              <w:right w:val="dotted" w:sz="4" w:space="0" w:color="auto"/>
            </w:tcBorders>
            <w:vAlign w:val="center"/>
          </w:tcPr>
          <w:p w14:paraId="7907DD26" w14:textId="77777777" w:rsidR="0066149C" w:rsidRPr="0036336D" w:rsidRDefault="0066149C" w:rsidP="004673EC">
            <w:pPr>
              <w:rPr>
                <w:rFonts w:ascii="Arial" w:hAnsi="Arial" w:cs="Arial"/>
                <w:sz w:val="18"/>
              </w:rPr>
            </w:pPr>
          </w:p>
        </w:tc>
        <w:tc>
          <w:tcPr>
            <w:tcW w:w="709" w:type="pct"/>
            <w:tcBorders>
              <w:top w:val="dotted" w:sz="4" w:space="0" w:color="auto"/>
              <w:left w:val="dotted" w:sz="4" w:space="0" w:color="auto"/>
              <w:bottom w:val="single" w:sz="4" w:space="0" w:color="auto"/>
              <w:right w:val="single" w:sz="4" w:space="0" w:color="auto"/>
            </w:tcBorders>
            <w:vAlign w:val="center"/>
          </w:tcPr>
          <w:p w14:paraId="3DBC05CC" w14:textId="77777777" w:rsidR="0066149C" w:rsidRPr="0036336D" w:rsidRDefault="0066149C" w:rsidP="004673EC">
            <w:pPr>
              <w:jc w:val="center"/>
              <w:rPr>
                <w:rFonts w:ascii="Arial" w:hAnsi="Arial" w:cs="Arial"/>
                <w:sz w:val="18"/>
              </w:rPr>
            </w:pPr>
          </w:p>
        </w:tc>
      </w:tr>
      <w:tr w:rsidR="0066149C" w:rsidRPr="0036336D" w14:paraId="4ACAFB68" w14:textId="77777777" w:rsidTr="004673EC">
        <w:trPr>
          <w:trHeight w:val="340"/>
        </w:trPr>
        <w:tc>
          <w:tcPr>
            <w:tcW w:w="2725" w:type="pct"/>
            <w:tcBorders>
              <w:top w:val="single" w:sz="4" w:space="0" w:color="auto"/>
              <w:bottom w:val="single" w:sz="4" w:space="0" w:color="auto"/>
              <w:right w:val="dotted" w:sz="4" w:space="0" w:color="auto"/>
            </w:tcBorders>
            <w:vAlign w:val="center"/>
          </w:tcPr>
          <w:p w14:paraId="6ED98B91" w14:textId="77777777" w:rsidR="0066149C" w:rsidRPr="0036336D" w:rsidRDefault="0066149C" w:rsidP="0014345F">
            <w:pPr>
              <w:pStyle w:val="13Stupovit"/>
              <w:numPr>
                <w:ilvl w:val="0"/>
                <w:numId w:val="5"/>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2ACC39E1" w14:textId="77777777"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7D53E7B" w14:textId="77777777" w:rsidR="0066149C" w:rsidRPr="0036336D" w:rsidRDefault="0066149C" w:rsidP="004673EC">
            <w:pPr>
              <w:jc w:val="center"/>
              <w:rPr>
                <w:rFonts w:ascii="Arial" w:hAnsi="Arial" w:cs="Arial"/>
                <w:sz w:val="18"/>
              </w:rPr>
            </w:pPr>
          </w:p>
        </w:tc>
      </w:tr>
      <w:tr w:rsidR="0066149C" w:rsidRPr="0036336D" w14:paraId="75AF6287" w14:textId="77777777" w:rsidTr="004673EC">
        <w:trPr>
          <w:trHeight w:val="521"/>
        </w:trPr>
        <w:tc>
          <w:tcPr>
            <w:tcW w:w="2725" w:type="pct"/>
            <w:tcBorders>
              <w:bottom w:val="dotted" w:sz="4" w:space="0" w:color="auto"/>
            </w:tcBorders>
            <w:vAlign w:val="center"/>
          </w:tcPr>
          <w:p w14:paraId="681B8F08" w14:textId="77777777" w:rsidR="0066149C" w:rsidRPr="0036336D" w:rsidRDefault="0066149C" w:rsidP="0014345F">
            <w:pPr>
              <w:pStyle w:val="13Stupovit"/>
              <w:numPr>
                <w:ilvl w:val="1"/>
                <w:numId w:val="5"/>
              </w:numPr>
              <w:rPr>
                <w:rFonts w:ascii="Arial" w:hAnsi="Arial" w:cs="Arial"/>
                <w:sz w:val="18"/>
              </w:rPr>
            </w:pPr>
          </w:p>
        </w:tc>
        <w:tc>
          <w:tcPr>
            <w:tcW w:w="1566" w:type="pct"/>
            <w:tcBorders>
              <w:bottom w:val="dotted" w:sz="4" w:space="0" w:color="auto"/>
            </w:tcBorders>
            <w:vAlign w:val="center"/>
          </w:tcPr>
          <w:p w14:paraId="044B2656" w14:textId="77777777" w:rsidR="0066149C" w:rsidRPr="0036336D" w:rsidRDefault="0066149C" w:rsidP="004673EC">
            <w:pPr>
              <w:rPr>
                <w:rFonts w:ascii="Arial" w:hAnsi="Arial" w:cs="Arial"/>
                <w:sz w:val="18"/>
              </w:rPr>
            </w:pPr>
          </w:p>
        </w:tc>
        <w:tc>
          <w:tcPr>
            <w:tcW w:w="709" w:type="pct"/>
            <w:tcBorders>
              <w:bottom w:val="dotted" w:sz="4" w:space="0" w:color="auto"/>
            </w:tcBorders>
            <w:vAlign w:val="center"/>
          </w:tcPr>
          <w:p w14:paraId="520A7174" w14:textId="77777777" w:rsidR="0066149C" w:rsidRPr="0036336D" w:rsidRDefault="0066149C" w:rsidP="004673EC">
            <w:pPr>
              <w:jc w:val="center"/>
              <w:rPr>
                <w:rFonts w:ascii="Arial" w:hAnsi="Arial" w:cs="Arial"/>
                <w:sz w:val="18"/>
              </w:rPr>
            </w:pPr>
          </w:p>
        </w:tc>
      </w:tr>
      <w:tr w:rsidR="0066149C" w:rsidRPr="0036336D" w14:paraId="22312B56" w14:textId="77777777" w:rsidTr="004673EC">
        <w:trPr>
          <w:trHeight w:val="479"/>
        </w:trPr>
        <w:tc>
          <w:tcPr>
            <w:tcW w:w="2725" w:type="pct"/>
            <w:tcBorders>
              <w:top w:val="dotted" w:sz="4" w:space="0" w:color="auto"/>
              <w:bottom w:val="dotted" w:sz="4" w:space="0" w:color="auto"/>
            </w:tcBorders>
            <w:vAlign w:val="center"/>
          </w:tcPr>
          <w:p w14:paraId="6463CAC1" w14:textId="77777777" w:rsidR="0066149C" w:rsidRPr="0036336D" w:rsidRDefault="0066149C" w:rsidP="0014345F">
            <w:pPr>
              <w:pStyle w:val="13Stupovit"/>
              <w:numPr>
                <w:ilvl w:val="1"/>
                <w:numId w:val="5"/>
              </w:numPr>
              <w:rPr>
                <w:rFonts w:ascii="Arial" w:hAnsi="Arial" w:cs="Arial"/>
                <w:sz w:val="18"/>
                <w:szCs w:val="20"/>
              </w:rPr>
            </w:pPr>
          </w:p>
        </w:tc>
        <w:tc>
          <w:tcPr>
            <w:tcW w:w="1566" w:type="pct"/>
            <w:tcBorders>
              <w:top w:val="dotted" w:sz="4" w:space="0" w:color="auto"/>
              <w:bottom w:val="dotted" w:sz="4" w:space="0" w:color="auto"/>
            </w:tcBorders>
            <w:vAlign w:val="center"/>
          </w:tcPr>
          <w:p w14:paraId="636635BD" w14:textId="77777777"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14:paraId="63287584" w14:textId="77777777" w:rsidR="0066149C" w:rsidRPr="0036336D" w:rsidRDefault="0066149C" w:rsidP="004673EC">
            <w:pPr>
              <w:jc w:val="center"/>
              <w:rPr>
                <w:rFonts w:ascii="Arial" w:hAnsi="Arial" w:cs="Arial"/>
                <w:sz w:val="18"/>
              </w:rPr>
            </w:pPr>
          </w:p>
        </w:tc>
      </w:tr>
      <w:tr w:rsidR="0066149C" w:rsidRPr="0036336D" w14:paraId="09F14BA6" w14:textId="77777777" w:rsidTr="004673EC">
        <w:trPr>
          <w:trHeight w:val="340"/>
        </w:trPr>
        <w:tc>
          <w:tcPr>
            <w:tcW w:w="2725" w:type="pct"/>
            <w:tcBorders>
              <w:top w:val="dotted" w:sz="4" w:space="0" w:color="auto"/>
              <w:bottom w:val="single" w:sz="4" w:space="0" w:color="auto"/>
            </w:tcBorders>
            <w:vAlign w:val="center"/>
          </w:tcPr>
          <w:p w14:paraId="535848AD" w14:textId="77777777" w:rsidR="0066149C" w:rsidRPr="0036336D" w:rsidRDefault="0066149C" w:rsidP="0014345F">
            <w:pPr>
              <w:pStyle w:val="13Stupovit"/>
              <w:numPr>
                <w:ilvl w:val="1"/>
                <w:numId w:val="5"/>
              </w:numPr>
              <w:rPr>
                <w:rFonts w:ascii="Arial" w:hAnsi="Arial" w:cs="Arial"/>
                <w:sz w:val="18"/>
                <w:szCs w:val="20"/>
              </w:rPr>
            </w:pPr>
          </w:p>
        </w:tc>
        <w:tc>
          <w:tcPr>
            <w:tcW w:w="1566" w:type="pct"/>
            <w:tcBorders>
              <w:top w:val="dotted" w:sz="4" w:space="0" w:color="auto"/>
              <w:bottom w:val="single" w:sz="4" w:space="0" w:color="auto"/>
            </w:tcBorders>
            <w:vAlign w:val="center"/>
          </w:tcPr>
          <w:p w14:paraId="7CE8E4CB" w14:textId="77777777"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14:paraId="0D9E38AF" w14:textId="77777777" w:rsidR="0066149C" w:rsidRPr="0036336D" w:rsidRDefault="0066149C" w:rsidP="004673EC">
            <w:pPr>
              <w:jc w:val="center"/>
              <w:rPr>
                <w:rFonts w:ascii="Arial" w:hAnsi="Arial" w:cs="Arial"/>
                <w:sz w:val="18"/>
              </w:rPr>
            </w:pPr>
          </w:p>
        </w:tc>
      </w:tr>
      <w:tr w:rsidR="0066149C" w:rsidRPr="0036336D" w14:paraId="787FF1C8" w14:textId="77777777" w:rsidTr="004673EC">
        <w:trPr>
          <w:trHeight w:val="340"/>
        </w:trPr>
        <w:tc>
          <w:tcPr>
            <w:tcW w:w="2725" w:type="pct"/>
            <w:tcBorders>
              <w:top w:val="single" w:sz="4" w:space="0" w:color="auto"/>
              <w:bottom w:val="single" w:sz="4" w:space="0" w:color="auto"/>
              <w:right w:val="dotted" w:sz="4" w:space="0" w:color="auto"/>
            </w:tcBorders>
            <w:vAlign w:val="center"/>
          </w:tcPr>
          <w:p w14:paraId="08EFCA04" w14:textId="77777777" w:rsidR="0066149C" w:rsidRPr="0036336D" w:rsidRDefault="0066149C" w:rsidP="0014345F">
            <w:pPr>
              <w:pStyle w:val="13Stupovit"/>
              <w:numPr>
                <w:ilvl w:val="0"/>
                <w:numId w:val="5"/>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7225C375" w14:textId="77777777"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2DC84EB3" w14:textId="77777777" w:rsidR="0066149C" w:rsidRPr="0036336D" w:rsidRDefault="0066149C" w:rsidP="004673EC">
            <w:pPr>
              <w:jc w:val="center"/>
              <w:rPr>
                <w:rFonts w:ascii="Arial" w:hAnsi="Arial" w:cs="Arial"/>
                <w:sz w:val="18"/>
              </w:rPr>
            </w:pPr>
          </w:p>
        </w:tc>
      </w:tr>
      <w:tr w:rsidR="0066149C" w:rsidRPr="0036336D" w14:paraId="4A62AE44" w14:textId="77777777" w:rsidTr="004673EC">
        <w:trPr>
          <w:trHeight w:val="701"/>
        </w:trPr>
        <w:tc>
          <w:tcPr>
            <w:tcW w:w="2725" w:type="pct"/>
            <w:tcBorders>
              <w:top w:val="single" w:sz="4" w:space="0" w:color="auto"/>
            </w:tcBorders>
            <w:vAlign w:val="center"/>
          </w:tcPr>
          <w:p w14:paraId="5F6B6DCE"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37606442" w14:textId="77777777" w:rsidR="0066149C" w:rsidRDefault="0066149C" w:rsidP="004673EC">
            <w:pPr>
              <w:rPr>
                <w:rFonts w:ascii="Arial" w:hAnsi="Arial" w:cs="Arial"/>
                <w:sz w:val="18"/>
              </w:rPr>
            </w:pPr>
            <w:r w:rsidRPr="0036336D">
              <w:rPr>
                <w:rFonts w:ascii="Arial" w:hAnsi="Arial" w:cs="Arial"/>
                <w:sz w:val="18"/>
              </w:rPr>
              <w:t xml:space="preserve">Zák. 133/1985 Sb., </w:t>
            </w:r>
          </w:p>
          <w:p w14:paraId="07F30B73" w14:textId="77777777" w:rsidR="0066149C" w:rsidRPr="0036336D" w:rsidRDefault="0066149C" w:rsidP="004673EC">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14:paraId="120AFB98" w14:textId="77777777" w:rsidR="0066149C" w:rsidRPr="0036336D" w:rsidRDefault="0066149C" w:rsidP="004673EC">
            <w:pPr>
              <w:jc w:val="center"/>
              <w:rPr>
                <w:rFonts w:ascii="Arial" w:hAnsi="Arial" w:cs="Arial"/>
                <w:sz w:val="18"/>
              </w:rPr>
            </w:pPr>
            <w:r w:rsidRPr="0036336D">
              <w:rPr>
                <w:rFonts w:ascii="Arial" w:hAnsi="Arial" w:cs="Arial"/>
                <w:sz w:val="18"/>
              </w:rPr>
              <w:t>500 – 1000</w:t>
            </w:r>
          </w:p>
        </w:tc>
      </w:tr>
      <w:tr w:rsidR="0066149C" w:rsidRPr="0036336D" w14:paraId="78AE97F4" w14:textId="77777777" w:rsidTr="004673EC">
        <w:trPr>
          <w:trHeight w:val="340"/>
        </w:trPr>
        <w:tc>
          <w:tcPr>
            <w:tcW w:w="2725" w:type="pct"/>
            <w:vAlign w:val="center"/>
          </w:tcPr>
          <w:p w14:paraId="46C43B72"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71296EF6" w14:textId="77777777" w:rsidR="0066149C" w:rsidRDefault="0066149C" w:rsidP="004673EC">
            <w:pPr>
              <w:rPr>
                <w:rFonts w:ascii="Arial" w:hAnsi="Arial" w:cs="Arial"/>
                <w:sz w:val="18"/>
              </w:rPr>
            </w:pPr>
            <w:r w:rsidRPr="0036336D">
              <w:rPr>
                <w:rFonts w:ascii="Arial" w:hAnsi="Arial" w:cs="Arial"/>
                <w:sz w:val="18"/>
              </w:rPr>
              <w:t xml:space="preserve">Zák. 262/2006 Sb., </w:t>
            </w:r>
          </w:p>
          <w:p w14:paraId="5D92B872" w14:textId="77777777" w:rsidR="0066149C" w:rsidRPr="0036336D" w:rsidRDefault="0066149C" w:rsidP="004673EC">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60BAC89A" w14:textId="77777777" w:rsidR="0066149C" w:rsidRPr="0036336D" w:rsidRDefault="0066149C" w:rsidP="004673EC">
            <w:pPr>
              <w:jc w:val="center"/>
              <w:rPr>
                <w:rFonts w:ascii="Arial" w:hAnsi="Arial" w:cs="Arial"/>
                <w:sz w:val="18"/>
              </w:rPr>
            </w:pPr>
            <w:r w:rsidRPr="0036336D">
              <w:rPr>
                <w:rFonts w:ascii="Arial" w:hAnsi="Arial" w:cs="Arial"/>
                <w:sz w:val="18"/>
              </w:rPr>
              <w:t>300</w:t>
            </w:r>
          </w:p>
        </w:tc>
      </w:tr>
      <w:tr w:rsidR="0066149C" w:rsidRPr="0036336D" w14:paraId="093F4664" w14:textId="77777777" w:rsidTr="004673EC">
        <w:trPr>
          <w:trHeight w:val="340"/>
        </w:trPr>
        <w:tc>
          <w:tcPr>
            <w:tcW w:w="2725" w:type="pct"/>
            <w:vAlign w:val="center"/>
          </w:tcPr>
          <w:p w14:paraId="5D086DF1" w14:textId="77777777" w:rsidR="0066149C" w:rsidRPr="0036336D" w:rsidRDefault="0066149C" w:rsidP="0014345F">
            <w:pPr>
              <w:pStyle w:val="13Stupovit"/>
              <w:numPr>
                <w:ilvl w:val="1"/>
                <w:numId w:val="5"/>
              </w:numPr>
              <w:rPr>
                <w:rFonts w:ascii="Arial" w:hAnsi="Arial" w:cs="Arial"/>
                <w:sz w:val="18"/>
                <w:szCs w:val="20"/>
              </w:rPr>
            </w:pPr>
          </w:p>
        </w:tc>
        <w:tc>
          <w:tcPr>
            <w:tcW w:w="1566" w:type="pct"/>
            <w:vAlign w:val="center"/>
          </w:tcPr>
          <w:p w14:paraId="276E8B99" w14:textId="77777777" w:rsidR="0066149C" w:rsidRPr="0036336D" w:rsidRDefault="0066149C" w:rsidP="004673EC">
            <w:pPr>
              <w:rPr>
                <w:rFonts w:ascii="Arial" w:hAnsi="Arial" w:cs="Arial"/>
                <w:sz w:val="18"/>
              </w:rPr>
            </w:pPr>
          </w:p>
        </w:tc>
        <w:tc>
          <w:tcPr>
            <w:tcW w:w="709" w:type="pct"/>
            <w:vAlign w:val="center"/>
          </w:tcPr>
          <w:p w14:paraId="56EE2647" w14:textId="77777777" w:rsidR="0066149C" w:rsidRPr="0036336D" w:rsidRDefault="0066149C" w:rsidP="004673EC">
            <w:pPr>
              <w:jc w:val="center"/>
              <w:rPr>
                <w:rFonts w:ascii="Arial" w:hAnsi="Arial" w:cs="Arial"/>
                <w:sz w:val="18"/>
              </w:rPr>
            </w:pPr>
          </w:p>
        </w:tc>
      </w:tr>
      <w:tr w:rsidR="0066149C" w:rsidRPr="0036336D" w14:paraId="49B45820" w14:textId="77777777" w:rsidTr="004673EC">
        <w:trPr>
          <w:trHeight w:val="340"/>
        </w:trPr>
        <w:tc>
          <w:tcPr>
            <w:tcW w:w="2725" w:type="pct"/>
            <w:vAlign w:val="center"/>
          </w:tcPr>
          <w:p w14:paraId="5B7C2093" w14:textId="77777777" w:rsidR="0066149C" w:rsidRPr="0036336D" w:rsidRDefault="0066149C" w:rsidP="0014345F">
            <w:pPr>
              <w:pStyle w:val="13Stupovit"/>
              <w:numPr>
                <w:ilvl w:val="1"/>
                <w:numId w:val="5"/>
              </w:numPr>
              <w:rPr>
                <w:rFonts w:ascii="Arial" w:hAnsi="Arial" w:cs="Arial"/>
                <w:sz w:val="18"/>
                <w:szCs w:val="20"/>
              </w:rPr>
            </w:pPr>
          </w:p>
        </w:tc>
        <w:tc>
          <w:tcPr>
            <w:tcW w:w="1566" w:type="pct"/>
            <w:vAlign w:val="center"/>
          </w:tcPr>
          <w:p w14:paraId="43FA94B9" w14:textId="77777777" w:rsidR="0066149C" w:rsidRPr="0036336D" w:rsidRDefault="0066149C" w:rsidP="004673EC">
            <w:pPr>
              <w:rPr>
                <w:rFonts w:ascii="Arial" w:hAnsi="Arial" w:cs="Arial"/>
                <w:sz w:val="18"/>
              </w:rPr>
            </w:pPr>
          </w:p>
        </w:tc>
        <w:tc>
          <w:tcPr>
            <w:tcW w:w="709" w:type="pct"/>
            <w:vAlign w:val="center"/>
          </w:tcPr>
          <w:p w14:paraId="7F285791" w14:textId="77777777" w:rsidR="0066149C" w:rsidRPr="0036336D" w:rsidRDefault="0066149C" w:rsidP="004673EC">
            <w:pPr>
              <w:jc w:val="center"/>
              <w:rPr>
                <w:rFonts w:ascii="Arial" w:hAnsi="Arial" w:cs="Arial"/>
                <w:sz w:val="18"/>
              </w:rPr>
            </w:pPr>
          </w:p>
        </w:tc>
      </w:tr>
      <w:tr w:rsidR="0066149C" w:rsidRPr="0036336D" w14:paraId="69E17FA9" w14:textId="77777777" w:rsidTr="004673EC">
        <w:trPr>
          <w:trHeight w:val="340"/>
        </w:trPr>
        <w:tc>
          <w:tcPr>
            <w:tcW w:w="2725" w:type="pct"/>
            <w:vAlign w:val="center"/>
          </w:tcPr>
          <w:p w14:paraId="26A5A69B" w14:textId="77777777" w:rsidR="0066149C" w:rsidRPr="0036336D" w:rsidRDefault="0066149C" w:rsidP="0014345F">
            <w:pPr>
              <w:pStyle w:val="13Stupovit"/>
              <w:numPr>
                <w:ilvl w:val="1"/>
                <w:numId w:val="5"/>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3BF56020" w14:textId="77777777" w:rsidR="0066149C" w:rsidRPr="0036336D" w:rsidRDefault="0066149C" w:rsidP="004673EC">
            <w:pPr>
              <w:rPr>
                <w:rFonts w:ascii="Arial" w:hAnsi="Arial" w:cs="Arial"/>
                <w:sz w:val="18"/>
              </w:rPr>
            </w:pPr>
            <w:r w:rsidRPr="0036336D">
              <w:rPr>
                <w:rFonts w:ascii="Arial" w:hAnsi="Arial" w:cs="Arial"/>
                <w:sz w:val="18"/>
              </w:rPr>
              <w:t xml:space="preserve">Zák. 133/1985 Sb. </w:t>
            </w:r>
          </w:p>
        </w:tc>
        <w:tc>
          <w:tcPr>
            <w:tcW w:w="709" w:type="pct"/>
            <w:vAlign w:val="center"/>
          </w:tcPr>
          <w:p w14:paraId="4F7580F8" w14:textId="77777777" w:rsidR="0066149C" w:rsidRPr="0036336D" w:rsidRDefault="0066149C" w:rsidP="004673EC">
            <w:pPr>
              <w:jc w:val="center"/>
              <w:rPr>
                <w:rFonts w:ascii="Arial" w:hAnsi="Arial" w:cs="Arial"/>
                <w:sz w:val="18"/>
              </w:rPr>
            </w:pPr>
            <w:r w:rsidRPr="0036336D">
              <w:rPr>
                <w:rFonts w:ascii="Arial" w:hAnsi="Arial" w:cs="Arial"/>
                <w:sz w:val="18"/>
              </w:rPr>
              <w:t>200 – 500</w:t>
            </w:r>
          </w:p>
        </w:tc>
      </w:tr>
      <w:tr w:rsidR="0066149C" w:rsidRPr="0036336D" w14:paraId="311639CA" w14:textId="77777777" w:rsidTr="004673EC">
        <w:trPr>
          <w:trHeight w:val="340"/>
        </w:trPr>
        <w:tc>
          <w:tcPr>
            <w:tcW w:w="2725" w:type="pct"/>
            <w:tcBorders>
              <w:top w:val="single" w:sz="4" w:space="0" w:color="auto"/>
              <w:bottom w:val="single" w:sz="4" w:space="0" w:color="auto"/>
            </w:tcBorders>
            <w:vAlign w:val="center"/>
          </w:tcPr>
          <w:p w14:paraId="0AEB60DF" w14:textId="77777777" w:rsidR="0066149C" w:rsidRPr="0036336D" w:rsidRDefault="0066149C" w:rsidP="0014345F">
            <w:pPr>
              <w:pStyle w:val="13Stupovit"/>
              <w:numPr>
                <w:ilvl w:val="0"/>
                <w:numId w:val="5"/>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02F002C3" w14:textId="77777777" w:rsidR="0066149C" w:rsidRPr="0036336D" w:rsidRDefault="0066149C" w:rsidP="004673EC">
            <w:pPr>
              <w:rPr>
                <w:rFonts w:ascii="Arial" w:hAnsi="Arial" w:cs="Arial"/>
                <w:sz w:val="18"/>
              </w:rPr>
            </w:pPr>
          </w:p>
        </w:tc>
        <w:tc>
          <w:tcPr>
            <w:tcW w:w="709" w:type="pct"/>
            <w:tcBorders>
              <w:top w:val="single" w:sz="4" w:space="0" w:color="auto"/>
              <w:bottom w:val="single" w:sz="4" w:space="0" w:color="auto"/>
            </w:tcBorders>
            <w:vAlign w:val="center"/>
          </w:tcPr>
          <w:p w14:paraId="4CA6ABB6" w14:textId="77777777" w:rsidR="0066149C" w:rsidRPr="0036336D" w:rsidRDefault="0066149C" w:rsidP="004673EC">
            <w:pPr>
              <w:jc w:val="center"/>
              <w:rPr>
                <w:rFonts w:ascii="Arial" w:hAnsi="Arial" w:cs="Arial"/>
                <w:sz w:val="18"/>
              </w:rPr>
            </w:pPr>
          </w:p>
        </w:tc>
      </w:tr>
      <w:tr w:rsidR="0066149C" w:rsidRPr="0036336D" w14:paraId="231C6982" w14:textId="77777777" w:rsidTr="004673EC">
        <w:trPr>
          <w:trHeight w:val="340"/>
        </w:trPr>
        <w:tc>
          <w:tcPr>
            <w:tcW w:w="2725" w:type="pct"/>
            <w:tcBorders>
              <w:top w:val="single" w:sz="4" w:space="0" w:color="auto"/>
              <w:bottom w:val="dotted" w:sz="4" w:space="0" w:color="auto"/>
            </w:tcBorders>
            <w:vAlign w:val="center"/>
          </w:tcPr>
          <w:p w14:paraId="3CB3CE9A" w14:textId="77777777" w:rsidR="0066149C" w:rsidRPr="0036336D" w:rsidRDefault="0066149C" w:rsidP="0014345F">
            <w:pPr>
              <w:pStyle w:val="13Stupovit"/>
              <w:numPr>
                <w:ilvl w:val="1"/>
                <w:numId w:val="5"/>
              </w:numPr>
              <w:rPr>
                <w:rFonts w:ascii="Arial" w:hAnsi="Arial" w:cs="Arial"/>
                <w:sz w:val="18"/>
                <w:szCs w:val="20"/>
              </w:rPr>
            </w:pPr>
          </w:p>
        </w:tc>
        <w:tc>
          <w:tcPr>
            <w:tcW w:w="1566" w:type="pct"/>
            <w:tcBorders>
              <w:top w:val="single" w:sz="4" w:space="0" w:color="auto"/>
              <w:bottom w:val="dotted" w:sz="4" w:space="0" w:color="auto"/>
            </w:tcBorders>
            <w:vAlign w:val="center"/>
          </w:tcPr>
          <w:p w14:paraId="5909CA14" w14:textId="77777777" w:rsidR="0066149C" w:rsidRPr="0036336D" w:rsidRDefault="0066149C" w:rsidP="004673EC">
            <w:pPr>
              <w:rPr>
                <w:rFonts w:ascii="Arial" w:hAnsi="Arial" w:cs="Arial"/>
                <w:sz w:val="18"/>
              </w:rPr>
            </w:pPr>
          </w:p>
        </w:tc>
        <w:tc>
          <w:tcPr>
            <w:tcW w:w="709" w:type="pct"/>
            <w:tcBorders>
              <w:top w:val="single" w:sz="4" w:space="0" w:color="auto"/>
              <w:bottom w:val="dotted" w:sz="4" w:space="0" w:color="auto"/>
            </w:tcBorders>
            <w:vAlign w:val="center"/>
          </w:tcPr>
          <w:p w14:paraId="679A3CD3" w14:textId="77777777" w:rsidR="0066149C" w:rsidRPr="0036336D" w:rsidRDefault="0066149C" w:rsidP="004673EC">
            <w:pPr>
              <w:jc w:val="center"/>
              <w:rPr>
                <w:rFonts w:ascii="Arial" w:hAnsi="Arial" w:cs="Arial"/>
                <w:sz w:val="18"/>
              </w:rPr>
            </w:pPr>
          </w:p>
        </w:tc>
      </w:tr>
      <w:tr w:rsidR="0066149C" w:rsidRPr="0036336D" w14:paraId="131683DA" w14:textId="77777777" w:rsidTr="004673EC">
        <w:trPr>
          <w:trHeight w:val="340"/>
        </w:trPr>
        <w:tc>
          <w:tcPr>
            <w:tcW w:w="2725" w:type="pct"/>
            <w:tcBorders>
              <w:top w:val="dotted" w:sz="4" w:space="0" w:color="auto"/>
              <w:bottom w:val="single" w:sz="4" w:space="0" w:color="auto"/>
            </w:tcBorders>
            <w:vAlign w:val="center"/>
          </w:tcPr>
          <w:p w14:paraId="14086790" w14:textId="77777777" w:rsidR="0066149C" w:rsidRPr="0036336D" w:rsidRDefault="0066149C" w:rsidP="0014345F">
            <w:pPr>
              <w:pStyle w:val="13Stupovit"/>
              <w:numPr>
                <w:ilvl w:val="1"/>
                <w:numId w:val="5"/>
              </w:numPr>
              <w:rPr>
                <w:rFonts w:ascii="Arial" w:hAnsi="Arial" w:cs="Arial"/>
                <w:sz w:val="18"/>
              </w:rPr>
            </w:pPr>
          </w:p>
        </w:tc>
        <w:tc>
          <w:tcPr>
            <w:tcW w:w="1566" w:type="pct"/>
            <w:tcBorders>
              <w:top w:val="dotted" w:sz="4" w:space="0" w:color="auto"/>
              <w:bottom w:val="single" w:sz="4" w:space="0" w:color="auto"/>
            </w:tcBorders>
            <w:vAlign w:val="center"/>
          </w:tcPr>
          <w:p w14:paraId="2179AFCB" w14:textId="77777777"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14:paraId="5459C63A" w14:textId="77777777" w:rsidR="0066149C" w:rsidRPr="0036336D" w:rsidRDefault="0066149C" w:rsidP="004673EC">
            <w:pPr>
              <w:jc w:val="center"/>
              <w:rPr>
                <w:rFonts w:ascii="Arial" w:hAnsi="Arial" w:cs="Arial"/>
                <w:sz w:val="18"/>
              </w:rPr>
            </w:pPr>
          </w:p>
        </w:tc>
      </w:tr>
    </w:tbl>
    <w:p w14:paraId="61CD016F" w14:textId="77777777" w:rsidR="0066149C" w:rsidRDefault="0066149C" w:rsidP="0066149C">
      <w:pPr>
        <w:tabs>
          <w:tab w:val="left" w:pos="5580"/>
        </w:tabs>
        <w:jc w:val="both"/>
        <w:rPr>
          <w:bCs/>
        </w:rPr>
      </w:pPr>
    </w:p>
    <w:sectPr w:rsidR="0066149C" w:rsidSect="00C265C4">
      <w:headerReference w:type="default" r:id="rId8"/>
      <w:footerReference w:type="even" r:id="rId9"/>
      <w:footerReference w:type="default" r:id="rId10"/>
      <w:pgSz w:w="11906" w:h="16838"/>
      <w:pgMar w:top="1418" w:right="1106" w:bottom="1418" w:left="1080" w:header="709" w:footer="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19195" w14:textId="77777777" w:rsidR="009F4668" w:rsidRDefault="009F4668">
      <w:r>
        <w:separator/>
      </w:r>
    </w:p>
  </w:endnote>
  <w:endnote w:type="continuationSeparator" w:id="0">
    <w:p w14:paraId="20957A71" w14:textId="77777777" w:rsidR="009F4668" w:rsidRDefault="009F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85501" w14:textId="77777777" w:rsidR="001255FA" w:rsidRDefault="001255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21C3D5" w14:textId="77777777"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B9D90" w14:textId="77777777" w:rsidR="00083511" w:rsidRPr="00612693" w:rsidRDefault="00083511" w:rsidP="00612693">
    <w:pPr>
      <w:pStyle w:val="Zkladntext"/>
      <w:ind w:left="360"/>
      <w:rPr>
        <w:bCs/>
        <w:iCs/>
        <w:color w:val="000000"/>
      </w:rPr>
    </w:pPr>
    <w:r w:rsidRPr="00205249">
      <w:rPr>
        <w:bCs/>
        <w:iCs/>
        <w:color w:val="000000"/>
      </w:rPr>
      <w:t>„</w:t>
    </w:r>
    <w:r w:rsidR="00612693">
      <w:rPr>
        <w:bCs/>
        <w:iCs/>
        <w:color w:val="000000"/>
      </w:rPr>
      <w:t xml:space="preserve">MORAVA </w:t>
    </w:r>
    <w:r w:rsidR="00521C23">
      <w:rPr>
        <w:bCs/>
        <w:iCs/>
        <w:color w:val="000000"/>
      </w:rPr>
      <w:t>– pravideln</w:t>
    </w:r>
    <w:r w:rsidR="00612693">
      <w:rPr>
        <w:bCs/>
        <w:iCs/>
        <w:color w:val="000000"/>
      </w:rPr>
      <w:t xml:space="preserve">é revize </w:t>
    </w:r>
    <w:r w:rsidR="00521C23">
      <w:rPr>
        <w:bCs/>
        <w:iCs/>
        <w:color w:val="000000"/>
      </w:rPr>
      <w:t>a kontrol</w:t>
    </w:r>
    <w:r w:rsidR="00612693">
      <w:rPr>
        <w:bCs/>
        <w:iCs/>
        <w:color w:val="000000"/>
      </w:rPr>
      <w:t xml:space="preserve">y klimatizačních zařízení na objektech </w:t>
    </w:r>
    <w:r w:rsidR="00521C23">
      <w:rPr>
        <w:bCs/>
        <w:iCs/>
        <w:color w:val="000000"/>
      </w:rPr>
      <w:t>AS-PO</w:t>
    </w:r>
    <w:r w:rsidRPr="00205249">
      <w:rPr>
        <w:bCs/>
        <w:iCs/>
        <w:color w:val="000000"/>
      </w:rPr>
      <w:t>“</w:t>
    </w:r>
  </w:p>
  <w:p w14:paraId="2BC87222" w14:textId="77777777" w:rsidR="00350857" w:rsidRDefault="00350857">
    <w:pPr>
      <w:pStyle w:val="Zpat"/>
      <w:jc w:val="right"/>
    </w:pPr>
    <w:r>
      <w:fldChar w:fldCharType="begin"/>
    </w:r>
    <w:r>
      <w:instrText>PAGE   \* MERGEFORMAT</w:instrText>
    </w:r>
    <w:r>
      <w:fldChar w:fldCharType="separate"/>
    </w:r>
    <w:r w:rsidR="009952C8">
      <w:rPr>
        <w:noProof/>
      </w:rPr>
      <w:t>1</w:t>
    </w:r>
    <w:r>
      <w:fldChar w:fldCharType="end"/>
    </w:r>
  </w:p>
  <w:p w14:paraId="43CF4D81" w14:textId="77777777" w:rsidR="001255FA" w:rsidRDefault="001255FA">
    <w:pPr>
      <w:pStyle w:val="Zp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5F8E" w14:textId="77777777" w:rsidR="009F4668" w:rsidRDefault="009F4668">
      <w:r>
        <w:separator/>
      </w:r>
    </w:p>
  </w:footnote>
  <w:footnote w:type="continuationSeparator" w:id="0">
    <w:p w14:paraId="38EA94E0" w14:textId="77777777" w:rsidR="009F4668" w:rsidRDefault="009F4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FF11" w14:textId="40C78D19" w:rsidR="001255FA" w:rsidRDefault="001255FA" w:rsidP="008F57E9">
    <w:pPr>
      <w:ind w:left="2832" w:firstLine="708"/>
      <w:jc w:val="right"/>
      <w:rPr>
        <w:smallCaps/>
        <w:spacing w:val="40"/>
        <w:sz w:val="20"/>
      </w:rPr>
    </w:pPr>
    <w:r>
      <w:rPr>
        <w:szCs w:val="24"/>
      </w:rPr>
      <w:t xml:space="preserve">                    </w:t>
    </w:r>
    <w:r w:rsidR="00FF747A">
      <w:rPr>
        <w:szCs w:val="24"/>
      </w:rPr>
      <w:t xml:space="preserve">     </w:t>
    </w:r>
    <w:r w:rsidR="001B213F">
      <w:rPr>
        <w:szCs w:val="24"/>
      </w:rPr>
      <w:t xml:space="preserve">                    Smlouva č. </w:t>
    </w:r>
    <w:r w:rsidR="007836A8">
      <w:rPr>
        <w:szCs w:val="24"/>
      </w:rPr>
      <w:t>U-339-00</w:t>
    </w:r>
    <w:r w:rsidR="00FF747A">
      <w:rPr>
        <w:szCs w:val="24"/>
      </w:rPr>
      <w:t>/</w:t>
    </w:r>
    <w:r w:rsidR="003F0494">
      <w:rPr>
        <w:szCs w:val="24"/>
      </w:rPr>
      <w:t>20</w:t>
    </w:r>
  </w:p>
  <w:p w14:paraId="0BD80D24" w14:textId="77777777" w:rsidR="001255FA" w:rsidRDefault="001255F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6F118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BE64A2"/>
    <w:multiLevelType w:val="hybridMultilevel"/>
    <w:tmpl w:val="CCCEB316"/>
    <w:lvl w:ilvl="0" w:tplc="D9960D34">
      <w:start w:val="1"/>
      <w:numFmt w:val="decimal"/>
      <w:lvlText w:val="5.%1. "/>
      <w:lvlJc w:val="right"/>
      <w:pPr>
        <w:ind w:left="720" w:hanging="360"/>
      </w:pPr>
      <w:rPr>
        <w:rFonts w:ascii="Times New Roman" w:hAnsi="Times New Roman" w:hint="default"/>
        <w:b/>
        <w:i w:val="0"/>
        <w:sz w:val="24"/>
        <w:szCs w:val="24"/>
        <w:u w:val="none"/>
      </w:rPr>
    </w:lvl>
    <w:lvl w:ilvl="1" w:tplc="D9960D34">
      <w:start w:val="1"/>
      <w:numFmt w:val="decimal"/>
      <w:lvlText w:val="5.%2. "/>
      <w:lvlJc w:val="right"/>
      <w:pPr>
        <w:ind w:left="1440" w:hanging="360"/>
      </w:pPr>
      <w:rPr>
        <w:rFonts w:ascii="Times New Roman" w:hAnsi="Times New Roman" w:hint="default"/>
        <w:b/>
        <w:i w:val="0"/>
        <w:sz w:val="24"/>
        <w:szCs w:val="24"/>
        <w:u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D92522B"/>
    <w:multiLevelType w:val="hybridMultilevel"/>
    <w:tmpl w:val="0554A7BC"/>
    <w:lvl w:ilvl="0" w:tplc="33524234">
      <w:start w:val="1"/>
      <w:numFmt w:val="decimal"/>
      <w:lvlText w:val="9.%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F66736"/>
    <w:multiLevelType w:val="hybridMultilevel"/>
    <w:tmpl w:val="86A05310"/>
    <w:lvl w:ilvl="0" w:tplc="17CE987C">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801D3E"/>
    <w:multiLevelType w:val="multilevel"/>
    <w:tmpl w:val="6CEADF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B6489"/>
    <w:multiLevelType w:val="hybridMultilevel"/>
    <w:tmpl w:val="73AAC538"/>
    <w:lvl w:ilvl="0" w:tplc="D78C9242">
      <w:start w:val="1"/>
      <w:numFmt w:val="decimal"/>
      <w:lvlText w:val="6.%1. "/>
      <w:lvlJc w:val="left"/>
      <w:pPr>
        <w:ind w:left="1080" w:hanging="360"/>
      </w:pPr>
      <w:rPr>
        <w:rFonts w:ascii="Times New Roman" w:hAnsi="Times New Roman" w:hint="default"/>
        <w:b/>
        <w:i w:val="0"/>
        <w:sz w:val="24"/>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D2118E"/>
    <w:multiLevelType w:val="hybridMultilevel"/>
    <w:tmpl w:val="32C29178"/>
    <w:lvl w:ilvl="0" w:tplc="17CE987C">
      <w:start w:val="1"/>
      <w:numFmt w:val="decimal"/>
      <w:lvlText w:val="4.%1. "/>
      <w:lvlJc w:val="left"/>
      <w:pPr>
        <w:ind w:left="1920" w:hanging="360"/>
      </w:pPr>
      <w:rPr>
        <w:rFonts w:ascii="Times New Roman" w:hAnsi="Times New Roman" w:hint="default"/>
        <w:b/>
        <w:i w:val="0"/>
        <w:sz w:val="24"/>
        <w:u w:val="none"/>
      </w:rPr>
    </w:lvl>
    <w:lvl w:ilvl="1" w:tplc="F36280AE">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231649"/>
    <w:multiLevelType w:val="hybridMultilevel"/>
    <w:tmpl w:val="2D5A5AEA"/>
    <w:lvl w:ilvl="0" w:tplc="D78C9242">
      <w:start w:val="1"/>
      <w:numFmt w:val="decimal"/>
      <w:lvlText w:val="6.%1. "/>
      <w:lvlJc w:val="left"/>
      <w:pPr>
        <w:ind w:left="1080" w:hanging="360"/>
      </w:pPr>
      <w:rPr>
        <w:rFonts w:ascii="Times New Roman" w:hAnsi="Times New Roman" w:hint="default"/>
        <w:b/>
        <w:i w:val="0"/>
        <w:sz w:val="24"/>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1A1D82"/>
    <w:multiLevelType w:val="hybridMultilevel"/>
    <w:tmpl w:val="5706E996"/>
    <w:lvl w:ilvl="0" w:tplc="E3688E64">
      <w:start w:val="1"/>
      <w:numFmt w:val="decimal"/>
      <w:lvlText w:val="9.%1"/>
      <w:lvlJc w:val="left"/>
      <w:pPr>
        <w:ind w:left="720" w:hanging="360"/>
      </w:pPr>
      <w:rPr>
        <w:rFonts w:ascii="Times New Roman" w:hAnsi="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CE6B92"/>
    <w:multiLevelType w:val="hybridMultilevel"/>
    <w:tmpl w:val="348C6F52"/>
    <w:lvl w:ilvl="0" w:tplc="FFA4C3BE">
      <w:start w:val="1"/>
      <w:numFmt w:val="decimal"/>
      <w:lvlText w:val="6.%1. "/>
      <w:lvlJc w:val="right"/>
      <w:pPr>
        <w:ind w:left="578" w:hanging="360"/>
      </w:pPr>
      <w:rPr>
        <w:rFonts w:ascii="Times New Roman" w:hAnsi="Times New Roman" w:hint="default"/>
        <w:b/>
        <w:i w:val="0"/>
        <w:sz w:val="24"/>
        <w:szCs w:val="24"/>
        <w:u w:val="none"/>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2"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E6339B"/>
    <w:multiLevelType w:val="hybridMultilevel"/>
    <w:tmpl w:val="0DD89580"/>
    <w:lvl w:ilvl="0" w:tplc="D78C9242">
      <w:start w:val="1"/>
      <w:numFmt w:val="decimal"/>
      <w:lvlText w:val="6.%1. "/>
      <w:lvlJc w:val="left"/>
      <w:pPr>
        <w:ind w:left="1080" w:hanging="360"/>
      </w:pPr>
      <w:rPr>
        <w:rFonts w:ascii="Times New Roman" w:hAnsi="Times New Roman" w:hint="default"/>
        <w:b/>
        <w:i w:val="0"/>
        <w:sz w:val="24"/>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2A52B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6D1D3C"/>
    <w:multiLevelType w:val="hybridMultilevel"/>
    <w:tmpl w:val="EE5CE462"/>
    <w:lvl w:ilvl="0" w:tplc="D78C9242">
      <w:start w:val="1"/>
      <w:numFmt w:val="decimal"/>
      <w:lvlText w:val="6.%1. "/>
      <w:lvlJc w:val="left"/>
      <w:pPr>
        <w:ind w:left="36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4F5F41"/>
    <w:multiLevelType w:val="hybridMultilevel"/>
    <w:tmpl w:val="F5021232"/>
    <w:lvl w:ilvl="0" w:tplc="1F66E818">
      <w:start w:val="1"/>
      <w:numFmt w:val="decimal"/>
      <w:lvlText w:val="7.%1. "/>
      <w:lvlJc w:val="right"/>
      <w:pPr>
        <w:ind w:left="720" w:hanging="360"/>
      </w:pPr>
      <w:rPr>
        <w:rFonts w:ascii="Times New Roman" w:hAnsi="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33437"/>
    <w:multiLevelType w:val="hybridMultilevel"/>
    <w:tmpl w:val="23A6E4B2"/>
    <w:lvl w:ilvl="0" w:tplc="1F66E818">
      <w:start w:val="1"/>
      <w:numFmt w:val="decimal"/>
      <w:lvlText w:val="7.%1. "/>
      <w:lvlJc w:val="right"/>
      <w:pPr>
        <w:ind w:left="36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FF2D54"/>
    <w:multiLevelType w:val="hybridMultilevel"/>
    <w:tmpl w:val="478C5844"/>
    <w:lvl w:ilvl="0" w:tplc="04050017">
      <w:start w:val="1"/>
      <w:numFmt w:val="lowerLetter"/>
      <w:lvlText w:val="%1)"/>
      <w:lvlJc w:val="left"/>
      <w:pPr>
        <w:ind w:left="720" w:hanging="360"/>
      </w:pPr>
    </w:lvl>
    <w:lvl w:ilvl="1" w:tplc="F7ECC36C">
      <w:start w:val="1"/>
      <w:numFmt w:val="lowerLetter"/>
      <w:lvlText w:val="%2)"/>
      <w:lvlJc w:val="left"/>
      <w:pPr>
        <w:ind w:left="1440" w:hanging="360"/>
      </w:pPr>
      <w:rPr>
        <w:rFonts w:ascii="Times New Roman" w:eastAsia="Times New Roman" w:hAnsi="Times New Roman" w:hint="default"/>
        <w:color w:val="2D2D2D"/>
        <w:w w:val="108"/>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8651AD"/>
    <w:multiLevelType w:val="hybridMultilevel"/>
    <w:tmpl w:val="0242FD8A"/>
    <w:lvl w:ilvl="0" w:tplc="33524234">
      <w:start w:val="1"/>
      <w:numFmt w:val="decimal"/>
      <w:lvlText w:val="9.%1. "/>
      <w:lvlJc w:val="right"/>
      <w:pPr>
        <w:ind w:left="720" w:hanging="360"/>
      </w:pPr>
      <w:rPr>
        <w:rFonts w:ascii="Times New Roman" w:hAnsi="Times New Roman" w:hint="default"/>
        <w:b/>
        <w:i w:val="0"/>
        <w:sz w:val="24"/>
        <w:szCs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A14FB8"/>
    <w:multiLevelType w:val="hybridMultilevel"/>
    <w:tmpl w:val="2A8E0622"/>
    <w:lvl w:ilvl="0" w:tplc="1F66E818">
      <w:start w:val="1"/>
      <w:numFmt w:val="decimal"/>
      <w:lvlText w:val="7.%1. "/>
      <w:lvlJc w:val="right"/>
      <w:pPr>
        <w:ind w:left="720" w:hanging="360"/>
      </w:pPr>
      <w:rPr>
        <w:rFonts w:ascii="Times New Roman" w:hAnsi="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E3532C"/>
    <w:multiLevelType w:val="hybridMultilevel"/>
    <w:tmpl w:val="FA5A075E"/>
    <w:lvl w:ilvl="0" w:tplc="63BE0A6A">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3" w15:restartNumberingAfterBreak="0">
    <w:nsid w:val="6799234B"/>
    <w:multiLevelType w:val="hybridMultilevel"/>
    <w:tmpl w:val="27C06772"/>
    <w:lvl w:ilvl="0" w:tplc="D78C9242">
      <w:start w:val="1"/>
      <w:numFmt w:val="decimal"/>
      <w:lvlText w:val="6.%1. "/>
      <w:lvlJc w:val="left"/>
      <w:pPr>
        <w:ind w:left="502" w:hanging="360"/>
      </w:pPr>
      <w:rPr>
        <w:rFonts w:ascii="Times New Roman" w:hAnsi="Times New Roman" w:hint="default"/>
        <w:b/>
        <w:i w:val="0"/>
        <w:sz w:val="24"/>
        <w:u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B8515E6"/>
    <w:multiLevelType w:val="hybridMultilevel"/>
    <w:tmpl w:val="BD8C4AB2"/>
    <w:lvl w:ilvl="0" w:tplc="66A2F5D2">
      <w:start w:val="1"/>
      <w:numFmt w:val="decimal"/>
      <w:lvlText w:val="8.%1."/>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2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6309B"/>
    <w:multiLevelType w:val="hybridMultilevel"/>
    <w:tmpl w:val="BC161CA0"/>
    <w:lvl w:ilvl="0" w:tplc="DFFE9B22">
      <w:start w:val="1"/>
      <w:numFmt w:val="decimal"/>
      <w:lvlText w:val="10.%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1F7A7F"/>
    <w:multiLevelType w:val="hybridMultilevel"/>
    <w:tmpl w:val="4648C02C"/>
    <w:lvl w:ilvl="0" w:tplc="FFA4C3BE">
      <w:start w:val="1"/>
      <w:numFmt w:val="decimal"/>
      <w:lvlText w:val="6.%1. "/>
      <w:lvlJc w:val="right"/>
      <w:pPr>
        <w:ind w:left="1080" w:hanging="360"/>
      </w:pPr>
      <w:rPr>
        <w:rFonts w:ascii="Times New Roman" w:hAnsi="Times New Roman" w:hint="default"/>
        <w:b/>
        <w:i w:val="0"/>
        <w:sz w:val="24"/>
        <w:szCs w:val="24"/>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15"/>
  </w:num>
  <w:num w:numId="3">
    <w:abstractNumId w:val="17"/>
  </w:num>
  <w:num w:numId="4">
    <w:abstractNumId w:val="4"/>
  </w:num>
  <w:num w:numId="5">
    <w:abstractNumId w:val="3"/>
  </w:num>
  <w:num w:numId="6">
    <w:abstractNumId w:val="21"/>
  </w:num>
  <w:num w:numId="7">
    <w:abstractNumId w:val="24"/>
  </w:num>
  <w:num w:numId="8">
    <w:abstractNumId w:val="1"/>
  </w:num>
  <w:num w:numId="9">
    <w:abstractNumId w:val="22"/>
  </w:num>
  <w:num w:numId="10">
    <w:abstractNumId w:val="26"/>
  </w:num>
  <w:num w:numId="11">
    <w:abstractNumId w:val="0"/>
  </w:num>
  <w:num w:numId="12">
    <w:abstractNumId w:val="25"/>
  </w:num>
  <w:num w:numId="13">
    <w:abstractNumId w:val="19"/>
  </w:num>
  <w:num w:numId="14">
    <w:abstractNumId w:val="10"/>
  </w:num>
  <w:num w:numId="15">
    <w:abstractNumId w:val="28"/>
  </w:num>
  <w:num w:numId="16">
    <w:abstractNumId w:val="18"/>
  </w:num>
  <w:num w:numId="17">
    <w:abstractNumId w:val="27"/>
  </w:num>
  <w:num w:numId="18">
    <w:abstractNumId w:val="20"/>
  </w:num>
  <w:num w:numId="19">
    <w:abstractNumId w:val="16"/>
  </w:num>
  <w:num w:numId="20">
    <w:abstractNumId w:val="12"/>
  </w:num>
  <w:num w:numId="21">
    <w:abstractNumId w:val="2"/>
  </w:num>
  <w:num w:numId="22">
    <w:abstractNumId w:val="6"/>
  </w:num>
  <w:num w:numId="23">
    <w:abstractNumId w:val="14"/>
  </w:num>
  <w:num w:numId="24">
    <w:abstractNumId w:val="5"/>
  </w:num>
  <w:num w:numId="25">
    <w:abstractNumId w:val="7"/>
  </w:num>
  <w:num w:numId="26">
    <w:abstractNumId w:val="9"/>
  </w:num>
  <w:num w:numId="27">
    <w:abstractNumId w:val="23"/>
  </w:num>
  <w:num w:numId="28">
    <w:abstractNumId w:val="11"/>
  </w:num>
  <w:num w:numId="29">
    <w:abstractNumId w:val="29"/>
  </w:num>
  <w:num w:numId="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CA"/>
    <w:rsid w:val="00005E08"/>
    <w:rsid w:val="00016E27"/>
    <w:rsid w:val="00025E2D"/>
    <w:rsid w:val="00030E5C"/>
    <w:rsid w:val="00032A3E"/>
    <w:rsid w:val="00046105"/>
    <w:rsid w:val="00057BB6"/>
    <w:rsid w:val="00064238"/>
    <w:rsid w:val="000731A9"/>
    <w:rsid w:val="00081835"/>
    <w:rsid w:val="00083511"/>
    <w:rsid w:val="000851BA"/>
    <w:rsid w:val="0009053C"/>
    <w:rsid w:val="000A257D"/>
    <w:rsid w:val="000A4B68"/>
    <w:rsid w:val="000B5D1E"/>
    <w:rsid w:val="000D1797"/>
    <w:rsid w:val="000D27DC"/>
    <w:rsid w:val="000D5644"/>
    <w:rsid w:val="000E0E47"/>
    <w:rsid w:val="001011C5"/>
    <w:rsid w:val="00103497"/>
    <w:rsid w:val="00107B6B"/>
    <w:rsid w:val="0011390E"/>
    <w:rsid w:val="00123913"/>
    <w:rsid w:val="00123F63"/>
    <w:rsid w:val="001255FA"/>
    <w:rsid w:val="00133D16"/>
    <w:rsid w:val="0014345F"/>
    <w:rsid w:val="00170390"/>
    <w:rsid w:val="001714C6"/>
    <w:rsid w:val="00171BBD"/>
    <w:rsid w:val="001747F3"/>
    <w:rsid w:val="001A25BB"/>
    <w:rsid w:val="001A5C0A"/>
    <w:rsid w:val="001A6EBA"/>
    <w:rsid w:val="001B213F"/>
    <w:rsid w:val="001C0470"/>
    <w:rsid w:val="001C688A"/>
    <w:rsid w:val="001C6DF5"/>
    <w:rsid w:val="001D2342"/>
    <w:rsid w:val="001D4125"/>
    <w:rsid w:val="001E0789"/>
    <w:rsid w:val="001E1DDB"/>
    <w:rsid w:val="001E4955"/>
    <w:rsid w:val="001F787A"/>
    <w:rsid w:val="001F7FB5"/>
    <w:rsid w:val="00200289"/>
    <w:rsid w:val="00202135"/>
    <w:rsid w:val="00204BF7"/>
    <w:rsid w:val="002123A1"/>
    <w:rsid w:val="0026231B"/>
    <w:rsid w:val="00266995"/>
    <w:rsid w:val="00275FAB"/>
    <w:rsid w:val="002A3F44"/>
    <w:rsid w:val="002C681A"/>
    <w:rsid w:val="002E14ED"/>
    <w:rsid w:val="002F7FB2"/>
    <w:rsid w:val="00310C10"/>
    <w:rsid w:val="003124B0"/>
    <w:rsid w:val="003157E4"/>
    <w:rsid w:val="003159D6"/>
    <w:rsid w:val="003210B2"/>
    <w:rsid w:val="00324FC1"/>
    <w:rsid w:val="00336DB7"/>
    <w:rsid w:val="00350857"/>
    <w:rsid w:val="003670C5"/>
    <w:rsid w:val="00377569"/>
    <w:rsid w:val="00380AAA"/>
    <w:rsid w:val="00385F25"/>
    <w:rsid w:val="00392BE2"/>
    <w:rsid w:val="003A07D8"/>
    <w:rsid w:val="003B48B4"/>
    <w:rsid w:val="003B4AF7"/>
    <w:rsid w:val="003D626F"/>
    <w:rsid w:val="003E7827"/>
    <w:rsid w:val="003F0494"/>
    <w:rsid w:val="003F423C"/>
    <w:rsid w:val="003F7FCD"/>
    <w:rsid w:val="004058A0"/>
    <w:rsid w:val="004361CF"/>
    <w:rsid w:val="00451AC0"/>
    <w:rsid w:val="00456047"/>
    <w:rsid w:val="00462A4B"/>
    <w:rsid w:val="004673EC"/>
    <w:rsid w:val="004765A3"/>
    <w:rsid w:val="00480318"/>
    <w:rsid w:val="00482BC2"/>
    <w:rsid w:val="00495496"/>
    <w:rsid w:val="004B7A1B"/>
    <w:rsid w:val="004C27A1"/>
    <w:rsid w:val="004C737F"/>
    <w:rsid w:val="004E2AE1"/>
    <w:rsid w:val="004F46E7"/>
    <w:rsid w:val="005044A0"/>
    <w:rsid w:val="005114D5"/>
    <w:rsid w:val="00516853"/>
    <w:rsid w:val="00521C23"/>
    <w:rsid w:val="00525C18"/>
    <w:rsid w:val="00527817"/>
    <w:rsid w:val="0052785B"/>
    <w:rsid w:val="00533EE2"/>
    <w:rsid w:val="00547ED1"/>
    <w:rsid w:val="00571F57"/>
    <w:rsid w:val="00573276"/>
    <w:rsid w:val="005A17F2"/>
    <w:rsid w:val="005A5BA0"/>
    <w:rsid w:val="005B259C"/>
    <w:rsid w:val="005B28DB"/>
    <w:rsid w:val="005E30E8"/>
    <w:rsid w:val="005E3A03"/>
    <w:rsid w:val="00605F46"/>
    <w:rsid w:val="00612693"/>
    <w:rsid w:val="006223EB"/>
    <w:rsid w:val="006316C5"/>
    <w:rsid w:val="00640197"/>
    <w:rsid w:val="006449A4"/>
    <w:rsid w:val="00652A00"/>
    <w:rsid w:val="0066149C"/>
    <w:rsid w:val="006666BC"/>
    <w:rsid w:val="00680B4D"/>
    <w:rsid w:val="006931C7"/>
    <w:rsid w:val="00696E3F"/>
    <w:rsid w:val="006974F7"/>
    <w:rsid w:val="006A47E4"/>
    <w:rsid w:val="006B4EFE"/>
    <w:rsid w:val="006C6FE0"/>
    <w:rsid w:val="006E6951"/>
    <w:rsid w:val="006F0CFF"/>
    <w:rsid w:val="00703157"/>
    <w:rsid w:val="007154CD"/>
    <w:rsid w:val="00715BEF"/>
    <w:rsid w:val="00722D6C"/>
    <w:rsid w:val="0074703A"/>
    <w:rsid w:val="00747433"/>
    <w:rsid w:val="00753D31"/>
    <w:rsid w:val="0077445F"/>
    <w:rsid w:val="007836A8"/>
    <w:rsid w:val="00786737"/>
    <w:rsid w:val="00790275"/>
    <w:rsid w:val="00796AE9"/>
    <w:rsid w:val="007A6E3B"/>
    <w:rsid w:val="007C2CC9"/>
    <w:rsid w:val="007C4912"/>
    <w:rsid w:val="007D5FC4"/>
    <w:rsid w:val="007D70A9"/>
    <w:rsid w:val="00804EB2"/>
    <w:rsid w:val="00807AED"/>
    <w:rsid w:val="0081464F"/>
    <w:rsid w:val="008172C7"/>
    <w:rsid w:val="008212E9"/>
    <w:rsid w:val="00824EFA"/>
    <w:rsid w:val="00825AB1"/>
    <w:rsid w:val="0083023B"/>
    <w:rsid w:val="00830307"/>
    <w:rsid w:val="00841CB2"/>
    <w:rsid w:val="00847618"/>
    <w:rsid w:val="008575C3"/>
    <w:rsid w:val="00873372"/>
    <w:rsid w:val="008864CD"/>
    <w:rsid w:val="0089730D"/>
    <w:rsid w:val="008A7CB3"/>
    <w:rsid w:val="008B3E3E"/>
    <w:rsid w:val="008C17C2"/>
    <w:rsid w:val="008D3EE6"/>
    <w:rsid w:val="008D71BD"/>
    <w:rsid w:val="008F57E9"/>
    <w:rsid w:val="008F5C72"/>
    <w:rsid w:val="008F6216"/>
    <w:rsid w:val="009348E8"/>
    <w:rsid w:val="00941EC9"/>
    <w:rsid w:val="00955788"/>
    <w:rsid w:val="009604D4"/>
    <w:rsid w:val="009732F5"/>
    <w:rsid w:val="00983229"/>
    <w:rsid w:val="00987CCE"/>
    <w:rsid w:val="00994657"/>
    <w:rsid w:val="009952C8"/>
    <w:rsid w:val="009B1605"/>
    <w:rsid w:val="009B7AB3"/>
    <w:rsid w:val="009C6873"/>
    <w:rsid w:val="009D2390"/>
    <w:rsid w:val="009E40D1"/>
    <w:rsid w:val="009F4668"/>
    <w:rsid w:val="00A0089E"/>
    <w:rsid w:val="00A01A62"/>
    <w:rsid w:val="00A02E33"/>
    <w:rsid w:val="00A041DC"/>
    <w:rsid w:val="00A224D9"/>
    <w:rsid w:val="00A34437"/>
    <w:rsid w:val="00A446F6"/>
    <w:rsid w:val="00A46C6A"/>
    <w:rsid w:val="00A554BA"/>
    <w:rsid w:val="00A6677F"/>
    <w:rsid w:val="00A72AE9"/>
    <w:rsid w:val="00A755EF"/>
    <w:rsid w:val="00AA1187"/>
    <w:rsid w:val="00AB0AE2"/>
    <w:rsid w:val="00AD611B"/>
    <w:rsid w:val="00AF43D1"/>
    <w:rsid w:val="00B03AAD"/>
    <w:rsid w:val="00B04A4C"/>
    <w:rsid w:val="00B06393"/>
    <w:rsid w:val="00B10097"/>
    <w:rsid w:val="00B10EC0"/>
    <w:rsid w:val="00B166D9"/>
    <w:rsid w:val="00B4792E"/>
    <w:rsid w:val="00B61B80"/>
    <w:rsid w:val="00B62C0C"/>
    <w:rsid w:val="00B62F83"/>
    <w:rsid w:val="00B706E0"/>
    <w:rsid w:val="00B71A65"/>
    <w:rsid w:val="00B75DB1"/>
    <w:rsid w:val="00B77A0C"/>
    <w:rsid w:val="00B909FB"/>
    <w:rsid w:val="00B91622"/>
    <w:rsid w:val="00BA2781"/>
    <w:rsid w:val="00BA7318"/>
    <w:rsid w:val="00BB19C3"/>
    <w:rsid w:val="00BB6370"/>
    <w:rsid w:val="00BC3488"/>
    <w:rsid w:val="00BD0024"/>
    <w:rsid w:val="00BD783E"/>
    <w:rsid w:val="00BE69FA"/>
    <w:rsid w:val="00BF61A3"/>
    <w:rsid w:val="00BF6FCF"/>
    <w:rsid w:val="00C24C0A"/>
    <w:rsid w:val="00C265C4"/>
    <w:rsid w:val="00C26C43"/>
    <w:rsid w:val="00C30B3B"/>
    <w:rsid w:val="00C32283"/>
    <w:rsid w:val="00C32B16"/>
    <w:rsid w:val="00C36273"/>
    <w:rsid w:val="00C3715E"/>
    <w:rsid w:val="00C425A7"/>
    <w:rsid w:val="00C438BD"/>
    <w:rsid w:val="00C62C26"/>
    <w:rsid w:val="00C756B4"/>
    <w:rsid w:val="00C81265"/>
    <w:rsid w:val="00CA120F"/>
    <w:rsid w:val="00CB2569"/>
    <w:rsid w:val="00CC0062"/>
    <w:rsid w:val="00CE16EB"/>
    <w:rsid w:val="00CE4DFA"/>
    <w:rsid w:val="00CE6BFD"/>
    <w:rsid w:val="00CF627D"/>
    <w:rsid w:val="00CF78C2"/>
    <w:rsid w:val="00D037B0"/>
    <w:rsid w:val="00D114D9"/>
    <w:rsid w:val="00D40103"/>
    <w:rsid w:val="00D40423"/>
    <w:rsid w:val="00D41FB6"/>
    <w:rsid w:val="00D432C5"/>
    <w:rsid w:val="00D575D8"/>
    <w:rsid w:val="00D621C3"/>
    <w:rsid w:val="00D62584"/>
    <w:rsid w:val="00D67EA6"/>
    <w:rsid w:val="00D812A0"/>
    <w:rsid w:val="00D94B24"/>
    <w:rsid w:val="00D95DC0"/>
    <w:rsid w:val="00DA1BEE"/>
    <w:rsid w:val="00DA640B"/>
    <w:rsid w:val="00DC1F38"/>
    <w:rsid w:val="00DC75DF"/>
    <w:rsid w:val="00DE00BA"/>
    <w:rsid w:val="00DE26C5"/>
    <w:rsid w:val="00DF25E1"/>
    <w:rsid w:val="00DF4FA2"/>
    <w:rsid w:val="00DF75F2"/>
    <w:rsid w:val="00E01390"/>
    <w:rsid w:val="00E07D70"/>
    <w:rsid w:val="00E106E8"/>
    <w:rsid w:val="00E24CCD"/>
    <w:rsid w:val="00E276A3"/>
    <w:rsid w:val="00E43804"/>
    <w:rsid w:val="00E5387A"/>
    <w:rsid w:val="00E551D8"/>
    <w:rsid w:val="00E56E39"/>
    <w:rsid w:val="00E60F42"/>
    <w:rsid w:val="00E65D35"/>
    <w:rsid w:val="00E82999"/>
    <w:rsid w:val="00E8701F"/>
    <w:rsid w:val="00E944ED"/>
    <w:rsid w:val="00EA3DC1"/>
    <w:rsid w:val="00EB240B"/>
    <w:rsid w:val="00EB39C0"/>
    <w:rsid w:val="00ED4CF0"/>
    <w:rsid w:val="00EE4C44"/>
    <w:rsid w:val="00F01007"/>
    <w:rsid w:val="00F22784"/>
    <w:rsid w:val="00F22A89"/>
    <w:rsid w:val="00F412B3"/>
    <w:rsid w:val="00F457B9"/>
    <w:rsid w:val="00F47FF7"/>
    <w:rsid w:val="00F6670B"/>
    <w:rsid w:val="00F67902"/>
    <w:rsid w:val="00F705DB"/>
    <w:rsid w:val="00F7188F"/>
    <w:rsid w:val="00F77AE9"/>
    <w:rsid w:val="00F84065"/>
    <w:rsid w:val="00F939F6"/>
    <w:rsid w:val="00FB3A9B"/>
    <w:rsid w:val="00FB4E01"/>
    <w:rsid w:val="00FB5714"/>
    <w:rsid w:val="00FC0C42"/>
    <w:rsid w:val="00FC275D"/>
    <w:rsid w:val="00FC5FCA"/>
    <w:rsid w:val="00FD2365"/>
    <w:rsid w:val="00FE6696"/>
    <w:rsid w:val="00FF08EA"/>
    <w:rsid w:val="00FF6F2F"/>
    <w:rsid w:val="00FF734D"/>
    <w:rsid w:val="00FF7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317C76"/>
  <w15:chartTrackingRefBased/>
  <w15:docId w15:val="{C2574442-97EA-4738-8353-0B44FF96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link w:val="ZkladntextChar"/>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ZpatChar">
    <w:name w:val="Zápatí Char"/>
    <w:link w:val="Zpat"/>
    <w:uiPriority w:val="99"/>
    <w:rsid w:val="00C265C4"/>
    <w:rPr>
      <w:sz w:val="24"/>
    </w:rPr>
  </w:style>
  <w:style w:type="paragraph" w:styleId="Bezmezer">
    <w:name w:val="No Spacing"/>
    <w:uiPriority w:val="1"/>
    <w:qFormat/>
    <w:rsid w:val="003124B0"/>
    <w:rPr>
      <w:sz w:val="24"/>
      <w:szCs w:val="24"/>
    </w:rPr>
  </w:style>
  <w:style w:type="paragraph" w:customStyle="1" w:styleId="13Stupovit">
    <w:name w:val="13. Stupňovité"/>
    <w:basedOn w:val="Normln"/>
    <w:rsid w:val="0066149C"/>
    <w:rPr>
      <w:szCs w:val="24"/>
    </w:rPr>
  </w:style>
  <w:style w:type="paragraph" w:customStyle="1" w:styleId="Textodstavce">
    <w:name w:val="Text odstavce"/>
    <w:basedOn w:val="Normln"/>
    <w:qFormat/>
    <w:rsid w:val="00FC0C42"/>
    <w:pPr>
      <w:widowControl w:val="0"/>
      <w:numPr>
        <w:ilvl w:val="6"/>
        <w:numId w:val="7"/>
      </w:numPr>
      <w:tabs>
        <w:tab w:val="left" w:pos="851"/>
      </w:tabs>
      <w:adjustRightInd w:val="0"/>
      <w:spacing w:before="120" w:line="360" w:lineRule="atLeast"/>
      <w:jc w:val="both"/>
      <w:textAlignment w:val="baseline"/>
      <w:outlineLvl w:val="6"/>
    </w:pPr>
  </w:style>
  <w:style w:type="paragraph" w:customStyle="1" w:styleId="Textbodu">
    <w:name w:val="Text bodu"/>
    <w:basedOn w:val="Normln"/>
    <w:rsid w:val="00FC0C42"/>
    <w:pPr>
      <w:widowControl w:val="0"/>
      <w:numPr>
        <w:ilvl w:val="8"/>
        <w:numId w:val="7"/>
      </w:numPr>
      <w:adjustRightInd w:val="0"/>
      <w:spacing w:line="360" w:lineRule="atLeast"/>
      <w:jc w:val="both"/>
      <w:textAlignment w:val="baseline"/>
      <w:outlineLvl w:val="8"/>
    </w:pPr>
  </w:style>
  <w:style w:type="paragraph" w:customStyle="1" w:styleId="Textpsmene">
    <w:name w:val="Text písmene"/>
    <w:basedOn w:val="Normln"/>
    <w:qFormat/>
    <w:rsid w:val="00FC0C42"/>
    <w:pPr>
      <w:widowControl w:val="0"/>
      <w:numPr>
        <w:ilvl w:val="7"/>
        <w:numId w:val="7"/>
      </w:numPr>
      <w:adjustRightInd w:val="0"/>
      <w:spacing w:line="360" w:lineRule="atLeast"/>
      <w:jc w:val="both"/>
      <w:textAlignment w:val="baseline"/>
      <w:outlineLvl w:val="7"/>
    </w:pPr>
  </w:style>
  <w:style w:type="paragraph" w:customStyle="1" w:styleId="Normal2">
    <w:name w:val="Normal_2"/>
    <w:qFormat/>
    <w:rsid w:val="00FC0C42"/>
    <w:pPr>
      <w:jc w:val="both"/>
    </w:pPr>
    <w:rPr>
      <w:sz w:val="24"/>
      <w:szCs w:val="24"/>
    </w:rPr>
  </w:style>
  <w:style w:type="character" w:customStyle="1" w:styleId="ZkladntextChar">
    <w:name w:val="Základní text Char"/>
    <w:link w:val="Zkladntext"/>
    <w:rsid w:val="00083511"/>
    <w:rPr>
      <w:sz w:val="24"/>
    </w:rPr>
  </w:style>
  <w:style w:type="paragraph" w:customStyle="1" w:styleId="slovn">
    <w:name w:val="číslování"/>
    <w:basedOn w:val="Normln"/>
    <w:rsid w:val="00B04A4C"/>
    <w:pPr>
      <w:numPr>
        <w:numId w:val="11"/>
      </w:numPr>
      <w:tabs>
        <w:tab w:val="left" w:pos="-3119"/>
        <w:tab w:val="left" w:pos="-2977"/>
      </w:tabs>
      <w:suppressAutoHyphens/>
      <w:overflowPunct w:val="0"/>
      <w:autoSpaceDE w:val="0"/>
      <w:spacing w:after="60"/>
      <w:jc w:val="both"/>
      <w:textAlignment w:val="baseline"/>
    </w:pPr>
    <w:rPr>
      <w:rFonts w:ascii="Arial" w:hAnsi="Arial" w:cs="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5868-0D5D-4130-92F4-24AC4767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7</Pages>
  <Words>2039</Words>
  <Characters>11926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ACR</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SvarcovaM</dc:creator>
  <cp:keywords/>
  <cp:lastModifiedBy>DZHALAVIAN Ashkhen</cp:lastModifiedBy>
  <cp:revision>25</cp:revision>
  <cp:lastPrinted>2016-07-13T08:13:00Z</cp:lastPrinted>
  <dcterms:created xsi:type="dcterms:W3CDTF">2020-08-04T06:58:00Z</dcterms:created>
  <dcterms:modified xsi:type="dcterms:W3CDTF">2021-01-13T12:16:00Z</dcterms:modified>
</cp:coreProperties>
</file>