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DODATEK č. 2 / 2020 k obchodní smlouvě č. P/1104181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úpravě cen poskytovaných služeb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(dále jen dodatek)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mezi: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1"/>
        <w:gridCol w:w="4633"/>
        <w:tblGridChange w:id="0">
          <w:tblGrid>
            <w:gridCol w:w="4321"/>
            <w:gridCol w:w="463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a sídlo: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highlight w:val="white"/>
                <w:rtl w:val="0"/>
              </w:rPr>
              <w:t xml:space="preserve">Základní škola speciální a Praktická škola Jihlava, příspěvková organizace</w:t>
            </w:r>
          </w:p>
          <w:p w:rsidR="00000000" w:rsidDel="00000000" w:rsidP="00000000" w:rsidRDefault="00000000" w:rsidRPr="00000000" w14:paraId="0000000A">
            <w:pPr>
              <w:spacing w:after="60" w:before="6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Jihlava, Březinova 3659/31, PSČ 58601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Zápis v obchodním rejstříku </w:t>
            </w:r>
            <w:r w:rsidDel="00000000" w:rsidR="00000000" w:rsidRPr="00000000">
              <w:rPr>
                <w:rtl w:val="0"/>
              </w:rPr>
              <w:t xml:space="preserve">(či jiné evidenci)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rPr>
                <w:rFonts w:ascii="inherit" w:cs="inherit" w:eastAsia="inherit" w:hAnsi="inherit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sz w:val="18"/>
                <w:szCs w:val="18"/>
                <w:rtl w:val="0"/>
              </w:rPr>
              <w:t xml:space="preserve">Datum vzniku a zápisu:</w:t>
            </w:r>
          </w:p>
          <w:p w:rsidR="00000000" w:rsidDel="00000000" w:rsidP="00000000" w:rsidRDefault="00000000" w:rsidRPr="00000000" w14:paraId="0000000D">
            <w:pPr>
              <w:shd w:fill="ffffff" w:val="clear"/>
              <w:rPr>
                <w:rFonts w:ascii="Verdana" w:cs="Verdana" w:eastAsia="Verdana" w:hAnsi="Verdana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29. prosince 2001</w:t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rFonts w:ascii="inherit" w:cs="inherit" w:eastAsia="inherit" w:hAnsi="inherit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33333"/>
                <w:sz w:val="18"/>
                <w:szCs w:val="18"/>
                <w:rtl w:val="0"/>
              </w:rPr>
              <w:t xml:space="preserve">Spisová značka: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Pr 147 vedená u Krajského soudu v Brně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Statutární zástupce: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xxx. xxxxxx xxxxxxx, ředitel školy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IČ: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70888396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DIČ: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(dále jen odběratel)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4529"/>
        <w:tblGridChange w:id="0">
          <w:tblGrid>
            <w:gridCol w:w="4425"/>
            <w:gridCol w:w="452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a sídlo: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Kvasar, spol. s r.o.</w:t>
            </w:r>
          </w:p>
          <w:p w:rsidR="00000000" w:rsidDel="00000000" w:rsidP="00000000" w:rsidRDefault="00000000" w:rsidRPr="00000000" w14:paraId="0000001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K Pasekám 3679, 760 01 Zlín, P.O.BOX 141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Zápis v obchodním rejstříku </w:t>
            </w:r>
            <w:r w:rsidDel="00000000" w:rsidR="00000000" w:rsidRPr="00000000">
              <w:rPr>
                <w:rtl w:val="0"/>
              </w:rPr>
              <w:t xml:space="preserve">(či jiné evidenci)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C 907 vedená u Krajského soudu v Brně</w:t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highlight w:val="white"/>
                <w:rtl w:val="0"/>
              </w:rPr>
              <w:t xml:space="preserve">Den zápisu: 28. 3. 1991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Statutární zástupce: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xxxxxxxxx xxxxxxxx, jednatel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IČ: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005 69 135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DIČ: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CZ 005 69 135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(dále jen dodavatel)</w:t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(společně „smluvní strany“)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3"/>
        </w:numPr>
        <w:ind w:left="432" w:hanging="432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Předmět dodatku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Úprava ceny roční technické podpory systému PERM 3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Aktualizace údajů o provozované licenci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Aktualizace ceníku poskytovaných služeb nad rámec technické podpory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Aktualizace kontaktů uživatelské podpory</w:t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3"/>
        </w:numPr>
        <w:ind w:left="432" w:hanging="432"/>
        <w:rPr/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Úprava ceny roční technické podpory systému PERM 3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Dodavatel se dohodl s odběratelem na následující úpravě ceny roční technické podpory:  </w:t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71"/>
        <w:gridCol w:w="1991"/>
        <w:tblGridChange w:id="0">
          <w:tblGrid>
            <w:gridCol w:w="7071"/>
            <w:gridCol w:w="199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úprava ceny roční „Technické podpory“ PERM 3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pololetní fakturace, vždy ve výši ½ ročního poplatku, tj.5.800 Kč vždy v období 04 a 10 příslušného kalendářního roku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cena platná od 1. pololetí 2021.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11.600 Kč / rok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K uvedeným cenám bude účtována DPH dle aktuálně platného zákona o DPH.</w:t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Aktualizace údajů o provozované licenci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Využití časově a územně neomezené nevýhradní licence personálního a mzdového systému PERM3, v parametrech: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 osobních čísel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(zaměstnanci na HPP + pravidelné či nepravidelné dohody),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1 databázi, 1 uživatelský přístup.   </w:t>
      </w:r>
    </w:p>
    <w:p w:rsidR="00000000" w:rsidDel="00000000" w:rsidP="00000000" w:rsidRDefault="00000000" w:rsidRPr="00000000" w14:paraId="0000003A">
      <w:pPr>
        <w:pStyle w:val="Heading1"/>
        <w:numPr>
          <w:ilvl w:val="0"/>
          <w:numId w:val="3"/>
        </w:numPr>
        <w:ind w:left="432" w:hanging="43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Aktualizace ceníku poskytovaných služeb </w:t>
      </w:r>
      <w:r w:rsidDel="00000000" w:rsidR="00000000" w:rsidRPr="00000000">
        <w:rPr>
          <w:sz w:val="22"/>
          <w:szCs w:val="22"/>
          <w:rtl w:val="0"/>
        </w:rPr>
        <w:t xml:space="preserve">nad rámec technické podpory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Cenová specifikace smluvních mimo záručních servisních služeb:</w:t>
      </w:r>
    </w:p>
    <w:tbl>
      <w:tblPr>
        <w:tblStyle w:val="Table4"/>
        <w:tblW w:w="895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0"/>
        <w:gridCol w:w="2244"/>
        <w:tblGridChange w:id="0">
          <w:tblGrid>
            <w:gridCol w:w="6710"/>
            <w:gridCol w:w="2244"/>
          </w:tblGrid>
        </w:tblGridChange>
      </w:tblGrid>
      <w:tr>
        <w:trPr>
          <w:trHeight w:val="498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Style w:val="Heading4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Služba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Style w:val="Heading4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Cena služby (bez DPH)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pStyle w:val="Heading4"/>
              <w:spacing w:after="0" w:before="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Konzultant, školitel</w:t>
            </w:r>
          </w:p>
        </w:tc>
        <w:tc>
          <w:tcPr/>
          <w:p w:rsidR="00000000" w:rsidDel="00000000" w:rsidP="00000000" w:rsidRDefault="00000000" w:rsidRPr="00000000" w14:paraId="0000003F">
            <w:pPr>
              <w:pStyle w:val="Heading4"/>
              <w:spacing w:after="0" w:before="0" w:lineRule="auto"/>
              <w:jc w:val="righ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1000 Kč/hod.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pStyle w:val="Heading4"/>
              <w:spacing w:after="0" w:before="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Programátor</w:t>
            </w:r>
          </w:p>
        </w:tc>
        <w:tc>
          <w:tcPr/>
          <w:p w:rsidR="00000000" w:rsidDel="00000000" w:rsidP="00000000" w:rsidRDefault="00000000" w:rsidRPr="00000000" w14:paraId="00000041">
            <w:pPr>
              <w:pStyle w:val="Heading4"/>
              <w:spacing w:after="0" w:before="0" w:lineRule="auto"/>
              <w:jc w:val="righ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1400 Kč/hod.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pStyle w:val="Heading4"/>
              <w:spacing w:after="0" w:before="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Cestovní náhrady</w:t>
            </w:r>
          </w:p>
        </w:tc>
        <w:tc>
          <w:tcPr/>
          <w:p w:rsidR="00000000" w:rsidDel="00000000" w:rsidP="00000000" w:rsidRDefault="00000000" w:rsidRPr="00000000" w14:paraId="00000043">
            <w:pPr>
              <w:pStyle w:val="Heading4"/>
              <w:spacing w:after="0" w:before="0" w:lineRule="auto"/>
              <w:jc w:val="righ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10 Kč / km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  <w:t xml:space="preserve">Ceny se mohou měnit v závislosti na cenách pohonných hmot a inflaci. Aktuální ceník uvádíme na </w:t>
      </w:r>
      <w:hyperlink r:id="rId6">
        <w:r w:rsidDel="00000000" w:rsidR="00000000" w:rsidRPr="00000000">
          <w:rPr>
            <w:rtl w:val="0"/>
          </w:rPr>
          <w:t xml:space="preserve">www.kvasar.cz</w:t>
        </w:r>
      </w:hyperlink>
      <w:r w:rsidDel="00000000" w:rsidR="00000000" w:rsidRPr="00000000">
        <w:rPr>
          <w:rtl w:val="0"/>
        </w:rPr>
        <w:t xml:space="preserve">. K uvedeným cenám bude účtována DPH dle aktuálně platného zákona o DPH.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Aktualizace kontaktů uživatelské podpory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Email (helpdesk): </w:t>
      </w:r>
      <w:hyperlink r:id="rId7">
        <w:r w:rsidDel="00000000" w:rsidR="00000000" w:rsidRPr="00000000">
          <w:rPr>
            <w:rtl w:val="0"/>
          </w:rPr>
          <w:t xml:space="preserve">perm@kvasar.cz</w:t>
        </w:r>
      </w:hyperlink>
      <w:r w:rsidDel="00000000" w:rsidR="00000000" w:rsidRPr="00000000">
        <w:rPr>
          <w:rtl w:val="0"/>
        </w:rPr>
        <w:t xml:space="preserve">, hotline: 577 212 500</w:t>
      </w:r>
    </w:p>
    <w:p w:rsidR="00000000" w:rsidDel="00000000" w:rsidP="00000000" w:rsidRDefault="00000000" w:rsidRPr="00000000" w14:paraId="00000047">
      <w:pPr>
        <w:pStyle w:val="Heading1"/>
        <w:numPr>
          <w:ilvl w:val="0"/>
          <w:numId w:val="3"/>
        </w:numPr>
        <w:ind w:left="432" w:hanging="432"/>
        <w:rPr/>
      </w:pPr>
      <w:r w:rsidDel="00000000" w:rsidR="00000000" w:rsidRPr="00000000">
        <w:rPr>
          <w:rtl w:val="0"/>
        </w:rPr>
        <w:t xml:space="preserve">Závěrečná ustanovení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Dodatek smlouvy je vyhotoven ve dvou stejnopisech, z nichž každá smluvní strana obdrží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jednom vyhotovení. </w:t>
        <w:tab/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Dodavatel bere na vědomí, že odběratel uveřejní tuto smlouvu prostřednictvím registru smluv, dle zák. č. 340/2015 Sb. o registru smluv.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Dodatek nabývá platnosti dnem podpisu obou smluvních stran, účinnosti nabývá dnem jejího uveřejnění v Registru smluv.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Ostatní ujednání předmětné smlouvy se nemění a zůstávají v platnosti.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 dodavatele: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4820"/>
        </w:tabs>
        <w:rPr/>
      </w:pPr>
      <w:r w:rsidDel="00000000" w:rsidR="00000000" w:rsidRPr="00000000">
        <w:rPr>
          <w:rtl w:val="0"/>
        </w:rPr>
        <w:t xml:space="preserve">Datum: 21.09.2020</w:t>
        <w:tab/>
        <w:t xml:space="preserve">.........................................................</w:t>
      </w:r>
    </w:p>
    <w:p w:rsidR="00000000" w:rsidDel="00000000" w:rsidP="00000000" w:rsidRDefault="00000000" w:rsidRPr="00000000" w14:paraId="00000055">
      <w:pPr>
        <w:tabs>
          <w:tab w:val="left" w:pos="4820"/>
        </w:tabs>
        <w:rPr/>
      </w:pPr>
      <w:r w:rsidDel="00000000" w:rsidR="00000000" w:rsidRPr="00000000">
        <w:rPr>
          <w:rtl w:val="0"/>
        </w:rPr>
        <w:tab/>
        <w:t xml:space="preserve">xxxxxxxxx xxxxxxxx, jednatel</w:t>
      </w:r>
    </w:p>
    <w:p w:rsidR="00000000" w:rsidDel="00000000" w:rsidP="00000000" w:rsidRDefault="00000000" w:rsidRPr="00000000" w14:paraId="00000056">
      <w:pPr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 odběratele: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4820"/>
        </w:tabs>
        <w:rPr/>
      </w:pPr>
      <w:r w:rsidDel="00000000" w:rsidR="00000000" w:rsidRPr="00000000">
        <w:rPr>
          <w:rtl w:val="0"/>
        </w:rPr>
        <w:t xml:space="preserve">Datum: 31. 12. 2020</w:t>
        <w:tab/>
        <w:t xml:space="preserve">.........................................................</w:t>
      </w:r>
    </w:p>
    <w:p w:rsidR="00000000" w:rsidDel="00000000" w:rsidP="00000000" w:rsidRDefault="00000000" w:rsidRPr="00000000" w14:paraId="0000005B">
      <w:pPr>
        <w:tabs>
          <w:tab w:val="left" w:pos="4820"/>
        </w:tabs>
        <w:rPr/>
      </w:pPr>
      <w:r w:rsidDel="00000000" w:rsidR="00000000" w:rsidRPr="00000000">
        <w:rPr>
          <w:rtl w:val="0"/>
        </w:rPr>
        <w:tab/>
        <w:t xml:space="preserve">xxx. xxxxxx xxxxxxx, ředitel školy</w:t>
      </w:r>
    </w:p>
    <w:sectPr>
      <w:footerReference r:id="rId8" w:type="default"/>
      <w:pgSz w:h="16838" w:w="11906" w:orient="portrait"/>
      <w:pgMar w:bottom="1134" w:top="1347" w:left="1417" w:right="1417" w:header="708" w:footer="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heri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43194</wp:posOffset>
              </wp:positionV>
              <wp:extent cx="574294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74530" y="378000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43194</wp:posOffset>
              </wp:positionV>
              <wp:extent cx="574294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29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vasar.cz" TargetMode="External"/><Relationship Id="rId7" Type="http://schemas.openxmlformats.org/officeDocument/2006/relationships/hyperlink" Target="mailto:perm@kvasar.cz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