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DODATEK č.  1/2016 k obchodní smlouvě č. P/1104181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rozšíření licence programového systému PERM 3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dodatek)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mezi: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709"/>
        <w:tblGridChange w:id="0">
          <w:tblGrid>
            <w:gridCol w:w="4395"/>
            <w:gridCol w:w="4709"/>
          </w:tblGrid>
        </w:tblGridChange>
      </w:tblGrid>
      <w:tr>
        <w:trPr>
          <w:trHeight w:val="1247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 sídlo: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Základní škola speciální a Praktická škola Jihlava, příspěvková organizace </w:t>
            </w:r>
          </w:p>
          <w:p w:rsidR="00000000" w:rsidDel="00000000" w:rsidP="00000000" w:rsidRDefault="00000000" w:rsidRPr="00000000" w14:paraId="0000000A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Jihlava, Březinova 3659/31, PSČ 58601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Zápis v obchodním rejstříku </w:t>
            </w:r>
            <w:r w:rsidDel="00000000" w:rsidR="00000000" w:rsidRPr="00000000">
              <w:rPr>
                <w:rtl w:val="0"/>
              </w:rPr>
              <w:t xml:space="preserve">(či jiné evidenci)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Pr 147 vedená u Krajského soudu v Brně </w:t>
            </w:r>
          </w:p>
          <w:p w:rsidR="00000000" w:rsidDel="00000000" w:rsidP="00000000" w:rsidRDefault="00000000" w:rsidRPr="00000000" w14:paraId="0000000D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29. prosince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Statutární zástupce: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xxx. xxxxxx xxxxxxx , ředitelka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70888396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DIČ:</w:t>
            </w:r>
          </w:p>
        </w:tc>
        <w:tc>
          <w:tcPr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CZ70888396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odběratel)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8"/>
        <w:gridCol w:w="4606"/>
        <w:tblGridChange w:id="0">
          <w:tblGrid>
            <w:gridCol w:w="4498"/>
            <w:gridCol w:w="460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 sídlo: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Kvasar, spol. s r.o.</w:t>
            </w:r>
          </w:p>
          <w:p w:rsidR="00000000" w:rsidDel="00000000" w:rsidP="00000000" w:rsidRDefault="00000000" w:rsidRPr="00000000" w14:paraId="000000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K Pasekám 3679, 760 01 Zlín, P.O.BOX 141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Zápis v obchodním rejstříku </w:t>
            </w:r>
            <w:r w:rsidDel="00000000" w:rsidR="00000000" w:rsidRPr="00000000">
              <w:rPr>
                <w:rtl w:val="0"/>
              </w:rPr>
              <w:t xml:space="preserve">(či jiné evidenci)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C 907 vedená u Krajského soudu v Brně, 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Den zápisu: 28. 3. 1991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Statutární zástupce: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xxxxxxxxx xxxxxxxx, jednatel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005 69 135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CZ 005 69 135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dodavatel)</w:t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(společně „smluvní strany“)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2"/>
        </w:numPr>
        <w:ind w:left="432" w:hanging="43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Předmět dodatku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Změna parametrů provozované licence na verzi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55 osobních čísel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 1 databázi, 1 uživatelský přístup.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2"/>
        </w:numPr>
        <w:ind w:left="432" w:hanging="432"/>
        <w:rPr/>
      </w:pPr>
      <w:bookmarkStart w:colFirst="0" w:colLast="0" w:name="_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Cenová a platební ujednání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Dodavatel se dohodl s odběratelem na následujících cenách za rozšíření licence systému:  </w:t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6"/>
        <w:gridCol w:w="2016"/>
        <w:tblGridChange w:id="0">
          <w:tblGrid>
            <w:gridCol w:w="7196"/>
            <w:gridCol w:w="201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doplatek ceny licence PERM 3 (navýšení  o  25 osobních čísel)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6.000,- Kč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úprava ceny roční „Technické podpory“ (navýšení o 4.400,- Kč/rok)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9.800,- Kč / rok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 uvedeným cenám bude účtována DPH dle aktuálně platného zákona o DPH.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Dohodnutou částku dle bodu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405" w:hanging="360"/>
        <w:jc w:val="both"/>
        <w:rPr/>
      </w:pPr>
      <w:r w:rsidDel="00000000" w:rsidR="00000000" w:rsidRPr="00000000">
        <w:rPr>
          <w:rtl w:val="0"/>
        </w:rPr>
        <w:t xml:space="preserve">uhradí odběratel na základě faktury vystavené dodavatelem nejpozději do 15 dnů od podpisu dodatku oběma smluvními stranami,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405" w:hanging="360"/>
        <w:jc w:val="both"/>
        <w:rPr/>
      </w:pPr>
      <w:r w:rsidDel="00000000" w:rsidR="00000000" w:rsidRPr="00000000">
        <w:rPr>
          <w:rtl w:val="0"/>
        </w:rPr>
        <w:t xml:space="preserve">bude fakturovat dodavatel odběrateli  </w:t>
      </w:r>
      <w:r w:rsidDel="00000000" w:rsidR="00000000" w:rsidRPr="00000000">
        <w:rPr>
          <w:b w:val="1"/>
          <w:rtl w:val="0"/>
        </w:rPr>
        <w:t xml:space="preserve">pololetně</w:t>
      </w:r>
      <w:r w:rsidDel="00000000" w:rsidR="00000000" w:rsidRPr="00000000">
        <w:rPr>
          <w:rtl w:val="0"/>
        </w:rPr>
        <w:t xml:space="preserve">, formou dvou daňových faktur, každé ve výši ½ ročního poplatku, tj. </w:t>
      </w:r>
      <w:r w:rsidDel="00000000" w:rsidR="00000000" w:rsidRPr="00000000">
        <w:rPr>
          <w:b w:val="1"/>
          <w:rtl w:val="0"/>
        </w:rPr>
        <w:t xml:space="preserve">4.900,- Kč + DPH</w:t>
      </w:r>
      <w:r w:rsidDel="00000000" w:rsidR="00000000" w:rsidRPr="00000000">
        <w:rPr>
          <w:rtl w:val="0"/>
        </w:rPr>
        <w:t xml:space="preserve">, vždy v měsíci dubnu a říjnu příslušného kalendářního roku. První fakturace v této částce bude realizována dodavatelem </w:t>
      </w:r>
      <w:r w:rsidDel="00000000" w:rsidR="00000000" w:rsidRPr="00000000">
        <w:rPr>
          <w:b w:val="1"/>
          <w:rtl w:val="0"/>
        </w:rPr>
        <w:t xml:space="preserve">v říjnu 2016</w:t>
      </w:r>
      <w:r w:rsidDel="00000000" w:rsidR="00000000" w:rsidRPr="00000000">
        <w:rPr>
          <w:rtl w:val="0"/>
        </w:rPr>
        <w:t xml:space="preserve">. Splatnost všech faktur bude 10 dnů od jejich doručení odběrateli.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2"/>
        </w:numPr>
        <w:ind w:left="432" w:hanging="432"/>
        <w:rPr/>
      </w:pPr>
      <w:r w:rsidDel="00000000" w:rsidR="00000000" w:rsidRPr="00000000">
        <w:rPr>
          <w:rtl w:val="0"/>
        </w:rPr>
        <w:t xml:space="preserve">Závěrečná ustanovení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Dodatek smlouvy je vyhotoven ve dvou stejnopisech, z nichž každá smluvní strana obdrží po jednom vyhotovení. </w:t>
        <w:tab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 se stává oprávněným uživatelem rozšířené verze systému v momentě úhrady dohodnuté ceny dle Čl. 2, bodu a).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Dodatek nabývá platnosti a účinnosti dnem podpisu obou smluvních stran.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Ostatní ujednání předmětné smlouvy se nemění a zůstávají v platnosti.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dodavatele: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4820"/>
        </w:tabs>
        <w:rPr/>
      </w:pPr>
      <w:r w:rsidDel="00000000" w:rsidR="00000000" w:rsidRPr="00000000">
        <w:rPr>
          <w:rtl w:val="0"/>
        </w:rPr>
        <w:t xml:space="preserve">Datum:</w:t>
        <w:tab/>
        <w:t xml:space="preserve">.........................................................</w:t>
      </w:r>
    </w:p>
    <w:p w:rsidR="00000000" w:rsidDel="00000000" w:rsidP="00000000" w:rsidRDefault="00000000" w:rsidRPr="00000000" w14:paraId="00000046">
      <w:pPr>
        <w:tabs>
          <w:tab w:val="left" w:pos="4820"/>
        </w:tabs>
        <w:rPr/>
      </w:pPr>
      <w:r w:rsidDel="00000000" w:rsidR="00000000" w:rsidRPr="00000000">
        <w:rPr>
          <w:rtl w:val="0"/>
        </w:rPr>
        <w:tab/>
        <w:t xml:space="preserve">xxxxxxxxx xxxxxxxx, jednatel</w:t>
      </w:r>
    </w:p>
    <w:p w:rsidR="00000000" w:rsidDel="00000000" w:rsidP="00000000" w:rsidRDefault="00000000" w:rsidRPr="00000000" w14:paraId="00000047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odběratele:</w:t>
      </w:r>
    </w:p>
    <w:p w:rsidR="00000000" w:rsidDel="00000000" w:rsidP="00000000" w:rsidRDefault="00000000" w:rsidRPr="00000000" w14:paraId="0000004B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4820"/>
        </w:tabs>
        <w:rPr/>
      </w:pPr>
      <w:r w:rsidDel="00000000" w:rsidR="00000000" w:rsidRPr="00000000">
        <w:rPr>
          <w:rtl w:val="0"/>
        </w:rPr>
        <w:t xml:space="preserve">Datum: </w:t>
        <w:tab/>
        <w:t xml:space="preserve">.........................................................</w:t>
      </w:r>
    </w:p>
    <w:p w:rsidR="00000000" w:rsidDel="00000000" w:rsidP="00000000" w:rsidRDefault="00000000" w:rsidRPr="00000000" w14:paraId="0000004E">
      <w:pPr>
        <w:tabs>
          <w:tab w:val="left" w:pos="4820"/>
        </w:tabs>
        <w:rPr/>
      </w:pPr>
      <w:r w:rsidDel="00000000" w:rsidR="00000000" w:rsidRPr="00000000">
        <w:rPr>
          <w:rtl w:val="0"/>
        </w:rPr>
        <w:tab/>
        <w:t xml:space="preserve">xxx. xxxxxx xxxxxxx , ředitelka</w:t>
      </w:r>
    </w:p>
    <w:p w:rsidR="00000000" w:rsidDel="00000000" w:rsidP="00000000" w:rsidRDefault="00000000" w:rsidRPr="00000000" w14:paraId="0000004F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482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1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347" w:left="1417" w:right="1417" w:header="708" w:footer="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38100</wp:posOffset>
              </wp:positionV>
              <wp:extent cx="574294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74530" y="3780000"/>
                        <a:ext cx="5742940" cy="0"/>
                      </a:xfrm>
                      <a:custGeom>
                        <a:rect b="b" l="l" r="r" t="t"/>
                        <a:pathLst>
                          <a:path extrusionOk="0" h="1" w="5742940">
                            <a:moveTo>
                              <a:pt x="0" y="0"/>
                            </a:moveTo>
                            <a:lnTo>
                              <a:pt x="574294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38100</wp:posOffset>
              </wp:positionV>
              <wp:extent cx="57429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29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