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CE350A1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F127A1">
        <w:rPr>
          <w:b/>
          <w:sz w:val="24"/>
          <w:szCs w:val="24"/>
        </w:rPr>
        <w:t>4</w:t>
      </w:r>
      <w:r w:rsidR="00181F4E">
        <w:rPr>
          <w:b/>
          <w:sz w:val="24"/>
          <w:szCs w:val="24"/>
        </w:rPr>
        <w:t xml:space="preserve"> - </w:t>
      </w:r>
      <w:r w:rsidR="00C16596">
        <w:rPr>
          <w:b/>
          <w:sz w:val="24"/>
          <w:szCs w:val="24"/>
        </w:rPr>
        <w:t>405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A08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5F666376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</w:t>
      </w:r>
      <w:r w:rsidR="00B432FE">
        <w:rPr>
          <w:sz w:val="24"/>
          <w:szCs w:val="24"/>
        </w:rPr>
        <w:t>35 150 688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1F4A39CE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244D">
        <w:rPr>
          <w:b/>
          <w:sz w:val="24"/>
          <w:szCs w:val="24"/>
        </w:rPr>
        <w:t>Idyla s.r.o.</w:t>
      </w:r>
    </w:p>
    <w:p w14:paraId="6A743915" w14:textId="703424CF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44D">
        <w:rPr>
          <w:sz w:val="24"/>
          <w:szCs w:val="24"/>
        </w:rPr>
        <w:t>Sušilova 2060/9, 680 01 Boskovice</w:t>
      </w:r>
    </w:p>
    <w:p w14:paraId="325E42EA" w14:textId="2430319A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44D">
        <w:rPr>
          <w:sz w:val="24"/>
          <w:szCs w:val="24"/>
        </w:rPr>
        <w:t>Zdeňkem Moravcem, jednatelem</w:t>
      </w:r>
    </w:p>
    <w:p w14:paraId="471D70DD" w14:textId="2550812D" w:rsidR="005C2439" w:rsidRPr="0067244D" w:rsidRDefault="00F365FE" w:rsidP="005C2439">
      <w:pPr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44D" w:rsidRPr="0067244D">
        <w:rPr>
          <w:sz w:val="24"/>
          <w:szCs w:val="24"/>
        </w:rPr>
        <w:t>269</w:t>
      </w:r>
      <w:r w:rsidR="0067244D">
        <w:rPr>
          <w:sz w:val="24"/>
          <w:szCs w:val="24"/>
        </w:rPr>
        <w:t> </w:t>
      </w:r>
      <w:r w:rsidR="0067244D" w:rsidRPr="0067244D">
        <w:rPr>
          <w:sz w:val="24"/>
          <w:szCs w:val="24"/>
        </w:rPr>
        <w:t>554</w:t>
      </w:r>
      <w:r w:rsidR="0067244D">
        <w:rPr>
          <w:sz w:val="24"/>
          <w:szCs w:val="24"/>
        </w:rPr>
        <w:t xml:space="preserve"> </w:t>
      </w:r>
      <w:r w:rsidR="0067244D" w:rsidRPr="0067244D">
        <w:rPr>
          <w:sz w:val="24"/>
          <w:szCs w:val="24"/>
        </w:rPr>
        <w:t>58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4C1C2AD9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B37D8">
        <w:rPr>
          <w:sz w:val="24"/>
          <w:szCs w:val="24"/>
        </w:rPr>
        <w:t>2</w:t>
      </w:r>
      <w:r w:rsidR="005C2439">
        <w:rPr>
          <w:sz w:val="24"/>
          <w:szCs w:val="24"/>
        </w:rPr>
        <w:t>69</w:t>
      </w:r>
      <w:r w:rsidR="0067244D">
        <w:rPr>
          <w:sz w:val="24"/>
          <w:szCs w:val="24"/>
        </w:rPr>
        <w:t>55458</w:t>
      </w:r>
    </w:p>
    <w:p w14:paraId="7ED77036" w14:textId="6A91686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EEB">
        <w:rPr>
          <w:sz w:val="24"/>
          <w:szCs w:val="24"/>
        </w:rPr>
        <w:t>ČSOB, a.s.</w:t>
      </w:r>
    </w:p>
    <w:p w14:paraId="29F8BC95" w14:textId="306F7AF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4B5C">
        <w:rPr>
          <w:sz w:val="24"/>
          <w:szCs w:val="24"/>
        </w:rPr>
        <w:t>728 239 009</w:t>
      </w:r>
    </w:p>
    <w:p w14:paraId="4667686F" w14:textId="37CA403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</w:t>
      </w:r>
      <w:r w:rsidR="00B71EEB">
        <w:rPr>
          <w:sz w:val="24"/>
          <w:szCs w:val="24"/>
        </w:rPr>
        <w:t>, datová schránka:</w:t>
      </w:r>
      <w:r>
        <w:rPr>
          <w:sz w:val="24"/>
          <w:szCs w:val="24"/>
        </w:rPr>
        <w:tab/>
      </w:r>
      <w:r w:rsidR="003E4B5C">
        <w:rPr>
          <w:sz w:val="24"/>
          <w:szCs w:val="24"/>
        </w:rPr>
        <w:t>nabytek.idyla@seznam.cz</w:t>
      </w:r>
    </w:p>
    <w:p w14:paraId="081E4F08" w14:textId="383CE02D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EEB">
        <w:rPr>
          <w:sz w:val="24"/>
          <w:szCs w:val="24"/>
        </w:rPr>
        <w:t>288842038/03000</w:t>
      </w:r>
    </w:p>
    <w:p w14:paraId="0DCA9E2E" w14:textId="7C10FCDA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B9513F">
        <w:rPr>
          <w:sz w:val="24"/>
          <w:szCs w:val="24"/>
        </w:rPr>
        <w:t>C</w:t>
      </w:r>
      <w:r>
        <w:rPr>
          <w:sz w:val="24"/>
          <w:szCs w:val="24"/>
        </w:rPr>
        <w:t xml:space="preserve">, vložka </w:t>
      </w:r>
      <w:r w:rsidR="00B9513F">
        <w:rPr>
          <w:sz w:val="24"/>
          <w:szCs w:val="24"/>
        </w:rPr>
        <w:t>48111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77777777" w:rsidR="005C2439" w:rsidRDefault="005C2439" w:rsidP="00122CA8">
      <w:pPr>
        <w:rPr>
          <w:b/>
          <w:sz w:val="24"/>
          <w:szCs w:val="24"/>
        </w:rPr>
      </w:pPr>
    </w:p>
    <w:p w14:paraId="5A8F3D7A" w14:textId="77777777" w:rsidR="00C05A29" w:rsidRDefault="00C05A29" w:rsidP="00C05A29">
      <w:pPr>
        <w:rPr>
          <w:b/>
          <w:sz w:val="24"/>
          <w:szCs w:val="24"/>
        </w:rPr>
      </w:pPr>
    </w:p>
    <w:p w14:paraId="38BDCC0D" w14:textId="5B6AC3D6" w:rsidR="00E61A30" w:rsidRDefault="00E61A30" w:rsidP="00C05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51C7B8E6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5283A415" w14:textId="3481711A" w:rsidR="00FC6C69" w:rsidRPr="00BF17BC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470F84C" w14:textId="77777777" w:rsidR="00BD79FE" w:rsidRDefault="00BD79FE" w:rsidP="00BF17B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3C68AD5D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5C54A4B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402D661F" w14:textId="77777777" w:rsidR="00122CA8" w:rsidRDefault="00C37F28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28B39545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3D7733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4AB07E4A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127A1">
        <w:rPr>
          <w:sz w:val="24"/>
          <w:szCs w:val="24"/>
        </w:rPr>
        <w:t>. 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2D4D63E0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zániku jedné ze smluvních stran, přechází práva a povinnosti sjednané v této smlouvě v plném rozsahu na právního nástupce, nedohodnou-li se smluvní strany před </w:t>
      </w:r>
      <w:r>
        <w:rPr>
          <w:sz w:val="24"/>
          <w:szCs w:val="24"/>
        </w:rPr>
        <w:lastRenderedPageBreak/>
        <w:t>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Ostatní a závěrečná ujednání</w:t>
      </w:r>
    </w:p>
    <w:p w14:paraId="7658C09E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389A88BC" w14:textId="77777777" w:rsidR="00BD79FE" w:rsidRPr="00356152" w:rsidRDefault="00BD79F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Přílohy</w:t>
      </w:r>
    </w:p>
    <w:p w14:paraId="1BC89A10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7C2B0D8F" w:rsidR="00BC1FA7" w:rsidRDefault="00BC1FA7" w:rsidP="00122CA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256AE224" w14:textId="77777777" w:rsidR="00122CA8" w:rsidRPr="00122CA8" w:rsidRDefault="00122CA8" w:rsidP="00122CA8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1B7C66CC" w14:textId="64DCBCB3" w:rsidR="00BD79FE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34BCBFB3" w14:textId="77777777" w:rsidR="00DD6CAF" w:rsidRDefault="00DD6CAF" w:rsidP="00F124CA">
      <w:pPr>
        <w:pStyle w:val="Normlnweb"/>
        <w:spacing w:after="180"/>
      </w:pPr>
    </w:p>
    <w:p w14:paraId="6FE9BCF0" w14:textId="77777777" w:rsidR="00F127A1" w:rsidRDefault="00F127A1" w:rsidP="00F124CA">
      <w:pPr>
        <w:pStyle w:val="Normlnweb"/>
        <w:spacing w:after="180"/>
      </w:pPr>
    </w:p>
    <w:p w14:paraId="75023E24" w14:textId="77777777" w:rsidR="00F127A1" w:rsidRDefault="00F127A1" w:rsidP="00F124CA">
      <w:pPr>
        <w:pStyle w:val="Normlnweb"/>
        <w:spacing w:after="180"/>
      </w:pPr>
    </w:p>
    <w:p w14:paraId="7216EE20" w14:textId="77777777" w:rsidR="00F127A1" w:rsidRDefault="00F127A1" w:rsidP="00F124CA">
      <w:pPr>
        <w:pStyle w:val="Normlnweb"/>
        <w:spacing w:after="180"/>
      </w:pPr>
    </w:p>
    <w:p w14:paraId="74BA35FC" w14:textId="77777777" w:rsidR="00F127A1" w:rsidRDefault="00F127A1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F98399E" w14:textId="45592253" w:rsidR="00BD79FE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1C4F209A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>0</w:t>
      </w:r>
      <w:r w:rsidR="00DD6CAF">
        <w:rPr>
          <w:b/>
          <w:sz w:val="24"/>
          <w:szCs w:val="24"/>
        </w:rPr>
        <w:t>4</w:t>
      </w:r>
      <w:r w:rsidR="00005020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</w:t>
      </w:r>
      <w:r w:rsidR="00E95786">
        <w:rPr>
          <w:b/>
          <w:sz w:val="24"/>
          <w:szCs w:val="24"/>
        </w:rPr>
        <w:t>405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1929D467" w14:textId="77777777" w:rsidR="00B2451F" w:rsidRPr="00204A5F" w:rsidRDefault="00B2451F" w:rsidP="00B2451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 Masarykovo nám. 6/4, Boskovice</w:t>
      </w:r>
    </w:p>
    <w:p w14:paraId="74C6222C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rozdělovač v kotelně </w:t>
      </w:r>
    </w:p>
    <w:p w14:paraId="7019D902" w14:textId="77777777" w:rsidR="00B2451F" w:rsidRPr="006A6F30" w:rsidRDefault="00B2451F" w:rsidP="00B2451F">
      <w:pPr>
        <w:numPr>
          <w:ilvl w:val="0"/>
          <w:numId w:val="13"/>
        </w:num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sekundární/primární</w:t>
      </w:r>
    </w:p>
    <w:p w14:paraId="2AA718A4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patě OM – v kotelně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9093E" w14:textId="77777777" w:rsidR="00B2451F" w:rsidRPr="00276BA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stanoveným měřidlem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47C2B" w14:textId="77777777" w:rsidR="00B2451F" w:rsidRPr="00DC275C" w:rsidRDefault="00B2451F" w:rsidP="00B2451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</w:r>
      <w:r w:rsidRPr="00DC275C">
        <w:t>voda</w:t>
      </w:r>
    </w:p>
    <w:p w14:paraId="326C65FF" w14:textId="502EAC98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7BC">
        <w:rPr>
          <w:sz w:val="24"/>
          <w:szCs w:val="24"/>
        </w:rPr>
        <w:t>0,08 – 0,</w:t>
      </w:r>
      <w:r w:rsidRPr="00DC275C">
        <w:rPr>
          <w:sz w:val="24"/>
          <w:szCs w:val="24"/>
        </w:rPr>
        <w:t xml:space="preserve">5     </w:t>
      </w:r>
      <w:r>
        <w:rPr>
          <w:sz w:val="24"/>
          <w:szCs w:val="24"/>
        </w:rPr>
        <w:t xml:space="preserve">     </w:t>
      </w:r>
      <w:r w:rsidRPr="00DC275C">
        <w:rPr>
          <w:sz w:val="24"/>
          <w:szCs w:val="24"/>
        </w:rPr>
        <w:t>MPa</w:t>
      </w:r>
    </w:p>
    <w:p w14:paraId="0391C274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DC275C">
        <w:rPr>
          <w:sz w:val="24"/>
          <w:szCs w:val="24"/>
        </w:rPr>
        <w:t>Tlaková diference:</w:t>
      </w:r>
      <w:r w:rsidRPr="00DC275C">
        <w:rPr>
          <w:sz w:val="24"/>
          <w:szCs w:val="24"/>
        </w:rPr>
        <w:tab/>
      </w:r>
      <w:r w:rsidRPr="00DC275C">
        <w:rPr>
          <w:sz w:val="24"/>
          <w:szCs w:val="24"/>
        </w:rPr>
        <w:tab/>
        <w:t xml:space="preserve"> 0,002 – 0,003</w:t>
      </w:r>
      <w:r>
        <w:rPr>
          <w:sz w:val="24"/>
          <w:szCs w:val="24"/>
        </w:rPr>
        <w:t xml:space="preserve">     MPa</w:t>
      </w:r>
    </w:p>
    <w:p w14:paraId="09DD9551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0,57</w:t>
      </w:r>
      <w:r>
        <w:rPr>
          <w:sz w:val="24"/>
          <w:szCs w:val="24"/>
        </w:rPr>
        <w:tab/>
        <w:t xml:space="preserve">                 MW</w:t>
      </w:r>
    </w:p>
    <w:p w14:paraId="14B5E83F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219B659F" w14:textId="77777777" w:rsidR="00B2451F" w:rsidRPr="006A6F30" w:rsidRDefault="00B2451F" w:rsidP="00B2451F">
      <w:pPr>
        <w:widowControl w:val="0"/>
        <w:autoSpaceDE w:val="0"/>
        <w:autoSpaceDN w:val="0"/>
        <w:adjustRightInd w:val="0"/>
        <w:spacing w:after="1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ne</w:t>
      </w:r>
    </w:p>
    <w:p w14:paraId="61964918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D7F10BB" w14:textId="77777777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ano</w:t>
      </w:r>
    </w:p>
    <w:p w14:paraId="6E160D98" w14:textId="0A186EFE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1. 9. – do 31. 5.</w:t>
      </w:r>
    </w:p>
    <w:p w14:paraId="5F147F4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02C30D6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AB3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9AB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0F1D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7A9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CF64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15C2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72A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DC2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763ED06F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FE5BE0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BB6C5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DC2514E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2B5E68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75A27BA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8B3047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6BFAA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1FB718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+82,0</w:t>
            </w:r>
          </w:p>
        </w:tc>
      </w:tr>
    </w:tbl>
    <w:p w14:paraId="641125A6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00DE399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1CE173D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8F08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016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5138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766E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56CC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8BD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14F0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B9F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6C1ED6FC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5A0C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E94AE95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FA52E2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4A904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58CD3A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6A140F4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345B7D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4A9AB5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+77,9</w:t>
            </w:r>
          </w:p>
        </w:tc>
      </w:tr>
    </w:tbl>
    <w:p w14:paraId="10FB0468" w14:textId="77777777" w:rsidR="00B2451F" w:rsidRDefault="00B245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7251A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B60833" w14:textId="77777777" w:rsidR="00F127A1" w:rsidRDefault="00F127A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0CB3449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413B3999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684BC0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6CA3B3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457,44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7A94EDF" w14:textId="53FD8B67" w:rsidR="002B050B" w:rsidRPr="00227826" w:rsidRDefault="00227826" w:rsidP="002B050B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DD6CAF">
        <w:rPr>
          <w:sz w:val="24"/>
          <w:szCs w:val="24"/>
        </w:rPr>
        <w:t>Idyla s.r.o., Sušilova 2060/9, 680 01 Boskovice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455D4D5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C616F">
        <w:rPr>
          <w:sz w:val="24"/>
          <w:szCs w:val="24"/>
        </w:rPr>
        <w:t>57</w:t>
      </w:r>
      <w:r w:rsidR="00DD6CAF">
        <w:rPr>
          <w:sz w:val="24"/>
          <w:szCs w:val="24"/>
        </w:rPr>
        <w:t xml:space="preserve"> </w:t>
      </w:r>
      <w:r w:rsidR="008E277D">
        <w:rPr>
          <w:sz w:val="24"/>
          <w:szCs w:val="24"/>
        </w:rPr>
        <w:t>142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DD6CAF" w:rsidRPr="00DD6CAF" w14:paraId="0E45F27A" w14:textId="77777777" w:rsidTr="00DD6CAF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B4786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B926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295A3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55D8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13230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1282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DD6CAF" w:rsidRPr="00DD6CAF" w14:paraId="4B29FC16" w14:textId="77777777" w:rsidTr="00DD6CA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DF5B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C5FE6" w14:textId="4A92661B" w:rsidR="00DD6CAF" w:rsidRPr="00DD6CAF" w:rsidRDefault="00C51A05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5 03</w:t>
            </w:r>
            <w:r w:rsidR="00CD0DC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D6CAF" w:rsidRPr="00DD6CA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0373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2739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3 573,00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8463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72CD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2 858,00</w:t>
            </w:r>
          </w:p>
        </w:tc>
      </w:tr>
      <w:tr w:rsidR="00DD6CAF" w:rsidRPr="00DD6CAF" w14:paraId="100F9797" w14:textId="77777777" w:rsidTr="00DD6CA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8BB20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7A03" w14:textId="604E575C" w:rsidR="00DD6CAF" w:rsidRPr="00DD6CAF" w:rsidRDefault="00C51A05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3 522</w:t>
            </w:r>
            <w:r w:rsidR="00DD6CAF" w:rsidRPr="00DD6CA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B88E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CF5E8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1 429,00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28259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6B9A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5 002,00</w:t>
            </w:r>
          </w:p>
        </w:tc>
      </w:tr>
      <w:tr w:rsidR="00DD6CAF" w:rsidRPr="00DD6CAF" w14:paraId="7A0D09E5" w14:textId="77777777" w:rsidTr="00DD6CA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72883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0D51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8 574,00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D391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A0DF6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1 429,00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5741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E3DFE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7 860,00</w:t>
            </w:r>
          </w:p>
        </w:tc>
      </w:tr>
      <w:tr w:rsidR="00DD6CAF" w:rsidRPr="00DD6CAF" w14:paraId="3F9028E9" w14:textId="77777777" w:rsidTr="00DD6CAF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811D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3172B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5 002,00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C9A18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083E0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2 143,00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1DA4" w14:textId="77777777" w:rsidR="00DD6CAF" w:rsidRPr="00DD6CAF" w:rsidRDefault="00DD6CAF" w:rsidP="00DD6CAF">
            <w:pPr>
              <w:jc w:val="right"/>
              <w:rPr>
                <w:color w:val="000000"/>
                <w:sz w:val="22"/>
                <w:szCs w:val="22"/>
              </w:rPr>
            </w:pPr>
            <w:r w:rsidRPr="00DD6CAF">
              <w:rPr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DDA65" w14:textId="77777777" w:rsidR="00DD6CAF" w:rsidRPr="00DD6CAF" w:rsidRDefault="00DD6CAF" w:rsidP="00DD6C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6CAF">
              <w:rPr>
                <w:b/>
                <w:bCs/>
                <w:color w:val="000000"/>
                <w:sz w:val="22"/>
                <w:szCs w:val="22"/>
              </w:rPr>
              <w:t>10 718,00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7257" w:type="dxa"/>
        <w:tblInd w:w="1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3637"/>
      </w:tblGrid>
      <w:tr w:rsidR="00DD6CAF" w:rsidRPr="00DD6CAF" w14:paraId="156360EB" w14:textId="77777777" w:rsidTr="00DD6CAF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EEAD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1BF1" w14:textId="77777777" w:rsidR="00DD6CAF" w:rsidRPr="00DD6CAF" w:rsidRDefault="00DD6CAF" w:rsidP="00DD6CAF">
            <w:pPr>
              <w:jc w:val="center"/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0D621" w14:textId="5BB78B5A" w:rsidR="00DD6CAF" w:rsidRPr="00DD6CAF" w:rsidRDefault="00DD6CAF" w:rsidP="00DD6CAF">
            <w:pPr>
              <w:jc w:val="center"/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 xml:space="preserve">zálohová platba            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DD6CAF">
              <w:rPr>
                <w:color w:val="000000"/>
                <w:sz w:val="24"/>
                <w:szCs w:val="24"/>
              </w:rPr>
              <w:t>Kč vč. DPH/rok</w:t>
            </w:r>
          </w:p>
        </w:tc>
      </w:tr>
      <w:tr w:rsidR="00DD6CAF" w:rsidRPr="00DD6CAF" w14:paraId="0480C94F" w14:textId="77777777" w:rsidTr="00DD6CAF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9E24D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Idyla s.r.o., Boskovice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006" w14:textId="27D51692" w:rsidR="00DD6CAF" w:rsidRPr="00DD6CAF" w:rsidRDefault="004315B1" w:rsidP="00DD6C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221F29">
              <w:rPr>
                <w:color w:val="000000"/>
                <w:sz w:val="24"/>
                <w:szCs w:val="24"/>
              </w:rPr>
              <w:t>4</w:t>
            </w:r>
            <w:r w:rsidR="00DD6CAF" w:rsidRPr="00DD6CA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57E09" w14:textId="02010E87" w:rsidR="00DD6CAF" w:rsidRPr="00DD6CAF" w:rsidRDefault="006F24B6" w:rsidP="008E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57 14</w:t>
            </w:r>
            <w:r w:rsidR="004E73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4E7330">
              <w:rPr>
                <w:sz w:val="24"/>
                <w:szCs w:val="24"/>
              </w:rPr>
              <w:t>74</w:t>
            </w:r>
          </w:p>
        </w:tc>
      </w:tr>
    </w:tbl>
    <w:p w14:paraId="280289D2" w14:textId="3C0C0B3D" w:rsidR="00AD50D8" w:rsidRPr="00AD50D8" w:rsidRDefault="00CD0DC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457</w:t>
      </w: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7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1843"/>
        <w:gridCol w:w="1400"/>
        <w:gridCol w:w="1660"/>
      </w:tblGrid>
      <w:tr w:rsidR="00DD6CAF" w:rsidRPr="00DD6CAF" w14:paraId="06FF573D" w14:textId="77777777" w:rsidTr="00DD6CAF">
        <w:trPr>
          <w:trHeight w:val="5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F201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CEA2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CE29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9BF1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2F7F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E580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DD6CAF" w:rsidRPr="00DD6CAF" w14:paraId="3DA9BF2C" w14:textId="77777777" w:rsidTr="00DD6CAF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7CD4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974D" w14:textId="71957D9A" w:rsidR="00DD6CAF" w:rsidRPr="00DD6CAF" w:rsidRDefault="004315B1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26FC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6C5C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E4F5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552F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D6CAF" w:rsidRPr="00DD6CAF" w14:paraId="586DD485" w14:textId="77777777" w:rsidTr="00DD6CAF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BF52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7972" w14:textId="5E2B559C" w:rsidR="004315B1" w:rsidRPr="00DD6CAF" w:rsidRDefault="004315B1" w:rsidP="004315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B6ED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5188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810F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EE33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D6CAF" w:rsidRPr="00DD6CAF" w14:paraId="295826CD" w14:textId="77777777" w:rsidTr="00DD6CAF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E2CA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0527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4B42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159F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24CB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43C8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D6CAF" w:rsidRPr="00DD6CAF" w14:paraId="7B457497" w14:textId="77777777" w:rsidTr="00DD6CAF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4377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0086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FBC8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FF19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3AF3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4016" w14:textId="77777777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D6CAF" w:rsidRPr="00DD6CAF" w14:paraId="6A623893" w14:textId="77777777" w:rsidTr="00DD6CAF">
        <w:trPr>
          <w:trHeight w:val="315"/>
        </w:trPr>
        <w:tc>
          <w:tcPr>
            <w:tcW w:w="70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6B493" w14:textId="77777777" w:rsidR="00DD6CAF" w:rsidRPr="00DD6CAF" w:rsidRDefault="00DD6CAF" w:rsidP="00DD6CAF">
            <w:pPr>
              <w:jc w:val="center"/>
              <w:rPr>
                <w:color w:val="000000"/>
                <w:sz w:val="24"/>
                <w:szCs w:val="24"/>
              </w:rPr>
            </w:pPr>
            <w:r w:rsidRPr="00DD6CAF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3EA5" w14:textId="1B17B969" w:rsidR="00DD6CAF" w:rsidRPr="00DD6CAF" w:rsidRDefault="00DD6CAF" w:rsidP="00DD6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6CA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21F2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D6CA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D6CAF" w:rsidRPr="00DD6CAF" w14:paraId="7998BFD7" w14:textId="77777777" w:rsidTr="00DD6CAF">
        <w:trPr>
          <w:trHeight w:val="330"/>
        </w:trPr>
        <w:tc>
          <w:tcPr>
            <w:tcW w:w="70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14A2D" w14:textId="77777777" w:rsidR="00DD6CAF" w:rsidRPr="00DD6CAF" w:rsidRDefault="00DD6CAF" w:rsidP="00DD6C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773F7" w14:textId="77777777" w:rsidR="00DD6CAF" w:rsidRPr="00DD6CAF" w:rsidRDefault="00DD6CAF" w:rsidP="00DD6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2F5B5191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0551" w14:textId="77777777" w:rsidR="001F79E0" w:rsidRDefault="001F79E0">
      <w:pPr>
        <w:rPr>
          <w:sz w:val="24"/>
        </w:rPr>
      </w:pPr>
      <w:r>
        <w:separator/>
      </w:r>
    </w:p>
  </w:endnote>
  <w:endnote w:type="continuationSeparator" w:id="0">
    <w:p w14:paraId="47BE72DF" w14:textId="77777777" w:rsidR="001F79E0" w:rsidRDefault="001F79E0">
      <w:pPr>
        <w:rPr>
          <w:sz w:val="24"/>
        </w:rPr>
      </w:pPr>
      <w:r>
        <w:continuationSeparator/>
      </w:r>
    </w:p>
  </w:endnote>
  <w:endnote w:type="continuationNotice" w:id="1">
    <w:p w14:paraId="54D43DBB" w14:textId="77777777" w:rsidR="001F79E0" w:rsidRDefault="001F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399B087C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84BC0">
      <w:rPr>
        <w:noProof/>
      </w:rPr>
      <w:t>5</w:t>
    </w:r>
    <w:r>
      <w:fldChar w:fldCharType="end"/>
    </w:r>
    <w:r>
      <w:t xml:space="preserve"> z</w:t>
    </w:r>
    <w:r w:rsidR="00BF17BC">
      <w:t> 7</w:t>
    </w: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4BC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C4B5" w14:textId="77777777" w:rsidR="001F79E0" w:rsidRDefault="001F79E0">
      <w:pPr>
        <w:rPr>
          <w:sz w:val="24"/>
        </w:rPr>
      </w:pPr>
      <w:r>
        <w:separator/>
      </w:r>
    </w:p>
  </w:footnote>
  <w:footnote w:type="continuationSeparator" w:id="0">
    <w:p w14:paraId="54578611" w14:textId="77777777" w:rsidR="001F79E0" w:rsidRDefault="001F79E0">
      <w:pPr>
        <w:rPr>
          <w:sz w:val="24"/>
        </w:rPr>
      </w:pPr>
      <w:r>
        <w:continuationSeparator/>
      </w:r>
    </w:p>
  </w:footnote>
  <w:footnote w:type="continuationNotice" w:id="1">
    <w:p w14:paraId="07F9FFF1" w14:textId="77777777" w:rsidR="001F79E0" w:rsidRDefault="001F7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362F2"/>
    <w:rsid w:val="00055FDA"/>
    <w:rsid w:val="00066140"/>
    <w:rsid w:val="0009357D"/>
    <w:rsid w:val="000A19DD"/>
    <w:rsid w:val="000E1CA4"/>
    <w:rsid w:val="00114052"/>
    <w:rsid w:val="00122CA8"/>
    <w:rsid w:val="0015679A"/>
    <w:rsid w:val="00163D0E"/>
    <w:rsid w:val="001651D7"/>
    <w:rsid w:val="00177A74"/>
    <w:rsid w:val="00181062"/>
    <w:rsid w:val="00181F4E"/>
    <w:rsid w:val="001A22E7"/>
    <w:rsid w:val="001C6F4E"/>
    <w:rsid w:val="001D158F"/>
    <w:rsid w:val="001D4C0F"/>
    <w:rsid w:val="001F3B3A"/>
    <w:rsid w:val="001F79E0"/>
    <w:rsid w:val="00204A5F"/>
    <w:rsid w:val="002155EC"/>
    <w:rsid w:val="0021575E"/>
    <w:rsid w:val="0021601D"/>
    <w:rsid w:val="00221F29"/>
    <w:rsid w:val="00227826"/>
    <w:rsid w:val="00241950"/>
    <w:rsid w:val="00246622"/>
    <w:rsid w:val="00252C6E"/>
    <w:rsid w:val="00253885"/>
    <w:rsid w:val="00276BAF"/>
    <w:rsid w:val="002A526D"/>
    <w:rsid w:val="002A5E3F"/>
    <w:rsid w:val="002B050B"/>
    <w:rsid w:val="002B2B54"/>
    <w:rsid w:val="002B3C2E"/>
    <w:rsid w:val="002C0C3C"/>
    <w:rsid w:val="002C211E"/>
    <w:rsid w:val="002D4C44"/>
    <w:rsid w:val="002E6747"/>
    <w:rsid w:val="002F2FBB"/>
    <w:rsid w:val="002F7DC1"/>
    <w:rsid w:val="00304CAC"/>
    <w:rsid w:val="00311ACF"/>
    <w:rsid w:val="00320B12"/>
    <w:rsid w:val="00323336"/>
    <w:rsid w:val="00325F34"/>
    <w:rsid w:val="00333A22"/>
    <w:rsid w:val="00351DCE"/>
    <w:rsid w:val="00356152"/>
    <w:rsid w:val="00375B69"/>
    <w:rsid w:val="00384A3A"/>
    <w:rsid w:val="003948B6"/>
    <w:rsid w:val="003949E2"/>
    <w:rsid w:val="003B1D6C"/>
    <w:rsid w:val="003D237E"/>
    <w:rsid w:val="003E4B5C"/>
    <w:rsid w:val="003E5919"/>
    <w:rsid w:val="003F1093"/>
    <w:rsid w:val="003F5C2A"/>
    <w:rsid w:val="00400ED3"/>
    <w:rsid w:val="0040209E"/>
    <w:rsid w:val="0040700C"/>
    <w:rsid w:val="0041059C"/>
    <w:rsid w:val="00427878"/>
    <w:rsid w:val="004315B1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2B4E"/>
    <w:rsid w:val="004E3717"/>
    <w:rsid w:val="004E7330"/>
    <w:rsid w:val="004F70FA"/>
    <w:rsid w:val="00501AB7"/>
    <w:rsid w:val="00514BD2"/>
    <w:rsid w:val="0052303C"/>
    <w:rsid w:val="0053668A"/>
    <w:rsid w:val="00537618"/>
    <w:rsid w:val="0055225F"/>
    <w:rsid w:val="00574F2E"/>
    <w:rsid w:val="00587D7D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44D"/>
    <w:rsid w:val="006727AA"/>
    <w:rsid w:val="00684BC0"/>
    <w:rsid w:val="00691929"/>
    <w:rsid w:val="006925C5"/>
    <w:rsid w:val="00692DAE"/>
    <w:rsid w:val="006A6F30"/>
    <w:rsid w:val="006C56B1"/>
    <w:rsid w:val="006D0ACB"/>
    <w:rsid w:val="006D22C1"/>
    <w:rsid w:val="006F0EDB"/>
    <w:rsid w:val="006F24B6"/>
    <w:rsid w:val="006F4CA5"/>
    <w:rsid w:val="007121D7"/>
    <w:rsid w:val="007214D3"/>
    <w:rsid w:val="00731307"/>
    <w:rsid w:val="0073587F"/>
    <w:rsid w:val="00740590"/>
    <w:rsid w:val="00766A14"/>
    <w:rsid w:val="00780271"/>
    <w:rsid w:val="007855B4"/>
    <w:rsid w:val="007867A3"/>
    <w:rsid w:val="007A08E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277D"/>
    <w:rsid w:val="008E4DB0"/>
    <w:rsid w:val="008E54AB"/>
    <w:rsid w:val="008F1721"/>
    <w:rsid w:val="008F2C5F"/>
    <w:rsid w:val="009131CC"/>
    <w:rsid w:val="00931201"/>
    <w:rsid w:val="00944500"/>
    <w:rsid w:val="00945A1B"/>
    <w:rsid w:val="00961EA8"/>
    <w:rsid w:val="009628E2"/>
    <w:rsid w:val="009678D8"/>
    <w:rsid w:val="009852B2"/>
    <w:rsid w:val="009A1826"/>
    <w:rsid w:val="009A3F4E"/>
    <w:rsid w:val="009C616F"/>
    <w:rsid w:val="009D0C63"/>
    <w:rsid w:val="009E5AAB"/>
    <w:rsid w:val="009E7032"/>
    <w:rsid w:val="009F675E"/>
    <w:rsid w:val="00A02BA5"/>
    <w:rsid w:val="00A15AB2"/>
    <w:rsid w:val="00A1734C"/>
    <w:rsid w:val="00A27228"/>
    <w:rsid w:val="00A53093"/>
    <w:rsid w:val="00A65509"/>
    <w:rsid w:val="00A83698"/>
    <w:rsid w:val="00A83AA1"/>
    <w:rsid w:val="00A86188"/>
    <w:rsid w:val="00A874BC"/>
    <w:rsid w:val="00A91BCA"/>
    <w:rsid w:val="00AB2E9C"/>
    <w:rsid w:val="00AB47FF"/>
    <w:rsid w:val="00AD50D8"/>
    <w:rsid w:val="00AE087E"/>
    <w:rsid w:val="00AF10F3"/>
    <w:rsid w:val="00AF6F2E"/>
    <w:rsid w:val="00B06B5A"/>
    <w:rsid w:val="00B23230"/>
    <w:rsid w:val="00B2451F"/>
    <w:rsid w:val="00B3089E"/>
    <w:rsid w:val="00B432FE"/>
    <w:rsid w:val="00B45162"/>
    <w:rsid w:val="00B52FC4"/>
    <w:rsid w:val="00B65215"/>
    <w:rsid w:val="00B66312"/>
    <w:rsid w:val="00B6638F"/>
    <w:rsid w:val="00B71EEB"/>
    <w:rsid w:val="00B844AD"/>
    <w:rsid w:val="00B9181B"/>
    <w:rsid w:val="00B9513F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05A29"/>
    <w:rsid w:val="00C11867"/>
    <w:rsid w:val="00C14AAA"/>
    <w:rsid w:val="00C16596"/>
    <w:rsid w:val="00C30ECB"/>
    <w:rsid w:val="00C37F28"/>
    <w:rsid w:val="00C51A05"/>
    <w:rsid w:val="00C5703D"/>
    <w:rsid w:val="00C63552"/>
    <w:rsid w:val="00C81C71"/>
    <w:rsid w:val="00C94DEC"/>
    <w:rsid w:val="00CB3481"/>
    <w:rsid w:val="00CB6920"/>
    <w:rsid w:val="00CC19BF"/>
    <w:rsid w:val="00CD0DC2"/>
    <w:rsid w:val="00CD53AE"/>
    <w:rsid w:val="00CE2336"/>
    <w:rsid w:val="00D13B92"/>
    <w:rsid w:val="00D16B18"/>
    <w:rsid w:val="00D24271"/>
    <w:rsid w:val="00D60FDD"/>
    <w:rsid w:val="00D777A0"/>
    <w:rsid w:val="00D82DE0"/>
    <w:rsid w:val="00D90566"/>
    <w:rsid w:val="00D91F22"/>
    <w:rsid w:val="00DB3555"/>
    <w:rsid w:val="00DB391C"/>
    <w:rsid w:val="00DC12D4"/>
    <w:rsid w:val="00DC317A"/>
    <w:rsid w:val="00DC73F1"/>
    <w:rsid w:val="00DD6CAF"/>
    <w:rsid w:val="00E1407F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95786"/>
    <w:rsid w:val="00E965D2"/>
    <w:rsid w:val="00EA339D"/>
    <w:rsid w:val="00EA46ED"/>
    <w:rsid w:val="00EC7E56"/>
    <w:rsid w:val="00EF52C2"/>
    <w:rsid w:val="00F03B5A"/>
    <w:rsid w:val="00F07CFF"/>
    <w:rsid w:val="00F124CA"/>
    <w:rsid w:val="00F12675"/>
    <w:rsid w:val="00F127A1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B092C"/>
    <w:rsid w:val="00FB37D8"/>
    <w:rsid w:val="00FC6C69"/>
    <w:rsid w:val="00FD1032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6DD696A2-2517-4BA5-9A18-232EBAB7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DEDE-2CB1-4C07-81AB-248EFC1F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1701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3</cp:revision>
  <cp:lastPrinted>2013-12-10T18:28:00Z</cp:lastPrinted>
  <dcterms:created xsi:type="dcterms:W3CDTF">2021-01-11T10:05:00Z</dcterms:created>
  <dcterms:modified xsi:type="dcterms:W3CDTF">2021-01-11T10:07:00Z</dcterms:modified>
</cp:coreProperties>
</file>