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4E3E">
      <w:pPr>
        <w:pStyle w:val="Zkladntext"/>
        <w:ind w:left="680" w:hanging="340"/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Smlouva o zajištění ostrahy VÚGTK</w:t>
      </w:r>
    </w:p>
    <w:p w:rsidR="00000000" w:rsidRDefault="00BA4E3E">
      <w:pPr>
        <w:pStyle w:val="Zkladntext"/>
        <w:spacing w:after="120"/>
        <w:ind w:left="680" w:hanging="340"/>
        <w:jc w:val="center"/>
        <w:rPr>
          <w:sz w:val="22"/>
        </w:rPr>
      </w:pPr>
      <w:r>
        <w:rPr>
          <w:sz w:val="22"/>
        </w:rPr>
        <w:t>uzavřená podle § 281 zákona č. 513/1991 Sb. ve znění pozdějších předpisů</w:t>
      </w:r>
    </w:p>
    <w:p w:rsidR="00000000" w:rsidRDefault="00BA4E3E">
      <w:pPr>
        <w:pStyle w:val="Zkladntext"/>
        <w:spacing w:after="120"/>
        <w:jc w:val="center"/>
        <w:rPr>
          <w:b/>
          <w:bCs/>
          <w:sz w:val="22"/>
        </w:rPr>
      </w:pPr>
      <w:proofErr w:type="gramStart"/>
      <w:r>
        <w:rPr>
          <w:b/>
          <w:bCs/>
          <w:sz w:val="22"/>
        </w:rPr>
        <w:t>mezi</w:t>
      </w:r>
      <w:proofErr w:type="gramEnd"/>
    </w:p>
    <w:p w:rsidR="00000000" w:rsidRDefault="00BA4E3E">
      <w:pPr>
        <w:jc w:val="both"/>
        <w:rPr>
          <w:sz w:val="22"/>
        </w:rPr>
      </w:pPr>
      <w:r>
        <w:rPr>
          <w:sz w:val="22"/>
        </w:rPr>
        <w:t xml:space="preserve">společností </w:t>
      </w:r>
      <w:r>
        <w:rPr>
          <w:b/>
          <w:bCs/>
          <w:sz w:val="22"/>
        </w:rPr>
        <w:t>REI s.r.o</w:t>
      </w:r>
      <w:r>
        <w:rPr>
          <w:sz w:val="22"/>
        </w:rPr>
        <w:t xml:space="preserve">., </w:t>
      </w:r>
    </w:p>
    <w:p w:rsidR="00000000" w:rsidRDefault="00BA4E3E">
      <w:pPr>
        <w:jc w:val="both"/>
        <w:rPr>
          <w:sz w:val="22"/>
        </w:rPr>
      </w:pPr>
      <w:r>
        <w:rPr>
          <w:sz w:val="22"/>
        </w:rPr>
        <w:t>se sídlem Prokopova 12/164, 130 00 Praha 3,</w:t>
      </w:r>
    </w:p>
    <w:p w:rsidR="00000000" w:rsidRDefault="00BA4E3E">
      <w:pPr>
        <w:jc w:val="both"/>
        <w:rPr>
          <w:sz w:val="22"/>
        </w:rPr>
      </w:pPr>
      <w:r>
        <w:rPr>
          <w:sz w:val="22"/>
        </w:rPr>
        <w:t xml:space="preserve">IČO: </w:t>
      </w:r>
      <w:proofErr w:type="gramStart"/>
      <w:r>
        <w:rPr>
          <w:sz w:val="22"/>
        </w:rPr>
        <w:t>485 93 681,DIČ</w:t>
      </w:r>
      <w:proofErr w:type="gramEnd"/>
      <w:r>
        <w:rPr>
          <w:sz w:val="22"/>
        </w:rPr>
        <w:t>: CZ48593681,</w:t>
      </w:r>
    </w:p>
    <w:p w:rsidR="00000000" w:rsidRDefault="00BA4E3E">
      <w:pPr>
        <w:pStyle w:val="Zkladntextodsazen3"/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zapsanou v obchodním rejstříku vedeného u </w:t>
      </w:r>
      <w:r>
        <w:rPr>
          <w:rFonts w:ascii="Times New Roman" w:hAnsi="Times New Roman"/>
          <w:sz w:val="22"/>
        </w:rPr>
        <w:t>Městského soudu v Praze oddíl C, vložka 18762</w:t>
      </w:r>
    </w:p>
    <w:p w:rsidR="00000000" w:rsidRDefault="00BA4E3E">
      <w:pPr>
        <w:spacing w:after="120"/>
        <w:jc w:val="both"/>
        <w:rPr>
          <w:sz w:val="22"/>
        </w:rPr>
      </w:pPr>
      <w:r>
        <w:rPr>
          <w:sz w:val="22"/>
        </w:rPr>
        <w:t xml:space="preserve">zastoupenou Jaroslavem Šímou, jednatelem společnosti (dále jen </w:t>
      </w:r>
      <w:r>
        <w:rPr>
          <w:b/>
          <w:bCs/>
          <w:sz w:val="22"/>
        </w:rPr>
        <w:t>dodavatel</w:t>
      </w:r>
      <w:r>
        <w:rPr>
          <w:sz w:val="22"/>
        </w:rPr>
        <w:t xml:space="preserve">) </w:t>
      </w:r>
    </w:p>
    <w:p w:rsidR="00000000" w:rsidRDefault="00BA4E3E">
      <w:pPr>
        <w:spacing w:after="120"/>
        <w:jc w:val="center"/>
        <w:rPr>
          <w:b/>
          <w:sz w:val="22"/>
        </w:rPr>
      </w:pPr>
      <w:r>
        <w:rPr>
          <w:b/>
          <w:sz w:val="22"/>
        </w:rPr>
        <w:t>a</w:t>
      </w:r>
    </w:p>
    <w:p w:rsidR="00000000" w:rsidRDefault="00BA4E3E">
      <w:pPr>
        <w:pStyle w:val="BodyText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Výzkumným ústavem geodetickým, topografickým a kartografickým, </w:t>
      </w:r>
      <w:proofErr w:type="gramStart"/>
      <w:r>
        <w:rPr>
          <w:rFonts w:ascii="Times New Roman" w:hAnsi="Times New Roman"/>
          <w:b/>
          <w:szCs w:val="24"/>
        </w:rPr>
        <w:t>v.v.</w:t>
      </w:r>
      <w:proofErr w:type="gramEnd"/>
      <w:r>
        <w:rPr>
          <w:rFonts w:ascii="Times New Roman" w:hAnsi="Times New Roman"/>
          <w:b/>
          <w:szCs w:val="24"/>
        </w:rPr>
        <w:t>i.</w:t>
      </w:r>
    </w:p>
    <w:p w:rsidR="00000000" w:rsidRDefault="00BA4E3E">
      <w:pPr>
        <w:pStyle w:val="BodyText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 sídlem Ústecká 98, 250 66. Zdiby,</w:t>
      </w:r>
    </w:p>
    <w:p w:rsidR="00000000" w:rsidRDefault="00BA4E3E">
      <w:pPr>
        <w:pStyle w:val="BodyText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025615, DIČ: CZCZ00025</w:t>
      </w:r>
      <w:r>
        <w:rPr>
          <w:rFonts w:ascii="Times New Roman" w:hAnsi="Times New Roman"/>
          <w:szCs w:val="24"/>
        </w:rPr>
        <w:t>615,</w:t>
      </w:r>
    </w:p>
    <w:p w:rsidR="00000000" w:rsidRDefault="00BA4E3E">
      <w:pPr>
        <w:spacing w:after="120"/>
        <w:jc w:val="both"/>
        <w:rPr>
          <w:sz w:val="22"/>
        </w:rPr>
      </w:pPr>
      <w:r>
        <w:rPr>
          <w:sz w:val="22"/>
        </w:rPr>
        <w:t xml:space="preserve">zastoupeným Ing. Karlem Radějem, CSc. ředitelem ústavu (dále jen </w:t>
      </w:r>
      <w:r>
        <w:rPr>
          <w:b/>
          <w:bCs/>
          <w:sz w:val="22"/>
        </w:rPr>
        <w:t>odběratel</w:t>
      </w:r>
      <w:r>
        <w:rPr>
          <w:sz w:val="22"/>
        </w:rPr>
        <w:t>).</w:t>
      </w:r>
    </w:p>
    <w:p w:rsidR="00000000" w:rsidRDefault="00BA4E3E">
      <w:pPr>
        <w:pStyle w:val="Nadpis6"/>
      </w:pPr>
    </w:p>
    <w:p w:rsidR="00000000" w:rsidRDefault="00BA4E3E">
      <w:pPr>
        <w:pStyle w:val="Nadpis6"/>
      </w:pPr>
      <w:r>
        <w:t>I. Předmět smlouvy</w:t>
      </w:r>
    </w:p>
    <w:p w:rsidR="00000000" w:rsidRDefault="00BA4E3E">
      <w:pPr>
        <w:pStyle w:val="Zkladntext2"/>
        <w:numPr>
          <w:ilvl w:val="0"/>
          <w:numId w:val="14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Dodavatel se zavazuje za úhradu:</w:t>
      </w:r>
    </w:p>
    <w:p w:rsidR="00000000" w:rsidRDefault="00BA4E3E">
      <w:pPr>
        <w:pStyle w:val="Zkladntext2"/>
        <w:numPr>
          <w:ilvl w:val="0"/>
          <w:numId w:val="16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zajišťovat pro odběratele svými pracovníky recepční službu a provoz vrátnice spojené s ostrahou areálu sídla VÚGTK, </w:t>
      </w:r>
      <w:proofErr w:type="gramStart"/>
      <w:r>
        <w:rPr>
          <w:rFonts w:ascii="Times New Roman" w:hAnsi="Times New Roman" w:cs="Times New Roman"/>
          <w:sz w:val="22"/>
        </w:rPr>
        <w:t>v.v.</w:t>
      </w:r>
      <w:proofErr w:type="gramEnd"/>
      <w:r>
        <w:rPr>
          <w:rFonts w:ascii="Times New Roman" w:hAnsi="Times New Roman" w:cs="Times New Roman"/>
          <w:sz w:val="22"/>
        </w:rPr>
        <w:t>i</w:t>
      </w:r>
      <w:r>
        <w:rPr>
          <w:rFonts w:ascii="Times New Roman" w:hAnsi="Times New Roman" w:cs="Times New Roman"/>
          <w:sz w:val="22"/>
        </w:rPr>
        <w:t xml:space="preserve">. ve Zdibech u Prahy, Ústecká 98 (dále jen objekt) jedním pracovníkem ve služebním oděvu se společenskými prvky, v pracovních dnech od </w:t>
      </w:r>
      <w:r>
        <w:rPr>
          <w:rFonts w:ascii="Times New Roman" w:hAnsi="Times New Roman" w:cs="Times New Roman"/>
          <w:sz w:val="22"/>
          <w:highlight w:val="yellow"/>
        </w:rPr>
        <w:t>6,00 do 18,00</w:t>
      </w:r>
      <w:r>
        <w:rPr>
          <w:rFonts w:ascii="Times New Roman" w:hAnsi="Times New Roman" w:cs="Times New Roman"/>
          <w:sz w:val="22"/>
        </w:rPr>
        <w:t xml:space="preserve"> hodin. Služba bude realizována ve směnném provozu.</w:t>
      </w:r>
    </w:p>
    <w:p w:rsidR="00000000" w:rsidRDefault="00BA4E3E">
      <w:pPr>
        <w:pStyle w:val="Zkladntext2"/>
        <w:numPr>
          <w:ilvl w:val="0"/>
          <w:numId w:val="14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Specifikace předmětu plnění recepční a vrátenské služby,</w:t>
      </w:r>
      <w:r>
        <w:rPr>
          <w:rFonts w:ascii="Times New Roman" w:hAnsi="Times New Roman" w:cs="Times New Roman"/>
          <w:sz w:val="22"/>
        </w:rPr>
        <w:t xml:space="preserve"> jakož i práva a povinnosti pracovníků dodavatele a způsob výkonu služby budou dány směrnicemi pro výkon služby, které se stanou, po jejich schválení oběma stranami, nedílnou součástí této smlouvy. </w:t>
      </w:r>
    </w:p>
    <w:p w:rsidR="00000000" w:rsidRDefault="00BA4E3E">
      <w:pPr>
        <w:pStyle w:val="Zkladntext2"/>
        <w:numPr>
          <w:ilvl w:val="0"/>
          <w:numId w:val="14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Dodavatel dále zajistí přímé řízení, kontrolu a evidenci </w:t>
      </w:r>
      <w:r>
        <w:rPr>
          <w:rFonts w:ascii="Times New Roman" w:hAnsi="Times New Roman" w:cs="Times New Roman"/>
          <w:sz w:val="22"/>
        </w:rPr>
        <w:t>výkonu služby a nezbytnou součinnost s odpovědnými osobami odběratele a s ostatními bezpečnostními složkami.</w:t>
      </w:r>
    </w:p>
    <w:p w:rsidR="00000000" w:rsidRDefault="00BA4E3E">
      <w:pPr>
        <w:pStyle w:val="Zkladntext2"/>
        <w:numPr>
          <w:ilvl w:val="0"/>
          <w:numId w:val="14"/>
        </w:numPr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Dodavatel se dále zavazuje poskytnout odběrateli ostrahu a recepční službu nad rámec této smlouvy za smluvní cenu, a to na základě objednávky doruč</w:t>
      </w:r>
      <w:r>
        <w:rPr>
          <w:rFonts w:ascii="Times New Roman" w:hAnsi="Times New Roman" w:cs="Times New Roman"/>
          <w:sz w:val="22"/>
        </w:rPr>
        <w:t>ené dodavateli nejméně dva pracovní dny před její realizací.</w:t>
      </w:r>
    </w:p>
    <w:p w:rsidR="00000000" w:rsidRDefault="00BA4E3E">
      <w:pPr>
        <w:pStyle w:val="Nadpis6"/>
      </w:pPr>
      <w:r>
        <w:t>II. Povinnosti a práva dodavatele</w:t>
      </w:r>
    </w:p>
    <w:p w:rsidR="00000000" w:rsidRDefault="00BA4E3E">
      <w:pPr>
        <w:numPr>
          <w:ilvl w:val="0"/>
          <w:numId w:val="15"/>
        </w:numPr>
        <w:spacing w:after="120"/>
        <w:jc w:val="both"/>
        <w:rPr>
          <w:sz w:val="22"/>
        </w:rPr>
      </w:pPr>
      <w:r>
        <w:rPr>
          <w:sz w:val="22"/>
        </w:rPr>
        <w:t>Dodavatel se zavazuje poskytnout služby v souladu s touto smlouvou dnem 1. března 2010 od </w:t>
      </w:r>
      <w:r>
        <w:rPr>
          <w:sz w:val="22"/>
          <w:highlight w:val="yellow"/>
        </w:rPr>
        <w:t>6,00</w:t>
      </w:r>
      <w:r>
        <w:rPr>
          <w:sz w:val="22"/>
        </w:rPr>
        <w:t xml:space="preserve"> hodin.</w:t>
      </w:r>
    </w:p>
    <w:p w:rsidR="00000000" w:rsidRDefault="00BA4E3E">
      <w:pPr>
        <w:numPr>
          <w:ilvl w:val="0"/>
          <w:numId w:val="15"/>
        </w:numPr>
        <w:spacing w:after="120"/>
        <w:jc w:val="both"/>
        <w:rPr>
          <w:sz w:val="22"/>
        </w:rPr>
      </w:pPr>
      <w:r>
        <w:rPr>
          <w:sz w:val="22"/>
        </w:rPr>
        <w:t>Dodavatel odpovídá za kvalitní provádění služeb v plném roz</w:t>
      </w:r>
      <w:r>
        <w:rPr>
          <w:sz w:val="22"/>
        </w:rPr>
        <w:t>sahu. Hlavní náplní činnosti pracovníků ostrahy dodavatele v době výkonu služby je:</w:t>
      </w:r>
      <w:r>
        <w:rPr>
          <w:sz w:val="22"/>
        </w:rPr>
        <w:tab/>
      </w:r>
    </w:p>
    <w:p w:rsidR="00000000" w:rsidRDefault="00BA4E3E">
      <w:pPr>
        <w:pStyle w:val="Zkladntext2"/>
        <w:numPr>
          <w:ilvl w:val="0"/>
          <w:numId w:val="9"/>
        </w:numPr>
        <w:tabs>
          <w:tab w:val="num" w:pos="720"/>
        </w:tabs>
        <w:spacing w:after="120"/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zajišťovat recepční službu včetně prací s recepční službou spojených,</w:t>
      </w:r>
    </w:p>
    <w:p w:rsidR="00000000" w:rsidRDefault="00BA4E3E">
      <w:pPr>
        <w:pStyle w:val="Zkladntext2"/>
        <w:numPr>
          <w:ilvl w:val="0"/>
          <w:numId w:val="9"/>
        </w:numPr>
        <w:tabs>
          <w:tab w:val="num" w:pos="720"/>
        </w:tabs>
        <w:spacing w:after="120"/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formou vrátenské služby: </w:t>
      </w:r>
    </w:p>
    <w:p w:rsidR="00000000" w:rsidRDefault="00BA4E3E">
      <w:pPr>
        <w:pStyle w:val="Zkladntext2"/>
        <w:numPr>
          <w:ilvl w:val="1"/>
          <w:numId w:val="24"/>
        </w:numPr>
        <w:spacing w:after="12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zajišťovat ostrahu majetku a oprávněných zájmů odběratele s využitím instal</w:t>
      </w:r>
      <w:r>
        <w:rPr>
          <w:rFonts w:ascii="Times New Roman" w:hAnsi="Times New Roman" w:cs="Times New Roman"/>
          <w:sz w:val="22"/>
        </w:rPr>
        <w:t>ovaného kamerového systému a elektronického zabezpečovacího zařízení,</w:t>
      </w:r>
    </w:p>
    <w:p w:rsidR="00000000" w:rsidRDefault="00BA4E3E">
      <w:pPr>
        <w:pStyle w:val="Zkladntext2"/>
        <w:numPr>
          <w:ilvl w:val="1"/>
          <w:numId w:val="24"/>
        </w:numPr>
        <w:spacing w:after="12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zajišťovat vstupní režim zaměstnanců a návštěv a vjezd, výjezd a parkování vozidel v areálu,</w:t>
      </w:r>
    </w:p>
    <w:p w:rsidR="00000000" w:rsidRDefault="00BA4E3E">
      <w:pPr>
        <w:pStyle w:val="Zkladntext2"/>
        <w:numPr>
          <w:ilvl w:val="1"/>
          <w:numId w:val="24"/>
        </w:numPr>
        <w:spacing w:after="12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provádět ve vymezené době obchůzkovou kontrolní činnost,</w:t>
      </w:r>
    </w:p>
    <w:p w:rsidR="00000000" w:rsidRDefault="00BA4E3E">
      <w:pPr>
        <w:pStyle w:val="Zkladntext2"/>
        <w:numPr>
          <w:ilvl w:val="1"/>
          <w:numId w:val="24"/>
        </w:numPr>
        <w:spacing w:after="12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zjistit narušení bezpečnosti objektu</w:t>
      </w:r>
      <w:r>
        <w:rPr>
          <w:rFonts w:ascii="Times New Roman" w:hAnsi="Times New Roman" w:cs="Times New Roman"/>
          <w:sz w:val="22"/>
        </w:rPr>
        <w:t xml:space="preserve"> nebo jeho příznaky a provést adekvátní opatření v součinnosti s určenými osobami odběratele a s policií,</w:t>
      </w:r>
    </w:p>
    <w:p w:rsidR="00000000" w:rsidRDefault="00BA4E3E">
      <w:pPr>
        <w:pStyle w:val="Zkladntext2"/>
        <w:numPr>
          <w:ilvl w:val="0"/>
          <w:numId w:val="9"/>
        </w:numPr>
        <w:tabs>
          <w:tab w:val="num" w:pos="720"/>
        </w:tabs>
        <w:spacing w:after="120"/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zajišťovat výkon ohlašovny požáru, základní havarijní prevenci a provedení nezbytných opatření ke snížení škod na majetku a zdraví osob,</w:t>
      </w:r>
    </w:p>
    <w:p w:rsidR="00000000" w:rsidRDefault="00BA4E3E">
      <w:pPr>
        <w:pStyle w:val="Zkladntext2"/>
        <w:numPr>
          <w:ilvl w:val="0"/>
          <w:numId w:val="9"/>
        </w:numPr>
        <w:tabs>
          <w:tab w:val="num" w:pos="720"/>
        </w:tabs>
        <w:spacing w:after="120"/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součinnost s </w:t>
      </w:r>
      <w:r>
        <w:rPr>
          <w:rFonts w:ascii="Times New Roman" w:hAnsi="Times New Roman" w:cs="Times New Roman"/>
          <w:sz w:val="22"/>
        </w:rPr>
        <w:t>odpovědnými osobami odběratele v běžném životě a v mimořádných situacích.</w:t>
      </w:r>
    </w:p>
    <w:p w:rsidR="00000000" w:rsidRDefault="00BA4E3E">
      <w:pPr>
        <w:pStyle w:val="Zkladntext2"/>
        <w:numPr>
          <w:ilvl w:val="0"/>
          <w:numId w:val="11"/>
        </w:numPr>
        <w:tabs>
          <w:tab w:val="num" w:pos="360"/>
        </w:tabs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Dodavatel odpovídá za vybavení svých pracovníků jednotným služebním oděvem a věcnými bezpečnostními prostředky.</w:t>
      </w:r>
    </w:p>
    <w:p w:rsidR="00000000" w:rsidRDefault="00BA4E3E">
      <w:pPr>
        <w:pStyle w:val="Zkladntext2"/>
        <w:numPr>
          <w:ilvl w:val="0"/>
          <w:numId w:val="11"/>
        </w:numPr>
        <w:tabs>
          <w:tab w:val="num" w:pos="360"/>
        </w:tabs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Dodavatel odpovídá za to, že pracovníci vykonávající službu budou mít </w:t>
      </w:r>
      <w:r>
        <w:rPr>
          <w:rFonts w:ascii="Times New Roman" w:hAnsi="Times New Roman" w:cs="Times New Roman"/>
          <w:sz w:val="22"/>
        </w:rPr>
        <w:t>české občanství a budou bezúhonní (trestní rejstřík bez záznamu), zdravotně, fyzicky způsobilí a řádně připravení pro výkon služby.</w:t>
      </w:r>
    </w:p>
    <w:p w:rsidR="00000000" w:rsidRDefault="00BA4E3E">
      <w:pPr>
        <w:pStyle w:val="Zkladntext2"/>
        <w:numPr>
          <w:ilvl w:val="0"/>
          <w:numId w:val="11"/>
        </w:numPr>
        <w:tabs>
          <w:tab w:val="num" w:pos="360"/>
        </w:tabs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Při plnění této smlouvy dodavatel ručí za škody způsobené v souvislosti s plněním předmětu smlouvy jeho pracovníky odběratel</w:t>
      </w:r>
      <w:r>
        <w:rPr>
          <w:rFonts w:ascii="Times New Roman" w:hAnsi="Times New Roman" w:cs="Times New Roman"/>
          <w:sz w:val="22"/>
        </w:rPr>
        <w:t>i i třetím osobám a to i za škody způsobené třetími osobami pracovníkům dodavatele.</w:t>
      </w:r>
    </w:p>
    <w:p w:rsidR="00000000" w:rsidRDefault="00BA4E3E">
      <w:pPr>
        <w:pStyle w:val="Zkladntext2"/>
        <w:numPr>
          <w:ilvl w:val="0"/>
          <w:numId w:val="11"/>
        </w:numPr>
        <w:tabs>
          <w:tab w:val="num" w:pos="360"/>
        </w:tabs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Dodavatel se zavazuje uhradit odběrateli v plné výši škody vzniklé prokazatelně neplněním smluvních ujednání ze strany dodavatele.</w:t>
      </w:r>
    </w:p>
    <w:p w:rsidR="00000000" w:rsidRDefault="00BA4E3E">
      <w:pPr>
        <w:pStyle w:val="Zkladntext2"/>
        <w:numPr>
          <w:ilvl w:val="0"/>
          <w:numId w:val="11"/>
        </w:numPr>
        <w:tabs>
          <w:tab w:val="num" w:pos="360"/>
        </w:tabs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Dodavatel se zavazuje, že po dobu poskyto</w:t>
      </w:r>
      <w:r>
        <w:rPr>
          <w:rFonts w:ascii="Times New Roman" w:hAnsi="Times New Roman" w:cs="Times New Roman"/>
          <w:sz w:val="22"/>
        </w:rPr>
        <w:t xml:space="preserve">vání služeb podle této smlouvy bude mít uzavřenou platnou pojistnou smlouvu na odpovědnost pojištěného za škodu vzniklou jinému v souvislosti s činnostmi pojištěného nebo vztahem pojištěného a to ve výši nejméně 20.000.000,- Kč. </w:t>
      </w:r>
    </w:p>
    <w:p w:rsidR="00000000" w:rsidRDefault="00BA4E3E">
      <w:pPr>
        <w:pStyle w:val="Zkladntext2"/>
        <w:numPr>
          <w:ilvl w:val="0"/>
          <w:numId w:val="11"/>
        </w:numPr>
        <w:tabs>
          <w:tab w:val="num" w:pos="360"/>
        </w:tabs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Dodavatel odpovídá odběrat</w:t>
      </w:r>
      <w:r>
        <w:rPr>
          <w:rFonts w:ascii="Times New Roman" w:hAnsi="Times New Roman" w:cs="Times New Roman"/>
          <w:sz w:val="22"/>
        </w:rPr>
        <w:t xml:space="preserve">eli za zachování mlčenlivosti svých pracovníků o skutečnostech souvisejících s bezpečnostním zajištěním objektu, jakož i o všech skutečnostech, o nichž se při výkonu činnosti dozvěděl. Povinnosti zachovávat mlčenlivost může být dodavatel a jeho pracovníci </w:t>
      </w:r>
      <w:r>
        <w:rPr>
          <w:rFonts w:ascii="Times New Roman" w:hAnsi="Times New Roman" w:cs="Times New Roman"/>
          <w:sz w:val="22"/>
        </w:rPr>
        <w:t>zproštěni jen písemným rozhodnutím kompetentního pracovníka odběratele, jím pověřené osoby a v dalších případech vyjmenovaných právními předpisy.</w:t>
      </w:r>
    </w:p>
    <w:p w:rsidR="00000000" w:rsidRDefault="00BA4E3E">
      <w:pPr>
        <w:pStyle w:val="Zkladntext2"/>
        <w:numPr>
          <w:ilvl w:val="0"/>
          <w:numId w:val="11"/>
        </w:numPr>
        <w:tabs>
          <w:tab w:val="num" w:pos="360"/>
        </w:tabs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Dodavatel a jeho pracovníci se při výkonu služby zavazují řídit pokyny vymezených osob odběratele. </w:t>
      </w:r>
    </w:p>
    <w:p w:rsidR="00000000" w:rsidRDefault="00BA4E3E">
      <w:pPr>
        <w:pStyle w:val="Zkladntext2"/>
        <w:numPr>
          <w:ilvl w:val="0"/>
          <w:numId w:val="11"/>
        </w:numPr>
        <w:tabs>
          <w:tab w:val="num" w:pos="360"/>
        </w:tabs>
        <w:spacing w:after="1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Dodavatel </w:t>
      </w:r>
      <w:r>
        <w:rPr>
          <w:rFonts w:ascii="Times New Roman" w:hAnsi="Times New Roman" w:cs="Times New Roman"/>
          <w:sz w:val="22"/>
        </w:rPr>
        <w:t>se při výkonu služby zavazuje řídit interními předpisy odběratele, které se bezprostředně vztahují k výkonu služby a provozu objektu.</w:t>
      </w:r>
    </w:p>
    <w:p w:rsidR="00000000" w:rsidRDefault="00BA4E3E">
      <w:pPr>
        <w:pStyle w:val="Nadpis6"/>
      </w:pPr>
    </w:p>
    <w:p w:rsidR="00000000" w:rsidRDefault="00BA4E3E">
      <w:pPr>
        <w:pStyle w:val="Nadpis6"/>
      </w:pPr>
      <w:r>
        <w:t>III. Povinnosti a práva odběratele</w:t>
      </w:r>
    </w:p>
    <w:p w:rsidR="00000000" w:rsidRDefault="00BA4E3E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Odběratel se zavazuje dodavateli platit měsíčně za vykonané služby.</w:t>
      </w:r>
    </w:p>
    <w:p w:rsidR="00000000" w:rsidRDefault="00BA4E3E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Odběratel si vyhra</w:t>
      </w:r>
      <w:r>
        <w:rPr>
          <w:sz w:val="22"/>
        </w:rPr>
        <w:t>zuje právo kontrolovat vymezenými osobami plnění smluvních ujednání a vlastní výkon služby a vydávat pracovníkům dodavatele pokyny bezprostředně související s výkonem služby.</w:t>
      </w:r>
    </w:p>
    <w:p w:rsidR="00000000" w:rsidRDefault="00BA4E3E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Odběratel poskytne dle místních podmínek zaměstnancům dodavatele bezplatně přiměř</w:t>
      </w:r>
      <w:r>
        <w:rPr>
          <w:sz w:val="22"/>
        </w:rPr>
        <w:t xml:space="preserve">ené pracovní prostory pro výkon předmětu smlouvy včetně sociálního zázemí (možnost užívání WC, místo pro převléknutí a uložení služebních a osobních věcí). Dále poskytne bezplatně odebranou vodu a elektrickou energii pro osvětlení a vytápění vrátnice. </w:t>
      </w:r>
    </w:p>
    <w:p w:rsidR="00000000" w:rsidRDefault="00BA4E3E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Odb</w:t>
      </w:r>
      <w:r>
        <w:rPr>
          <w:sz w:val="22"/>
        </w:rPr>
        <w:t>ěratel umožní vjezd a stání pohotovostního vozidla dodavatele na vyhrazeném místě v objektu po dobu nezbytně nutnou k plnění služebních úkolů.</w:t>
      </w:r>
    </w:p>
    <w:p w:rsidR="00000000" w:rsidRDefault="00BA4E3E">
      <w:pPr>
        <w:pStyle w:val="Zkladntextodsazen2"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Odběratel zajistí seznámení zaměstnanců dodavatele, určených pro výkon služby s režimem objektu, příslušnou dokum</w:t>
      </w:r>
      <w:r>
        <w:rPr>
          <w:rFonts w:ascii="Times New Roman" w:hAnsi="Times New Roman" w:cs="Times New Roman"/>
          <w:sz w:val="22"/>
        </w:rPr>
        <w:t>entací a interními normami, se systémem výdeje klíčů a ostatních věcí, jejichž znalost souvisí s provozem a bezpečností objektu, dále s okruhem osob oprávněných kontrolovat a ukládat zaměstnancům dodavatele úkoly a s dalšími skutečnostmi nezbytnými pro bez</w:t>
      </w:r>
      <w:r>
        <w:rPr>
          <w:rFonts w:ascii="Times New Roman" w:hAnsi="Times New Roman" w:cs="Times New Roman"/>
          <w:sz w:val="22"/>
        </w:rPr>
        <w:t>vadný výkon služby.</w:t>
      </w:r>
    </w:p>
    <w:p w:rsidR="00000000" w:rsidRDefault="00BA4E3E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Odběratel se zavazuje reagovat na připomínky pracovníků ostrahy týkající se otázek bezpečnosti a provádět nutná opatření k odstranění nedostatků ovlivňujících negativně jejich činnost.</w:t>
      </w:r>
    </w:p>
    <w:p w:rsidR="00000000" w:rsidRDefault="00BA4E3E">
      <w:pPr>
        <w:pStyle w:val="Nadpis6"/>
      </w:pPr>
    </w:p>
    <w:p w:rsidR="00000000" w:rsidRDefault="00BA4E3E"/>
    <w:p w:rsidR="00000000" w:rsidRDefault="00BA4E3E">
      <w:pPr>
        <w:jc w:val="center"/>
        <w:rPr>
          <w:b/>
          <w:bCs/>
          <w:sz w:val="22"/>
        </w:rPr>
      </w:pPr>
    </w:p>
    <w:p w:rsidR="00000000" w:rsidRDefault="00BA4E3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 Cena služeb a platební podmínky</w:t>
      </w:r>
    </w:p>
    <w:p w:rsidR="00000000" w:rsidRDefault="00BA4E3E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jc w:val="both"/>
        <w:rPr>
          <w:b/>
          <w:bCs/>
          <w:sz w:val="22"/>
          <w:highlight w:val="yellow"/>
        </w:rPr>
      </w:pPr>
      <w:r>
        <w:rPr>
          <w:sz w:val="22"/>
        </w:rPr>
        <w:t>Cena se stan</w:t>
      </w:r>
      <w:r>
        <w:rPr>
          <w:sz w:val="22"/>
        </w:rPr>
        <w:t xml:space="preserve">oví dohodou dodavatele a odběratele. Odběratel se zavazuje platit dodavateli za 1 hodinu činnosti jednoho pracovníka </w:t>
      </w:r>
      <w:r>
        <w:rPr>
          <w:b/>
          <w:bCs/>
          <w:sz w:val="22"/>
        </w:rPr>
        <w:t>115,- Kč</w:t>
      </w:r>
      <w:r>
        <w:rPr>
          <w:b/>
          <w:bCs/>
          <w:iCs/>
          <w:sz w:val="22"/>
        </w:rPr>
        <w:t xml:space="preserve"> bez DPH</w:t>
      </w:r>
      <w:r>
        <w:rPr>
          <w:b/>
          <w:bCs/>
          <w:sz w:val="22"/>
        </w:rPr>
        <w:t>.</w:t>
      </w:r>
      <w:r>
        <w:rPr>
          <w:sz w:val="22"/>
        </w:rPr>
        <w:t xml:space="preserve"> Cena kryje veškeré náklady na poskytované služby. </w:t>
      </w:r>
      <w:proofErr w:type="gramStart"/>
      <w:r>
        <w:rPr>
          <w:sz w:val="22"/>
        </w:rPr>
        <w:t>K ceně</w:t>
      </w:r>
      <w:proofErr w:type="gramEnd"/>
      <w:r>
        <w:rPr>
          <w:sz w:val="22"/>
        </w:rPr>
        <w:t xml:space="preserve"> je účtována zákonem stanovená DPH </w:t>
      </w:r>
      <w:proofErr w:type="gramStart"/>
      <w:r>
        <w:rPr>
          <w:sz w:val="22"/>
          <w:highlight w:val="yellow"/>
        </w:rPr>
        <w:t>která</w:t>
      </w:r>
      <w:proofErr w:type="gramEnd"/>
      <w:r>
        <w:rPr>
          <w:sz w:val="22"/>
          <w:highlight w:val="yellow"/>
        </w:rPr>
        <w:t xml:space="preserve"> činní, v době uzavření s</w:t>
      </w:r>
      <w:r>
        <w:rPr>
          <w:sz w:val="22"/>
          <w:highlight w:val="yellow"/>
        </w:rPr>
        <w:t xml:space="preserve">mluvního vztahu, </w:t>
      </w:r>
      <w:r>
        <w:rPr>
          <w:b/>
          <w:bCs/>
          <w:sz w:val="22"/>
          <w:highlight w:val="yellow"/>
        </w:rPr>
        <w:t>20%.</w:t>
      </w:r>
    </w:p>
    <w:p w:rsidR="00000000" w:rsidRDefault="00BA4E3E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lastRenderedPageBreak/>
        <w:t xml:space="preserve">Platba bude provedena formou vyúčtování za skutečně poskytnuté služby za uplynulý kalendářní měsíc na základě faktury – daňového dokladu. </w:t>
      </w:r>
    </w:p>
    <w:p w:rsidR="00000000" w:rsidRDefault="00BA4E3E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Platby budou poukázány na účet čísl</w:t>
      </w:r>
      <w:r>
        <w:rPr>
          <w:b/>
          <w:sz w:val="22"/>
        </w:rPr>
        <w:t>o 88508051/0100</w:t>
      </w:r>
      <w:r>
        <w:rPr>
          <w:sz w:val="22"/>
        </w:rPr>
        <w:t>, vedený u Komerční banky, a.s., pobočka Prah</w:t>
      </w:r>
      <w:r>
        <w:rPr>
          <w:sz w:val="22"/>
        </w:rPr>
        <w:t>a 5.  Splatnost činí 20 dnů od dne doručení faktury na adresu sídla odběratele. Faktura bude doručena poštou nebo osobně. Za rozhodný den doručení faktury se považuje den vyznačený podatelnou odběratele.</w:t>
      </w:r>
    </w:p>
    <w:p w:rsidR="00000000" w:rsidRDefault="00BA4E3E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Odběratel je oprávněn fakturu - daňový doklad vrátit</w:t>
      </w:r>
      <w:r>
        <w:rPr>
          <w:sz w:val="22"/>
        </w:rPr>
        <w:t xml:space="preserve"> dodavateli bez zbytečného odkladu po zjištění, že obsahuje nesprávné údaje nebo chybí-li některá z náležitostí a to před uplynutím doby splatnosti aniž by došlo k prodlení s jeho úhradou. Nová doba splatnosti počíná běžet po vystavení bezvadného dokladu.</w:t>
      </w:r>
    </w:p>
    <w:p w:rsidR="00000000" w:rsidRDefault="00BA4E3E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Obě smluvní strany se dohodly na tom, že zvýšení ceny za poskytované služby může být ze strany dodavatele uplatněno vždy začátkem kalendářního roku o částku oficiálně stanovené inflace za předchozí kalendářní rok na základě údajů ČSÚ, nebo i v průběhu kale</w:t>
      </w:r>
      <w:r>
        <w:rPr>
          <w:sz w:val="22"/>
        </w:rPr>
        <w:t>ndářního roku a to o částku zvýšení mzdových nákladů, která vyplývá ze změny právních norem o mzdě a příplatcích, pakliže v souhrnu převýší 5 % dosud stanovené minimální mzdy.</w:t>
      </w:r>
    </w:p>
    <w:p w:rsidR="00000000" w:rsidRDefault="00BA4E3E">
      <w:pPr>
        <w:pStyle w:val="Nadpis6"/>
      </w:pPr>
    </w:p>
    <w:p w:rsidR="00000000" w:rsidRDefault="00BA4E3E">
      <w:pPr>
        <w:pStyle w:val="Nadpis6"/>
      </w:pPr>
      <w:r>
        <w:t>V. Sankce</w:t>
      </w:r>
    </w:p>
    <w:p w:rsidR="00000000" w:rsidRDefault="00BA4E3E">
      <w:pPr>
        <w:numPr>
          <w:ilvl w:val="0"/>
          <w:numId w:val="10"/>
        </w:numPr>
        <w:tabs>
          <w:tab w:val="center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V případě prokázaného hrubého porušení ustanovení této smlouvy ze str</w:t>
      </w:r>
      <w:r>
        <w:rPr>
          <w:sz w:val="22"/>
        </w:rPr>
        <w:t xml:space="preserve">any dodavatele může odběratel požadovat snížení měsíční fakturace, a to až o 5 % její výše.  Za hrubé porušení ustanovení smlouvy se považuje porušení hl. </w:t>
      </w:r>
      <w:proofErr w:type="gramStart"/>
      <w:r>
        <w:rPr>
          <w:sz w:val="22"/>
        </w:rPr>
        <w:t>II.  čl.</w:t>
      </w:r>
      <w:proofErr w:type="gramEnd"/>
      <w:r>
        <w:rPr>
          <w:sz w:val="22"/>
        </w:rPr>
        <w:t xml:space="preserve"> 2, 4, a 8 až 10.</w:t>
      </w:r>
    </w:p>
    <w:p w:rsidR="00000000" w:rsidRDefault="00BA4E3E">
      <w:pPr>
        <w:tabs>
          <w:tab w:val="center" w:pos="360"/>
        </w:tabs>
        <w:spacing w:after="120"/>
        <w:ind w:left="360" w:hanging="3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V případě prokázaného hrubého porušení Směrnic pro výkon služby ze strany</w:t>
      </w:r>
      <w:r>
        <w:rPr>
          <w:sz w:val="22"/>
        </w:rPr>
        <w:t xml:space="preserve"> pracovníků dodavatele má odběratel právo požadovat neuhrazení pracovní směny pracovníka, který se porušení dopustil. Za hrubé porušení se považuje zejména svévolné opuštění stanoviště, služba pod vlivem alkoholu či omamných látek. </w:t>
      </w:r>
    </w:p>
    <w:p w:rsidR="00000000" w:rsidRDefault="00BA4E3E">
      <w:pPr>
        <w:tabs>
          <w:tab w:val="center" w:pos="-1920"/>
        </w:tabs>
        <w:spacing w:after="120"/>
        <w:ind w:left="360" w:hanging="360"/>
        <w:jc w:val="both"/>
        <w:rPr>
          <w:sz w:val="22"/>
        </w:rPr>
      </w:pPr>
      <w:r>
        <w:rPr>
          <w:sz w:val="22"/>
        </w:rPr>
        <w:tab/>
        <w:t>Nedostatky musí být uv</w:t>
      </w:r>
      <w:r>
        <w:rPr>
          <w:sz w:val="22"/>
        </w:rPr>
        <w:t>edeny dodavateli vždy neprodleně po jejich zjištění písemně.</w:t>
      </w:r>
    </w:p>
    <w:p w:rsidR="00000000" w:rsidRDefault="00BA4E3E">
      <w:pPr>
        <w:numPr>
          <w:ilvl w:val="0"/>
          <w:numId w:val="10"/>
        </w:numPr>
        <w:tabs>
          <w:tab w:val="center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Uplatněním sankcí nezaniká dodavateli povinnost nahradit škodu vzniklou porušením smluvních ustanovení nebo porušením Směrnic pro výkon služby.</w:t>
      </w:r>
    </w:p>
    <w:p w:rsidR="00000000" w:rsidRDefault="00BA4E3E">
      <w:pPr>
        <w:numPr>
          <w:ilvl w:val="0"/>
          <w:numId w:val="10"/>
        </w:numPr>
        <w:tabs>
          <w:tab w:val="center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 xml:space="preserve">Obě smluvní strany se dohodly na tom, že dodavatel </w:t>
      </w:r>
      <w:r>
        <w:rPr>
          <w:b/>
          <w:bCs/>
          <w:sz w:val="22"/>
        </w:rPr>
        <w:t>může odběrateli fakturovat</w:t>
      </w:r>
      <w:r>
        <w:rPr>
          <w:sz w:val="22"/>
        </w:rPr>
        <w:t xml:space="preserve"> smluvní pokutu za prodlení úhrady faktury po termínu její splatnosti </w:t>
      </w:r>
      <w:r>
        <w:rPr>
          <w:b/>
          <w:bCs/>
          <w:sz w:val="22"/>
        </w:rPr>
        <w:t>ve výši 0,05 % denně</w:t>
      </w:r>
      <w:r>
        <w:rPr>
          <w:sz w:val="22"/>
        </w:rPr>
        <w:t xml:space="preserve">. Neuhrazení faktury více než 30 dnů po termínu splatnosti se považuje za hrubé porušení závazků smlouvy ze strany odběratele. Odběratel je </w:t>
      </w:r>
      <w:r>
        <w:rPr>
          <w:sz w:val="22"/>
        </w:rPr>
        <w:t xml:space="preserve">v prodlení, jestliže ke dni splatnosti není faktura dodavateli uhrazena.  </w:t>
      </w:r>
    </w:p>
    <w:p w:rsidR="00000000" w:rsidRDefault="00BA4E3E">
      <w:pPr>
        <w:tabs>
          <w:tab w:val="center" w:pos="360"/>
        </w:tabs>
        <w:spacing w:after="120"/>
        <w:jc w:val="both"/>
        <w:rPr>
          <w:sz w:val="22"/>
        </w:rPr>
      </w:pPr>
    </w:p>
    <w:p w:rsidR="00000000" w:rsidRDefault="00BA4E3E">
      <w:pPr>
        <w:pStyle w:val="Nadpis6"/>
      </w:pPr>
      <w:r>
        <w:t>VI. Průběžný operativní styk smluvních stran</w:t>
      </w:r>
    </w:p>
    <w:p w:rsidR="00000000" w:rsidRDefault="00BA4E3E">
      <w:pPr>
        <w:pStyle w:val="Nadpis4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Smluvní strany se dohodly, že pracovníky oprávněnými jednat jménem smluvních stran při řešení provozních záležitostí jsou:</w:t>
      </w:r>
    </w:p>
    <w:p w:rsidR="00000000" w:rsidRDefault="00BA4E3E">
      <w:pPr>
        <w:numPr>
          <w:ilvl w:val="1"/>
          <w:numId w:val="12"/>
        </w:numPr>
        <w:spacing w:after="120"/>
        <w:ind w:left="840"/>
        <w:jc w:val="both"/>
        <w:rPr>
          <w:sz w:val="22"/>
        </w:rPr>
      </w:pPr>
      <w:r>
        <w:rPr>
          <w:sz w:val="22"/>
        </w:rPr>
        <w:t>za odběratel</w:t>
      </w:r>
      <w:r>
        <w:rPr>
          <w:sz w:val="22"/>
        </w:rPr>
        <w:t>e: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paní    Ing..Jana </w:t>
      </w:r>
      <w:proofErr w:type="gramStart"/>
      <w:r>
        <w:rPr>
          <w:sz w:val="22"/>
        </w:rPr>
        <w:t>Drtinová ,v otázkách</w:t>
      </w:r>
      <w:proofErr w:type="gramEnd"/>
      <w:r>
        <w:rPr>
          <w:sz w:val="22"/>
        </w:rPr>
        <w:t xml:space="preserve"> organizace a řízení služby</w:t>
      </w:r>
    </w:p>
    <w:p w:rsidR="00000000" w:rsidRDefault="00BA4E3E">
      <w:pPr>
        <w:ind w:left="2428" w:firstLine="351"/>
        <w:rPr>
          <w:sz w:val="22"/>
        </w:rPr>
      </w:pPr>
      <w:r>
        <w:rPr>
          <w:sz w:val="22"/>
        </w:rPr>
        <w:t xml:space="preserve">pan  </w:t>
      </w:r>
      <w:proofErr w:type="gramStart"/>
      <w:r>
        <w:rPr>
          <w:sz w:val="22"/>
        </w:rPr>
        <w:t>Ing.Jaroslav</w:t>
      </w:r>
      <w:proofErr w:type="gramEnd"/>
      <w:r>
        <w:rPr>
          <w:sz w:val="22"/>
        </w:rPr>
        <w:t xml:space="preserve"> Březina v otázkách smluvních,</w:t>
      </w:r>
    </w:p>
    <w:p w:rsidR="00000000" w:rsidRDefault="00BA4E3E">
      <w:pPr>
        <w:spacing w:after="120"/>
        <w:ind w:left="840"/>
        <w:jc w:val="both"/>
        <w:rPr>
          <w:sz w:val="22"/>
        </w:rPr>
      </w:pPr>
    </w:p>
    <w:p w:rsidR="00000000" w:rsidRDefault="00BA4E3E">
      <w:pPr>
        <w:numPr>
          <w:ilvl w:val="1"/>
          <w:numId w:val="12"/>
        </w:numPr>
        <w:spacing w:after="120"/>
        <w:ind w:left="840"/>
        <w:jc w:val="both"/>
        <w:rPr>
          <w:sz w:val="22"/>
        </w:rPr>
      </w:pPr>
      <w:r>
        <w:rPr>
          <w:sz w:val="22"/>
        </w:rPr>
        <w:t>za dodavatele:</w:t>
      </w:r>
      <w:r>
        <w:rPr>
          <w:sz w:val="22"/>
        </w:rPr>
        <w:tab/>
        <w:t xml:space="preserve"> </w:t>
      </w:r>
      <w:r>
        <w:rPr>
          <w:sz w:val="22"/>
        </w:rPr>
        <w:tab/>
        <w:t>pan Jan Čop v otázkách organizace a řízení služby</w:t>
      </w:r>
    </w:p>
    <w:p w:rsidR="00000000" w:rsidRDefault="00BA4E3E">
      <w:pPr>
        <w:spacing w:after="120"/>
        <w:ind w:left="4935" w:hanging="2156"/>
        <w:jc w:val="both"/>
        <w:rPr>
          <w:sz w:val="22"/>
        </w:rPr>
      </w:pPr>
      <w:r>
        <w:rPr>
          <w:sz w:val="22"/>
        </w:rPr>
        <w:t>pan JUDr. Vladimír Hrušecký v otázkách smluvních.</w:t>
      </w:r>
    </w:p>
    <w:p w:rsidR="00000000" w:rsidRDefault="00BA4E3E">
      <w:pPr>
        <w:pStyle w:val="Nadpis7"/>
        <w:rPr>
          <w:sz w:val="22"/>
        </w:rPr>
      </w:pPr>
    </w:p>
    <w:p w:rsidR="00000000" w:rsidRDefault="00BA4E3E">
      <w:pPr>
        <w:pStyle w:val="Nadpis7"/>
        <w:rPr>
          <w:sz w:val="22"/>
        </w:rPr>
      </w:pPr>
      <w:r>
        <w:rPr>
          <w:sz w:val="22"/>
        </w:rPr>
        <w:t>VII. Změny a doda</w:t>
      </w:r>
      <w:r>
        <w:rPr>
          <w:sz w:val="22"/>
        </w:rPr>
        <w:t>tky smlouvy</w:t>
      </w:r>
    </w:p>
    <w:p w:rsidR="00000000" w:rsidRDefault="00BA4E3E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Veškeré změny a dodatky této smlouvy mohou být provedeny jen se souhlasem obou smluvních stran a jen písemnou formou.</w:t>
      </w:r>
    </w:p>
    <w:p w:rsidR="00000000" w:rsidRDefault="00BA4E3E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sz w:val="22"/>
        </w:rPr>
      </w:pPr>
      <w:r>
        <w:rPr>
          <w:sz w:val="22"/>
        </w:rPr>
        <w:t>Služby poskytované dle této smlouvy mohou být měněny pouze na základě vzájemně dohodnutého dodatku.</w:t>
      </w:r>
    </w:p>
    <w:p w:rsidR="00000000" w:rsidRDefault="00BA4E3E">
      <w:pPr>
        <w:pStyle w:val="Nadpis6"/>
      </w:pPr>
      <w:r>
        <w:lastRenderedPageBreak/>
        <w:t>VIII.  Délka platnosti sml</w:t>
      </w:r>
      <w:r>
        <w:t>ouvy a ukončení smluvního vztahu</w:t>
      </w:r>
    </w:p>
    <w:p w:rsidR="00000000" w:rsidRDefault="00BA4E3E">
      <w:pPr>
        <w:pStyle w:val="BodyText2"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Tato smlouva se uzavírá na dobu neurčitou, počínaje 1. březnem 2010.</w:t>
      </w:r>
    </w:p>
    <w:p w:rsidR="00000000" w:rsidRDefault="00BA4E3E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 w:hanging="340"/>
        <w:jc w:val="both"/>
        <w:rPr>
          <w:sz w:val="22"/>
        </w:rPr>
      </w:pPr>
      <w:r>
        <w:rPr>
          <w:sz w:val="22"/>
        </w:rPr>
        <w:t>Způsob ukončení smluvního vztahu:</w:t>
      </w:r>
    </w:p>
    <w:p w:rsidR="00000000" w:rsidRDefault="00BA4E3E">
      <w:pPr>
        <w:numPr>
          <w:ilvl w:val="0"/>
          <w:numId w:val="13"/>
        </w:numPr>
        <w:spacing w:after="120"/>
        <w:jc w:val="both"/>
        <w:rPr>
          <w:sz w:val="22"/>
        </w:rPr>
      </w:pPr>
      <w:r>
        <w:rPr>
          <w:sz w:val="22"/>
        </w:rPr>
        <w:t>písemnou dohodou smluvních stran na skončení smlouvy k určitému datu,</w:t>
      </w:r>
    </w:p>
    <w:p w:rsidR="00000000" w:rsidRDefault="00BA4E3E">
      <w:pPr>
        <w:numPr>
          <w:ilvl w:val="0"/>
          <w:numId w:val="13"/>
        </w:numPr>
        <w:spacing w:after="120"/>
        <w:jc w:val="both"/>
        <w:rPr>
          <w:sz w:val="22"/>
        </w:rPr>
      </w:pPr>
      <w:r>
        <w:rPr>
          <w:sz w:val="22"/>
        </w:rPr>
        <w:t>jednostrannou výpovědí s uvedením důvodu či bez uv</w:t>
      </w:r>
      <w:r>
        <w:rPr>
          <w:sz w:val="22"/>
        </w:rPr>
        <w:t>edení důvodu s výpovědní lhůtou dva měsíce. Výpovědní lhůta počíná běžet prvním dnem měsíce následujícího po dni doručení straně druhé.</w:t>
      </w:r>
    </w:p>
    <w:p w:rsidR="00000000" w:rsidRDefault="00BA4E3E">
      <w:pPr>
        <w:numPr>
          <w:ilvl w:val="0"/>
          <w:numId w:val="13"/>
        </w:numPr>
        <w:spacing w:after="120"/>
        <w:jc w:val="both"/>
        <w:rPr>
          <w:sz w:val="22"/>
        </w:rPr>
      </w:pPr>
      <w:r>
        <w:rPr>
          <w:sz w:val="22"/>
        </w:rPr>
        <w:t>jednostranným rozhodnutím odběratele či dodavatele pro prokázané hrubé porušení závazků smlouvy s výpovědní lhůtou dva t</w:t>
      </w:r>
      <w:r>
        <w:rPr>
          <w:sz w:val="22"/>
        </w:rPr>
        <w:t>ýdny. Za prokázané hrubé porušení se pro tento případ považuje neplnění hl. II čl. 1 a 2 a hl. V čl. 3.</w:t>
      </w:r>
    </w:p>
    <w:p w:rsidR="00000000" w:rsidRDefault="00BA4E3E">
      <w:pPr>
        <w:tabs>
          <w:tab w:val="num" w:pos="360"/>
        </w:tabs>
        <w:spacing w:after="120"/>
        <w:ind w:left="360" w:hanging="340"/>
        <w:jc w:val="both"/>
        <w:rPr>
          <w:sz w:val="22"/>
        </w:rPr>
      </w:pPr>
      <w:r>
        <w:rPr>
          <w:sz w:val="22"/>
        </w:rPr>
        <w:t xml:space="preserve">3. </w:t>
      </w:r>
      <w:r>
        <w:rPr>
          <w:sz w:val="22"/>
        </w:rPr>
        <w:tab/>
        <w:t xml:space="preserve">Výpověď bude mít vždy písemnou formu.   </w:t>
      </w:r>
    </w:p>
    <w:p w:rsidR="00000000" w:rsidRDefault="00BA4E3E">
      <w:pPr>
        <w:tabs>
          <w:tab w:val="num" w:pos="360"/>
        </w:tabs>
        <w:spacing w:after="120"/>
        <w:ind w:left="363" w:hanging="340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Tato smlouva nabývá účinnosti dnem podpisu oběma smluvními stranami.</w:t>
      </w:r>
    </w:p>
    <w:p w:rsidR="00000000" w:rsidRDefault="00BA4E3E">
      <w:pPr>
        <w:tabs>
          <w:tab w:val="num" w:pos="360"/>
        </w:tabs>
        <w:spacing w:after="120"/>
        <w:ind w:left="363" w:hanging="340"/>
        <w:jc w:val="both"/>
        <w:rPr>
          <w:sz w:val="22"/>
        </w:rPr>
      </w:pPr>
    </w:p>
    <w:p w:rsidR="00000000" w:rsidRDefault="00BA4E3E">
      <w:pPr>
        <w:pStyle w:val="Nadpis6"/>
      </w:pPr>
      <w:r>
        <w:t>IX. Závěrečná ustanovení</w:t>
      </w:r>
    </w:p>
    <w:p w:rsidR="00000000" w:rsidRDefault="00BA4E3E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Není-li v</w:t>
      </w:r>
      <w:r>
        <w:rPr>
          <w:sz w:val="22"/>
        </w:rPr>
        <w:t> této smlouvě ujednáno jinak, řídí se právní vztahy mezi odběratelem a dodavatelem, týkající se předmětu smlouvy, příslušnými ustanoveními českého právního řádu, zejména Obchodním zákoníkem č. 513/1991 Sb. ve znění pozdějších předpisů.</w:t>
      </w:r>
    </w:p>
    <w:p w:rsidR="00000000" w:rsidRDefault="00BA4E3E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60"/>
        <w:jc w:val="both"/>
        <w:rPr>
          <w:sz w:val="22"/>
        </w:rPr>
      </w:pPr>
      <w:r>
        <w:rPr>
          <w:sz w:val="22"/>
        </w:rPr>
        <w:t>Tato smlouva je vyho</w:t>
      </w:r>
      <w:r>
        <w:rPr>
          <w:sz w:val="22"/>
        </w:rPr>
        <w:t>tovena ve dvou výtiscích, přičemž každá ze smluvních stran obdrží po jednom výtisku.</w:t>
      </w:r>
    </w:p>
    <w:p w:rsidR="00000000" w:rsidRDefault="00BA4E3E">
      <w:pPr>
        <w:spacing w:after="120"/>
        <w:jc w:val="both"/>
        <w:rPr>
          <w:sz w:val="22"/>
        </w:rPr>
      </w:pPr>
    </w:p>
    <w:p w:rsidR="00000000" w:rsidRDefault="00BA4E3E">
      <w:pPr>
        <w:spacing w:after="120"/>
        <w:ind w:left="680" w:hanging="320"/>
        <w:jc w:val="both"/>
        <w:rPr>
          <w:sz w:val="22"/>
        </w:rPr>
      </w:pPr>
      <w:r>
        <w:rPr>
          <w:sz w:val="22"/>
        </w:rPr>
        <w:t>V Praze dne 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>…………. 2010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Ve Zdibech dne…………………2010</w:t>
      </w:r>
    </w:p>
    <w:p w:rsidR="00000000" w:rsidRDefault="00BA4E3E">
      <w:pPr>
        <w:spacing w:after="120"/>
        <w:ind w:left="360"/>
        <w:jc w:val="both"/>
        <w:rPr>
          <w:sz w:val="22"/>
        </w:rPr>
      </w:pPr>
    </w:p>
    <w:p w:rsidR="00000000" w:rsidRDefault="00BA4E3E">
      <w:pPr>
        <w:spacing w:after="120"/>
        <w:ind w:left="360"/>
        <w:jc w:val="both"/>
        <w:rPr>
          <w:sz w:val="22"/>
        </w:rPr>
      </w:pPr>
    </w:p>
    <w:p w:rsidR="00000000" w:rsidRDefault="00BA4E3E">
      <w:pPr>
        <w:spacing w:after="120"/>
        <w:ind w:left="360"/>
        <w:jc w:val="both"/>
        <w:rPr>
          <w:sz w:val="22"/>
        </w:rPr>
      </w:pPr>
      <w:r>
        <w:rPr>
          <w:sz w:val="22"/>
        </w:rPr>
        <w:t>Za REI s.r.o.: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Za VÚGTK, </w:t>
      </w:r>
      <w:proofErr w:type="gramStart"/>
      <w:r>
        <w:rPr>
          <w:sz w:val="22"/>
        </w:rPr>
        <w:t>v.v.</w:t>
      </w:r>
      <w:proofErr w:type="gramEnd"/>
      <w:r>
        <w:rPr>
          <w:sz w:val="22"/>
        </w:rPr>
        <w:t>i.:</w:t>
      </w:r>
    </w:p>
    <w:p w:rsidR="00000000" w:rsidRDefault="00BA4E3E">
      <w:pPr>
        <w:ind w:left="360"/>
        <w:jc w:val="both"/>
        <w:rPr>
          <w:sz w:val="22"/>
        </w:rPr>
      </w:pPr>
    </w:p>
    <w:p w:rsidR="00000000" w:rsidRDefault="00BA4E3E">
      <w:pPr>
        <w:ind w:left="360"/>
        <w:jc w:val="both"/>
        <w:rPr>
          <w:sz w:val="22"/>
        </w:rPr>
      </w:pPr>
    </w:p>
    <w:p w:rsidR="00000000" w:rsidRDefault="00BA4E3E">
      <w:pPr>
        <w:ind w:left="360"/>
        <w:jc w:val="both"/>
        <w:rPr>
          <w:sz w:val="22"/>
        </w:rPr>
      </w:pPr>
    </w:p>
    <w:p w:rsidR="00000000" w:rsidRDefault="00BA4E3E">
      <w:pPr>
        <w:ind w:left="360"/>
        <w:jc w:val="both"/>
        <w:rPr>
          <w:sz w:val="22"/>
        </w:rPr>
      </w:pPr>
      <w:r>
        <w:rPr>
          <w:sz w:val="22"/>
        </w:rPr>
        <w:t>………………………………….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……………………………………</w:t>
      </w:r>
    </w:p>
    <w:p w:rsidR="00000000" w:rsidRDefault="00BA4E3E">
      <w:pPr>
        <w:ind w:left="360"/>
        <w:jc w:val="both"/>
        <w:rPr>
          <w:sz w:val="22"/>
        </w:rPr>
      </w:pPr>
      <w:r>
        <w:rPr>
          <w:sz w:val="22"/>
        </w:rPr>
        <w:t>Jaroslav Ším</w:t>
      </w:r>
      <w:r>
        <w:rPr>
          <w:sz w:val="22"/>
        </w:rPr>
        <w:t>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Ing. Karel Raděj CSc.</w:t>
      </w:r>
    </w:p>
    <w:p w:rsidR="00000000" w:rsidRDefault="00BA4E3E">
      <w:pPr>
        <w:spacing w:after="120"/>
        <w:ind w:left="680" w:hanging="340"/>
        <w:jc w:val="both"/>
        <w:rPr>
          <w:sz w:val="22"/>
        </w:rPr>
      </w:pPr>
      <w:r>
        <w:rPr>
          <w:sz w:val="22"/>
        </w:rPr>
        <w:t xml:space="preserve"> jednatel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ředitel</w:t>
      </w:r>
    </w:p>
    <w:p w:rsidR="00000000" w:rsidRDefault="00BA4E3E">
      <w:pPr>
        <w:spacing w:after="120"/>
        <w:ind w:left="680" w:hanging="340"/>
        <w:jc w:val="both"/>
        <w:rPr>
          <w:sz w:val="22"/>
        </w:rPr>
      </w:pPr>
    </w:p>
    <w:p w:rsidR="00000000" w:rsidRDefault="00BA4E3E">
      <w:pPr>
        <w:spacing w:after="120"/>
        <w:ind w:left="680" w:hanging="340"/>
        <w:jc w:val="both"/>
        <w:rPr>
          <w:sz w:val="22"/>
        </w:rPr>
      </w:pPr>
    </w:p>
    <w:p w:rsidR="00000000" w:rsidRDefault="00BA4E3E">
      <w:pPr>
        <w:spacing w:after="120"/>
        <w:ind w:left="680" w:hanging="340"/>
        <w:jc w:val="both"/>
        <w:rPr>
          <w:b/>
          <w:bCs/>
          <w:sz w:val="22"/>
        </w:rPr>
      </w:pPr>
    </w:p>
    <w:p w:rsidR="00000000" w:rsidRDefault="00BA4E3E">
      <w:pPr>
        <w:spacing w:after="12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Přílohy:</w:t>
      </w:r>
    </w:p>
    <w:p w:rsidR="00000000" w:rsidRDefault="00BA4E3E">
      <w:pPr>
        <w:numPr>
          <w:ilvl w:val="0"/>
          <w:numId w:val="20"/>
        </w:numPr>
        <w:spacing w:after="120"/>
        <w:jc w:val="both"/>
        <w:rPr>
          <w:sz w:val="22"/>
        </w:rPr>
      </w:pPr>
      <w:r>
        <w:rPr>
          <w:sz w:val="22"/>
        </w:rPr>
        <w:t>Směrnice pro provádění recepční a vrátenské služby (bude zpracována do 20 dnů ode dne zahájení služby)</w:t>
      </w:r>
    </w:p>
    <w:p w:rsidR="00BA4E3E" w:rsidRDefault="00BA4E3E">
      <w:pPr>
        <w:spacing w:after="120"/>
        <w:ind w:left="680" w:hanging="340"/>
        <w:jc w:val="both"/>
        <w:rPr>
          <w:sz w:val="22"/>
        </w:rPr>
      </w:pPr>
    </w:p>
    <w:sectPr w:rsidR="00BA4E3E">
      <w:headerReference w:type="default" r:id="rId7"/>
      <w:footerReference w:type="default" r:id="rId8"/>
      <w:pgSz w:w="12240" w:h="15840"/>
      <w:pgMar w:top="1134" w:right="1134" w:bottom="851" w:left="1418" w:header="284" w:footer="284" w:gutter="284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E3E" w:rsidRDefault="00BA4E3E">
      <w:r>
        <w:separator/>
      </w:r>
    </w:p>
  </w:endnote>
  <w:endnote w:type="continuationSeparator" w:id="0">
    <w:p w:rsidR="00BA4E3E" w:rsidRDefault="00BA4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E3E">
    <w:pPr>
      <w:pStyle w:val="Zpat"/>
      <w:jc w:val="center"/>
      <w:rPr>
        <w:rFonts w:ascii="Arial" w:hAnsi="Arial" w:cs="Arial"/>
        <w:sz w:val="22"/>
      </w:rPr>
    </w:pPr>
    <w:r>
      <w:rPr>
        <w:rStyle w:val="slostrnky"/>
        <w:rFonts w:ascii="Arial" w:hAnsi="Arial" w:cs="Arial"/>
        <w:sz w:val="22"/>
      </w:rPr>
      <w:fldChar w:fldCharType="begin"/>
    </w:r>
    <w:r>
      <w:rPr>
        <w:rStyle w:val="slostrnky"/>
        <w:rFonts w:ascii="Arial" w:hAnsi="Arial" w:cs="Arial"/>
        <w:sz w:val="22"/>
      </w:rPr>
      <w:instrText xml:space="preserve"> PAGE </w:instrText>
    </w:r>
    <w:r>
      <w:rPr>
        <w:rStyle w:val="slostrnky"/>
        <w:rFonts w:ascii="Arial" w:hAnsi="Arial" w:cs="Arial"/>
        <w:sz w:val="22"/>
      </w:rPr>
      <w:fldChar w:fldCharType="separate"/>
    </w:r>
    <w:r w:rsidR="00680311">
      <w:rPr>
        <w:rStyle w:val="slostrnky"/>
        <w:rFonts w:ascii="Arial" w:hAnsi="Arial" w:cs="Arial"/>
        <w:noProof/>
        <w:sz w:val="22"/>
      </w:rPr>
      <w:t>1</w:t>
    </w:r>
    <w:r>
      <w:rPr>
        <w:rStyle w:val="slostrnky"/>
        <w:rFonts w:ascii="Arial" w:hAnsi="Arial" w:cs="Arial"/>
        <w:sz w:val="22"/>
      </w:rPr>
      <w:fldChar w:fldCharType="end"/>
    </w:r>
    <w:r>
      <w:rPr>
        <w:rStyle w:val="slostrnky"/>
        <w:rFonts w:ascii="Arial" w:hAnsi="Arial" w:cs="Arial"/>
        <w:sz w:val="22"/>
      </w:rPr>
      <w:t xml:space="preserve"> </w:t>
    </w:r>
  </w:p>
  <w:p w:rsidR="00000000" w:rsidRDefault="00BA4E3E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E3E" w:rsidRDefault="00BA4E3E">
      <w:r>
        <w:separator/>
      </w:r>
    </w:p>
  </w:footnote>
  <w:footnote w:type="continuationSeparator" w:id="0">
    <w:p w:rsidR="00BA4E3E" w:rsidRDefault="00BA4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E3E">
    <w:pPr>
      <w:pStyle w:val="Zhlav"/>
      <w:jc w:val="center"/>
      <w:rPr>
        <w:b/>
        <w:bCs/>
        <w:i/>
        <w:iCs/>
        <w:emboss/>
        <w:color w:val="FFFFFF"/>
        <w:sz w:val="32"/>
      </w:rPr>
    </w:pPr>
    <w:r>
      <w:rPr>
        <w:rFonts w:ascii="Arial" w:hAnsi="Arial" w:cs="Arial"/>
        <w:b/>
        <w:bCs/>
        <w:i/>
        <w:iCs/>
        <w:emboss/>
        <w:color w:val="FFFFFF"/>
        <w:sz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BAC"/>
    <w:multiLevelType w:val="hybridMultilevel"/>
    <w:tmpl w:val="FF863A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B096B"/>
    <w:multiLevelType w:val="multilevel"/>
    <w:tmpl w:val="F9828964"/>
    <w:lvl w:ilvl="0">
      <w:start w:val="1"/>
      <w:numFmt w:val="lowerLetter"/>
      <w:lvlText w:val="%1)"/>
      <w:lvlJc w:val="left"/>
      <w:pPr>
        <w:ind w:left="1514" w:hanging="360"/>
      </w:pPr>
    </w:lvl>
    <w:lvl w:ilvl="1">
      <w:start w:val="1"/>
      <w:numFmt w:val="lowerLetter"/>
      <w:lvlText w:val="%2)"/>
      <w:lvlJc w:val="left"/>
      <w:pPr>
        <w:ind w:left="1874" w:hanging="360"/>
      </w:pPr>
    </w:lvl>
    <w:lvl w:ilvl="2">
      <w:start w:val="1"/>
      <w:numFmt w:val="lowerRoman"/>
      <w:lvlText w:val="%3)"/>
      <w:lvlJc w:val="left"/>
      <w:pPr>
        <w:ind w:left="2234" w:hanging="360"/>
      </w:pPr>
    </w:lvl>
    <w:lvl w:ilvl="3">
      <w:start w:val="1"/>
      <w:numFmt w:val="decimal"/>
      <w:lvlText w:val="(%4)"/>
      <w:lvlJc w:val="left"/>
      <w:pPr>
        <w:ind w:left="2594" w:hanging="360"/>
      </w:pPr>
    </w:lvl>
    <w:lvl w:ilvl="4">
      <w:start w:val="1"/>
      <w:numFmt w:val="lowerLetter"/>
      <w:lvlText w:val="(%5)"/>
      <w:lvlJc w:val="left"/>
      <w:pPr>
        <w:ind w:left="2954" w:hanging="360"/>
      </w:pPr>
    </w:lvl>
    <w:lvl w:ilvl="5">
      <w:start w:val="1"/>
      <w:numFmt w:val="lowerRoman"/>
      <w:lvlText w:val="(%6)"/>
      <w:lvlJc w:val="left"/>
      <w:pPr>
        <w:ind w:left="3314" w:hanging="360"/>
      </w:pPr>
    </w:lvl>
    <w:lvl w:ilvl="6">
      <w:start w:val="1"/>
      <w:numFmt w:val="decimal"/>
      <w:lvlText w:val="%7."/>
      <w:lvlJc w:val="left"/>
      <w:pPr>
        <w:ind w:left="3674" w:hanging="360"/>
      </w:pPr>
    </w:lvl>
    <w:lvl w:ilvl="7">
      <w:start w:val="1"/>
      <w:numFmt w:val="lowerLetter"/>
      <w:lvlText w:val="%8."/>
      <w:lvlJc w:val="left"/>
      <w:pPr>
        <w:ind w:left="4034" w:hanging="360"/>
      </w:pPr>
    </w:lvl>
    <w:lvl w:ilvl="8">
      <w:start w:val="1"/>
      <w:numFmt w:val="lowerRoman"/>
      <w:lvlText w:val="%9."/>
      <w:lvlJc w:val="left"/>
      <w:pPr>
        <w:ind w:left="4394" w:hanging="360"/>
      </w:pPr>
    </w:lvl>
  </w:abstractNum>
  <w:abstractNum w:abstractNumId="2">
    <w:nsid w:val="0F737240"/>
    <w:multiLevelType w:val="hybridMultilevel"/>
    <w:tmpl w:val="9AE23E4A"/>
    <w:lvl w:ilvl="0" w:tplc="3E686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E07D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F6131"/>
    <w:multiLevelType w:val="hybridMultilevel"/>
    <w:tmpl w:val="D19604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D530A"/>
    <w:multiLevelType w:val="hybridMultilevel"/>
    <w:tmpl w:val="CBA078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26759"/>
    <w:multiLevelType w:val="hybridMultilevel"/>
    <w:tmpl w:val="25A0B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9A134F9"/>
    <w:multiLevelType w:val="hybridMultilevel"/>
    <w:tmpl w:val="9DAC6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94883"/>
    <w:multiLevelType w:val="hybridMultilevel"/>
    <w:tmpl w:val="390E1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F330E0"/>
    <w:multiLevelType w:val="multilevel"/>
    <w:tmpl w:val="881ADF44"/>
    <w:lvl w:ilvl="0">
      <w:start w:val="1"/>
      <w:numFmt w:val="lowerLetter"/>
      <w:lvlText w:val="%1)"/>
      <w:lvlJc w:val="left"/>
      <w:pPr>
        <w:ind w:left="1514" w:hanging="360"/>
      </w:pPr>
    </w:lvl>
    <w:lvl w:ilvl="1">
      <w:start w:val="1"/>
      <w:numFmt w:val="lowerRoman"/>
      <w:lvlText w:val="%2."/>
      <w:lvlJc w:val="right"/>
      <w:pPr>
        <w:ind w:left="1874" w:hanging="360"/>
      </w:pPr>
    </w:lvl>
    <w:lvl w:ilvl="2">
      <w:start w:val="1"/>
      <w:numFmt w:val="lowerRoman"/>
      <w:lvlText w:val="%3)"/>
      <w:lvlJc w:val="left"/>
      <w:pPr>
        <w:ind w:left="2234" w:hanging="360"/>
      </w:pPr>
    </w:lvl>
    <w:lvl w:ilvl="3">
      <w:start w:val="1"/>
      <w:numFmt w:val="decimal"/>
      <w:lvlText w:val="(%4)"/>
      <w:lvlJc w:val="left"/>
      <w:pPr>
        <w:ind w:left="2594" w:hanging="360"/>
      </w:pPr>
    </w:lvl>
    <w:lvl w:ilvl="4">
      <w:start w:val="1"/>
      <w:numFmt w:val="lowerLetter"/>
      <w:lvlText w:val="(%5)"/>
      <w:lvlJc w:val="left"/>
      <w:pPr>
        <w:ind w:left="2954" w:hanging="360"/>
      </w:pPr>
    </w:lvl>
    <w:lvl w:ilvl="5">
      <w:start w:val="1"/>
      <w:numFmt w:val="lowerRoman"/>
      <w:lvlText w:val="(%6)"/>
      <w:lvlJc w:val="left"/>
      <w:pPr>
        <w:ind w:left="3314" w:hanging="360"/>
      </w:pPr>
    </w:lvl>
    <w:lvl w:ilvl="6">
      <w:start w:val="1"/>
      <w:numFmt w:val="decimal"/>
      <w:lvlText w:val="%7."/>
      <w:lvlJc w:val="left"/>
      <w:pPr>
        <w:ind w:left="3674" w:hanging="360"/>
      </w:pPr>
    </w:lvl>
    <w:lvl w:ilvl="7">
      <w:start w:val="1"/>
      <w:numFmt w:val="lowerLetter"/>
      <w:lvlText w:val="%8."/>
      <w:lvlJc w:val="left"/>
      <w:pPr>
        <w:ind w:left="4034" w:hanging="360"/>
      </w:pPr>
    </w:lvl>
    <w:lvl w:ilvl="8">
      <w:start w:val="1"/>
      <w:numFmt w:val="lowerRoman"/>
      <w:lvlText w:val="%9."/>
      <w:lvlJc w:val="left"/>
      <w:pPr>
        <w:ind w:left="4394" w:hanging="360"/>
      </w:pPr>
    </w:lvl>
  </w:abstractNum>
  <w:abstractNum w:abstractNumId="9">
    <w:nsid w:val="45EB06F2"/>
    <w:multiLevelType w:val="hybridMultilevel"/>
    <w:tmpl w:val="615C8D6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E07D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D1E3030"/>
    <w:multiLevelType w:val="hybridMultilevel"/>
    <w:tmpl w:val="6C08F98C"/>
    <w:lvl w:ilvl="0" w:tplc="04D83738">
      <w:start w:val="1"/>
      <w:numFmt w:val="upperRoman"/>
      <w:pStyle w:val="Nadpis8"/>
      <w:lvlText w:val="%1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5DC1744B"/>
    <w:multiLevelType w:val="hybridMultilevel"/>
    <w:tmpl w:val="5212EB56"/>
    <w:lvl w:ilvl="0" w:tplc="B8C4C88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F5BAB"/>
    <w:multiLevelType w:val="hybridMultilevel"/>
    <w:tmpl w:val="E376D6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71097"/>
    <w:multiLevelType w:val="hybridMultilevel"/>
    <w:tmpl w:val="26169F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E07D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1B241FE"/>
    <w:multiLevelType w:val="hybridMultilevel"/>
    <w:tmpl w:val="CD9C73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253F09"/>
    <w:multiLevelType w:val="multilevel"/>
    <w:tmpl w:val="881ADF44"/>
    <w:lvl w:ilvl="0">
      <w:start w:val="1"/>
      <w:numFmt w:val="lowerLetter"/>
      <w:lvlText w:val="%1)"/>
      <w:lvlJc w:val="left"/>
      <w:pPr>
        <w:ind w:left="1514" w:hanging="360"/>
      </w:pPr>
    </w:lvl>
    <w:lvl w:ilvl="1">
      <w:start w:val="1"/>
      <w:numFmt w:val="bullet"/>
      <w:lvlText w:val=""/>
      <w:lvlJc w:val="left"/>
      <w:pPr>
        <w:tabs>
          <w:tab w:val="num" w:pos="1874"/>
        </w:tabs>
        <w:ind w:left="1874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2234" w:hanging="360"/>
      </w:pPr>
    </w:lvl>
    <w:lvl w:ilvl="3">
      <w:start w:val="1"/>
      <w:numFmt w:val="decimal"/>
      <w:lvlText w:val="(%4)"/>
      <w:lvlJc w:val="left"/>
      <w:pPr>
        <w:ind w:left="2594" w:hanging="360"/>
      </w:pPr>
    </w:lvl>
    <w:lvl w:ilvl="4">
      <w:start w:val="1"/>
      <w:numFmt w:val="lowerLetter"/>
      <w:lvlText w:val="(%5)"/>
      <w:lvlJc w:val="left"/>
      <w:pPr>
        <w:ind w:left="2954" w:hanging="360"/>
      </w:pPr>
    </w:lvl>
    <w:lvl w:ilvl="5">
      <w:start w:val="1"/>
      <w:numFmt w:val="lowerRoman"/>
      <w:lvlText w:val="(%6)"/>
      <w:lvlJc w:val="left"/>
      <w:pPr>
        <w:ind w:left="3314" w:hanging="360"/>
      </w:pPr>
    </w:lvl>
    <w:lvl w:ilvl="6">
      <w:start w:val="1"/>
      <w:numFmt w:val="decimal"/>
      <w:lvlText w:val="%7."/>
      <w:lvlJc w:val="left"/>
      <w:pPr>
        <w:ind w:left="3674" w:hanging="360"/>
      </w:pPr>
    </w:lvl>
    <w:lvl w:ilvl="7">
      <w:start w:val="1"/>
      <w:numFmt w:val="lowerLetter"/>
      <w:lvlText w:val="%8."/>
      <w:lvlJc w:val="left"/>
      <w:pPr>
        <w:ind w:left="4034" w:hanging="360"/>
      </w:pPr>
    </w:lvl>
    <w:lvl w:ilvl="8">
      <w:start w:val="1"/>
      <w:numFmt w:val="lowerRoman"/>
      <w:lvlText w:val="%9."/>
      <w:lvlJc w:val="left"/>
      <w:pPr>
        <w:ind w:left="4394" w:hanging="360"/>
      </w:pPr>
    </w:lvl>
  </w:abstractNum>
  <w:abstractNum w:abstractNumId="16">
    <w:nsid w:val="67DE085F"/>
    <w:multiLevelType w:val="hybridMultilevel"/>
    <w:tmpl w:val="CC321C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F80FA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45243A"/>
    <w:multiLevelType w:val="hybridMultilevel"/>
    <w:tmpl w:val="CA92D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8819EE"/>
    <w:multiLevelType w:val="hybridMultilevel"/>
    <w:tmpl w:val="E6B2D2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D938F0"/>
    <w:multiLevelType w:val="multilevel"/>
    <w:tmpl w:val="070EEC0E"/>
    <w:lvl w:ilvl="0">
      <w:start w:val="1"/>
      <w:numFmt w:val="lowerLetter"/>
      <w:lvlText w:val="%1)"/>
      <w:lvlJc w:val="left"/>
      <w:pPr>
        <w:ind w:left="1514" w:hanging="360"/>
      </w:pPr>
    </w:lvl>
    <w:lvl w:ilvl="1">
      <w:start w:val="1"/>
      <w:numFmt w:val="upperRoman"/>
      <w:lvlText w:val="%2."/>
      <w:lvlJc w:val="right"/>
      <w:pPr>
        <w:ind w:left="1874" w:hanging="360"/>
      </w:pPr>
    </w:lvl>
    <w:lvl w:ilvl="2">
      <w:start w:val="1"/>
      <w:numFmt w:val="lowerRoman"/>
      <w:lvlText w:val="%3)"/>
      <w:lvlJc w:val="left"/>
      <w:pPr>
        <w:ind w:left="2234" w:hanging="360"/>
      </w:pPr>
    </w:lvl>
    <w:lvl w:ilvl="3">
      <w:start w:val="1"/>
      <w:numFmt w:val="decimal"/>
      <w:lvlText w:val="(%4)"/>
      <w:lvlJc w:val="left"/>
      <w:pPr>
        <w:ind w:left="2594" w:hanging="360"/>
      </w:pPr>
    </w:lvl>
    <w:lvl w:ilvl="4">
      <w:start w:val="1"/>
      <w:numFmt w:val="lowerLetter"/>
      <w:lvlText w:val="(%5)"/>
      <w:lvlJc w:val="left"/>
      <w:pPr>
        <w:ind w:left="2954" w:hanging="360"/>
      </w:pPr>
    </w:lvl>
    <w:lvl w:ilvl="5">
      <w:start w:val="1"/>
      <w:numFmt w:val="lowerRoman"/>
      <w:lvlText w:val="(%6)"/>
      <w:lvlJc w:val="left"/>
      <w:pPr>
        <w:ind w:left="3314" w:hanging="360"/>
      </w:pPr>
    </w:lvl>
    <w:lvl w:ilvl="6">
      <w:start w:val="1"/>
      <w:numFmt w:val="decimal"/>
      <w:lvlText w:val="%7."/>
      <w:lvlJc w:val="left"/>
      <w:pPr>
        <w:ind w:left="3674" w:hanging="360"/>
      </w:pPr>
    </w:lvl>
    <w:lvl w:ilvl="7">
      <w:start w:val="1"/>
      <w:numFmt w:val="lowerLetter"/>
      <w:lvlText w:val="%8."/>
      <w:lvlJc w:val="left"/>
      <w:pPr>
        <w:ind w:left="4034" w:hanging="360"/>
      </w:pPr>
    </w:lvl>
    <w:lvl w:ilvl="8">
      <w:start w:val="1"/>
      <w:numFmt w:val="lowerRoman"/>
      <w:lvlText w:val="%9."/>
      <w:lvlJc w:val="left"/>
      <w:pPr>
        <w:ind w:left="4394" w:hanging="360"/>
      </w:pPr>
    </w:lvl>
  </w:abstractNum>
  <w:abstractNum w:abstractNumId="20">
    <w:nsid w:val="70831A00"/>
    <w:multiLevelType w:val="hybridMultilevel"/>
    <w:tmpl w:val="4A449A6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20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E833E4"/>
    <w:multiLevelType w:val="hybridMultilevel"/>
    <w:tmpl w:val="CA92D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4B13E9"/>
    <w:multiLevelType w:val="hybridMultilevel"/>
    <w:tmpl w:val="124AE2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8C481B"/>
    <w:multiLevelType w:val="hybridMultilevel"/>
    <w:tmpl w:val="098EE68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6"/>
  </w:num>
  <w:num w:numId="4">
    <w:abstractNumId w:val="7"/>
  </w:num>
  <w:num w:numId="5">
    <w:abstractNumId w:val="0"/>
  </w:num>
  <w:num w:numId="6">
    <w:abstractNumId w:val="10"/>
  </w:num>
  <w:num w:numId="7">
    <w:abstractNumId w:val="21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20"/>
  </w:num>
  <w:num w:numId="13">
    <w:abstractNumId w:val="23"/>
  </w:num>
  <w:num w:numId="14">
    <w:abstractNumId w:val="13"/>
  </w:num>
  <w:num w:numId="15">
    <w:abstractNumId w:val="5"/>
  </w:num>
  <w:num w:numId="16">
    <w:abstractNumId w:val="9"/>
  </w:num>
  <w:num w:numId="17">
    <w:abstractNumId w:val="18"/>
  </w:num>
  <w:num w:numId="18">
    <w:abstractNumId w:val="22"/>
  </w:num>
  <w:num w:numId="19">
    <w:abstractNumId w:val="12"/>
  </w:num>
  <w:num w:numId="20">
    <w:abstractNumId w:val="4"/>
  </w:num>
  <w:num w:numId="21">
    <w:abstractNumId w:val="19"/>
  </w:num>
  <w:num w:numId="22">
    <w:abstractNumId w:val="8"/>
  </w:num>
  <w:num w:numId="23">
    <w:abstractNumId w:val="1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39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80311"/>
    <w:rsid w:val="00680311"/>
    <w:rsid w:val="00BA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Black" w:hAnsi="Arial Black"/>
      <w:color w:val="FF0000"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0"/>
      </w:tabs>
      <w:spacing w:after="120"/>
      <w:ind w:hanging="284"/>
      <w:jc w:val="center"/>
      <w:outlineLvl w:val="2"/>
    </w:pPr>
    <w:rPr>
      <w:rFonts w:ascii="Arial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szCs w:val="20"/>
    </w:rPr>
  </w:style>
  <w:style w:type="paragraph" w:styleId="Nadpis5">
    <w:name w:val="heading 5"/>
    <w:basedOn w:val="Normln"/>
    <w:next w:val="Normln"/>
    <w:qFormat/>
    <w:pPr>
      <w:keepNext/>
      <w:ind w:left="-567"/>
      <w:outlineLvl w:val="4"/>
    </w:pPr>
    <w:rPr>
      <w:rFonts w:ascii="Arial" w:hAnsi="Arial" w:cs="Arial"/>
      <w:szCs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numPr>
        <w:numId w:val="6"/>
      </w:numPr>
      <w:tabs>
        <w:tab w:val="clear" w:pos="1060"/>
        <w:tab w:val="num" w:pos="540"/>
      </w:tabs>
      <w:spacing w:after="240"/>
      <w:ind w:left="539" w:hanging="539"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Arial" w:hAnsi="Arial" w:cs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semiHidden/>
    <w:pPr>
      <w:ind w:left="708"/>
    </w:pPr>
    <w:rPr>
      <w:rFonts w:ascii="Arial" w:hAnsi="Arial" w:cs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left="360" w:hanging="20"/>
    </w:pPr>
    <w:rPr>
      <w:rFonts w:ascii="Arial" w:hAnsi="Arial"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1514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</vt:lpstr>
    </vt:vector>
  </TitlesOfParts>
  <Company>WIN98</Company>
  <LinksUpToDate>false</LinksUpToDate>
  <CharactersWithSpaces>10428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OEM</dc:creator>
  <cp:lastModifiedBy>Březina</cp:lastModifiedBy>
  <cp:revision>2</cp:revision>
  <cp:lastPrinted>2010-01-26T09:22:00Z</cp:lastPrinted>
  <dcterms:created xsi:type="dcterms:W3CDTF">2020-11-25T06:11:00Z</dcterms:created>
  <dcterms:modified xsi:type="dcterms:W3CDTF">2020-11-25T06:11:00Z</dcterms:modified>
</cp:coreProperties>
</file>