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A835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3658A8">
        <w:rPr>
          <w:b/>
          <w:sz w:val="32"/>
          <w:szCs w:val="32"/>
        </w:rPr>
        <w:t>7</w:t>
      </w:r>
      <w:r w:rsidR="00D62358">
        <w:rPr>
          <w:b/>
          <w:sz w:val="32"/>
          <w:szCs w:val="32"/>
        </w:rPr>
        <w:t>7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AB36B4" w:rsidRDefault="00AB36B4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B23E1F" w:rsidRDefault="00B23E1F" w:rsidP="00B23E1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6B4" w:rsidRDefault="00AB36B4" w:rsidP="00AB36B4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D4161F" w:rsidRDefault="00D4161F" w:rsidP="00AB333F">
      <w:pPr>
        <w:rPr>
          <w:b/>
          <w:sz w:val="24"/>
          <w:szCs w:val="24"/>
        </w:rPr>
      </w:pPr>
    </w:p>
    <w:p w:rsidR="00D62358" w:rsidRPr="006E2720" w:rsidRDefault="00D62358" w:rsidP="00D62358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B23E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2720">
        <w:rPr>
          <w:b/>
          <w:sz w:val="24"/>
          <w:szCs w:val="24"/>
        </w:rPr>
        <w:t>Společenství vlastníků Bruntál 750</w:t>
      </w:r>
    </w:p>
    <w:p w:rsidR="00D62358" w:rsidRDefault="00D62358" w:rsidP="00D62358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 Pionýrská 24, č.p. 750, PSČ 792 01</w:t>
      </w:r>
    </w:p>
    <w:p w:rsidR="00D62358" w:rsidRPr="00202CE3" w:rsidRDefault="00D62358" w:rsidP="00D62358">
      <w:pPr>
        <w:pStyle w:val="Zkladntext3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ý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> rejstříku společenství jednotek, vedeného KS v Ostravě oddíl S., vložka 183</w:t>
      </w:r>
    </w:p>
    <w:p w:rsidR="00D62358" w:rsidRDefault="00D62358" w:rsidP="00D62358">
      <w:pPr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2358" w:rsidRDefault="00D62358" w:rsidP="00D62358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574843" w:rsidRDefault="00574843" w:rsidP="00574843">
      <w:pPr>
        <w:ind w:left="2832" w:hanging="2832"/>
        <w:rPr>
          <w:sz w:val="24"/>
          <w:szCs w:val="24"/>
        </w:rPr>
      </w:pPr>
      <w:r w:rsidRPr="00343E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343EBF">
        <w:rPr>
          <w:sz w:val="24"/>
          <w:szCs w:val="24"/>
        </w:rPr>
        <w:t xml:space="preserve"> na základě mandátní smlouvy společností </w:t>
      </w:r>
      <w:r w:rsidRPr="00851B05">
        <w:rPr>
          <w:b/>
          <w:sz w:val="24"/>
          <w:szCs w:val="24"/>
        </w:rPr>
        <w:t>CHAER s.r.o</w:t>
      </w:r>
      <w:r w:rsidRPr="00343EBF">
        <w:rPr>
          <w:sz w:val="24"/>
          <w:szCs w:val="24"/>
        </w:rPr>
        <w:t>.</w:t>
      </w:r>
    </w:p>
    <w:p w:rsidR="00574843" w:rsidRDefault="00574843" w:rsidP="00574843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A83056">
        <w:rPr>
          <w:sz w:val="24"/>
          <w:szCs w:val="24"/>
        </w:rPr>
        <w:t>se sídlem Bruntál, Partyzánská 1461/49, PSČ 792 01</w:t>
      </w:r>
    </w:p>
    <w:p w:rsidR="00574843" w:rsidRPr="00574843" w:rsidRDefault="00574843" w:rsidP="00574843">
      <w:pPr>
        <w:pStyle w:val="Zkladntext"/>
        <w:rPr>
          <w:sz w:val="24"/>
          <w:szCs w:val="24"/>
        </w:rPr>
      </w:pPr>
      <w:r w:rsidRPr="00574843">
        <w:rPr>
          <w:sz w:val="24"/>
          <w:szCs w:val="24"/>
        </w:rPr>
        <w:t>zapsaná v obchodním rejstříku u Krajského soudu v Ostravě, oddíl 6, vložka 41419</w:t>
      </w:r>
    </w:p>
    <w:p w:rsidR="00574843" w:rsidRPr="002A48EF" w:rsidRDefault="00574843" w:rsidP="00574843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574843" w:rsidRPr="00035DBF" w:rsidRDefault="00574843" w:rsidP="00574843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zastoupenou:</w:t>
      </w:r>
      <w:r>
        <w:rPr>
          <w:sz w:val="24"/>
          <w:szCs w:val="24"/>
        </w:rPr>
        <w:tab/>
        <w:t xml:space="preserve"> </w:t>
      </w:r>
    </w:p>
    <w:p w:rsidR="00574843" w:rsidRPr="00E8676F" w:rsidRDefault="00574843" w:rsidP="00574843">
      <w:pPr>
        <w:rPr>
          <w:color w:val="FF0000"/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574843" w:rsidRDefault="00574843" w:rsidP="0057484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62358" w:rsidRPr="00EB789A" w:rsidRDefault="00D62358" w:rsidP="00D62358">
      <w:pPr>
        <w:rPr>
          <w:sz w:val="24"/>
          <w:szCs w:val="24"/>
        </w:rPr>
      </w:pPr>
    </w:p>
    <w:p w:rsidR="00D62358" w:rsidRPr="004C010C" w:rsidRDefault="00D62358" w:rsidP="00D62358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24</w:t>
      </w:r>
      <w:r w:rsidRPr="004C010C">
        <w:rPr>
          <w:b/>
          <w:sz w:val="24"/>
          <w:szCs w:val="24"/>
        </w:rPr>
        <w:t>, Bruntál</w:t>
      </w:r>
    </w:p>
    <w:p w:rsidR="00277BE5" w:rsidRDefault="00277BE5" w:rsidP="00574843">
      <w:pPr>
        <w:pStyle w:val="Bezmezer"/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9A2B1E" w:rsidRPr="007702C2" w:rsidRDefault="00AB333F" w:rsidP="007702C2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5A3565" w:rsidRDefault="00AB333F" w:rsidP="005A3565">
      <w:pPr>
        <w:jc w:val="center"/>
        <w:rPr>
          <w:b/>
          <w:sz w:val="24"/>
          <w:szCs w:val="24"/>
        </w:rPr>
      </w:pPr>
      <w:r w:rsidRPr="005A3565">
        <w:rPr>
          <w:b/>
          <w:sz w:val="24"/>
          <w:szCs w:val="24"/>
        </w:rPr>
        <w:lastRenderedPageBreak/>
        <w:t>Článek III</w:t>
      </w:r>
    </w:p>
    <w:p w:rsidR="00AB333F" w:rsidRPr="005A3565" w:rsidRDefault="00AB333F" w:rsidP="005A3565">
      <w:pPr>
        <w:jc w:val="center"/>
        <w:rPr>
          <w:b/>
          <w:sz w:val="24"/>
          <w:szCs w:val="24"/>
        </w:rPr>
      </w:pPr>
      <w:r w:rsidRPr="005A3565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5A3565" w:rsidRPr="000918EF" w:rsidRDefault="005A3565" w:rsidP="005A3565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5A3565" w:rsidRPr="00EA4CFE" w:rsidRDefault="005A3565" w:rsidP="005A3565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5A3565" w:rsidRPr="00341584" w:rsidRDefault="005A3565" w:rsidP="005A356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5A3565" w:rsidRPr="00341584" w:rsidRDefault="005A3565" w:rsidP="005A3565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5A3565" w:rsidRPr="00341584" w:rsidRDefault="005A3565" w:rsidP="005A3565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7D60E2" w:rsidRPr="007179B4" w:rsidRDefault="002B1F58" w:rsidP="002B1F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B333F" w:rsidRPr="00EA4CFE">
        <w:rPr>
          <w:sz w:val="24"/>
          <w:szCs w:val="24"/>
        </w:rPr>
        <w:t>T</w:t>
      </w:r>
      <w:r>
        <w:rPr>
          <w:sz w:val="24"/>
          <w:szCs w:val="24"/>
        </w:rPr>
        <w:t xml:space="preserve">V </w:t>
      </w:r>
      <w:r w:rsidR="00AB333F" w:rsidRPr="00EA4CFE">
        <w:rPr>
          <w:sz w:val="24"/>
          <w:szCs w:val="24"/>
        </w:rPr>
        <w:t>bude dodávána denně od 5,00 do 24,00 hodin. Na základě písemné žádosti lze dobu dodávky změnit</w:t>
      </w:r>
      <w:r w:rsidR="007179B4">
        <w:rPr>
          <w:sz w:val="24"/>
          <w:szCs w:val="24"/>
        </w:rPr>
        <w:t xml:space="preserve"> </w:t>
      </w:r>
      <w:r w:rsidR="00AB333F" w:rsidRPr="00EA4CFE">
        <w:rPr>
          <w:sz w:val="24"/>
          <w:szCs w:val="24"/>
        </w:rPr>
        <w:t xml:space="preserve"> mimo období  od 1.6. do 31.8.</w:t>
      </w:r>
      <w:r w:rsidR="00E13936">
        <w:rPr>
          <w:sz w:val="24"/>
          <w:szCs w:val="24"/>
        </w:rPr>
        <w:t xml:space="preserve"> </w:t>
      </w:r>
      <w:r w:rsidR="00EE0570">
        <w:rPr>
          <w:sz w:val="24"/>
          <w:szCs w:val="24"/>
        </w:rPr>
        <w:t>Množství tepelné energie pro přípravu teplé vody bude stanoveno za spotřeby mimo otopné období</w:t>
      </w:r>
      <w:r w:rsidR="00201F48">
        <w:rPr>
          <w:sz w:val="24"/>
          <w:szCs w:val="24"/>
        </w:rPr>
        <w:t>.</w:t>
      </w:r>
    </w:p>
    <w:p w:rsidR="00745958" w:rsidRDefault="00745958" w:rsidP="005A3565">
      <w:pPr>
        <w:jc w:val="center"/>
        <w:rPr>
          <w:b/>
          <w:sz w:val="24"/>
          <w:szCs w:val="24"/>
        </w:rPr>
      </w:pPr>
    </w:p>
    <w:p w:rsidR="00AB333F" w:rsidRPr="005A3565" w:rsidRDefault="00AB333F" w:rsidP="005A3565">
      <w:pPr>
        <w:jc w:val="center"/>
        <w:rPr>
          <w:b/>
          <w:sz w:val="24"/>
          <w:szCs w:val="24"/>
        </w:rPr>
      </w:pPr>
      <w:r w:rsidRPr="005A3565">
        <w:rPr>
          <w:b/>
          <w:sz w:val="24"/>
          <w:szCs w:val="24"/>
        </w:rPr>
        <w:t>Článek IV</w:t>
      </w:r>
    </w:p>
    <w:p w:rsidR="00AB333F" w:rsidRPr="005A3565" w:rsidRDefault="00AB333F" w:rsidP="005A3565">
      <w:pPr>
        <w:jc w:val="center"/>
        <w:rPr>
          <w:b/>
          <w:sz w:val="24"/>
          <w:szCs w:val="24"/>
        </w:rPr>
      </w:pPr>
      <w:r w:rsidRPr="005A3565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4. Dodavatel je povinen dodávku tepelné energie měřit, vyhodnocovat a účtovat podle </w:t>
      </w:r>
      <w:r w:rsidRPr="00EA4CFE">
        <w:rPr>
          <w:sz w:val="24"/>
          <w:szCs w:val="24"/>
        </w:rPr>
        <w:lastRenderedPageBreak/>
        <w:t>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E1393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13936">
        <w:rPr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</w:t>
      </w:r>
      <w:r w:rsidRPr="00E13936">
        <w:rPr>
          <w:sz w:val="24"/>
          <w:szCs w:val="24"/>
        </w:rPr>
        <w:t xml:space="preserve">následujícího měsíce.  </w:t>
      </w: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7179B4" w:rsidRPr="00EA4CFE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E13936" w:rsidRDefault="00E13936" w:rsidP="00AB333F">
      <w:pPr>
        <w:jc w:val="center"/>
        <w:rPr>
          <w:b/>
          <w:bCs/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AB333F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</w:t>
      </w:r>
      <w:r w:rsidR="00E13936">
        <w:rPr>
          <w:sz w:val="24"/>
          <w:szCs w:val="24"/>
        </w:rPr>
        <w:t>sání částky na účet dodavatele.</w:t>
      </w:r>
    </w:p>
    <w:p w:rsidR="00E13936" w:rsidRDefault="00E13936" w:rsidP="00AB333F">
      <w:pPr>
        <w:jc w:val="center"/>
        <w:rPr>
          <w:b/>
          <w:bCs/>
          <w:sz w:val="24"/>
          <w:szCs w:val="24"/>
        </w:rPr>
      </w:pP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t xml:space="preserve">7. V případě, že tato smlouva bude smluvními stranami uzavřena až </w:t>
      </w:r>
      <w:r w:rsidRPr="00201F48">
        <w:rPr>
          <w:sz w:val="24"/>
          <w:szCs w:val="24"/>
        </w:rPr>
        <w:t>po 1.1.2013</w:t>
      </w:r>
      <w:r w:rsidRPr="007179B4">
        <w:rPr>
          <w:b/>
          <w:sz w:val="24"/>
          <w:szCs w:val="24"/>
        </w:rPr>
        <w:t xml:space="preserve">,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F12562" w:rsidRDefault="00F12562" w:rsidP="007179B4">
      <w:pPr>
        <w:widowControl w:val="0"/>
        <w:autoSpaceDE w:val="0"/>
        <w:spacing w:before="120" w:after="120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VIII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E13936">
        <w:rPr>
          <w:sz w:val="24"/>
          <w:szCs w:val="24"/>
        </w:rPr>
        <w:t>3</w:t>
      </w:r>
      <w:r>
        <w:rPr>
          <w:sz w:val="24"/>
          <w:szCs w:val="24"/>
        </w:rPr>
        <w:t>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861E68" w:rsidRDefault="00861E68" w:rsidP="00861E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2B3AE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7BE5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861E68" w:rsidRDefault="00861E68" w:rsidP="00861E68">
      <w:pPr>
        <w:rPr>
          <w:sz w:val="24"/>
          <w:szCs w:val="24"/>
        </w:rPr>
      </w:pPr>
    </w:p>
    <w:p w:rsidR="00861E68" w:rsidRPr="002B21EB" w:rsidRDefault="00861E68" w:rsidP="00861E68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7BE5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1E68" w:rsidRDefault="00861E68" w:rsidP="00861E68">
      <w:pPr>
        <w:rPr>
          <w:b/>
          <w:sz w:val="24"/>
          <w:szCs w:val="24"/>
        </w:rPr>
      </w:pPr>
    </w:p>
    <w:p w:rsidR="003658A8" w:rsidRPr="002D42E3" w:rsidRDefault="003658A8" w:rsidP="003658A8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 xml:space="preserve">…………………………….. </w:t>
      </w:r>
    </w:p>
    <w:p w:rsidR="002B3AEA" w:rsidRDefault="002B3AEA" w:rsidP="001E5FA5">
      <w:pPr>
        <w:spacing w:before="120" w:after="120"/>
        <w:jc w:val="center"/>
        <w:rPr>
          <w:b/>
          <w:bCs/>
          <w:sz w:val="24"/>
          <w:szCs w:val="24"/>
        </w:rPr>
      </w:pPr>
    </w:p>
    <w:p w:rsidR="00AB333F" w:rsidRPr="00AA3794" w:rsidRDefault="00AB333F" w:rsidP="001E5FA5">
      <w:pPr>
        <w:spacing w:before="120" w:after="120"/>
        <w:jc w:val="center"/>
        <w:rPr>
          <w:b/>
          <w:bCs/>
          <w:sz w:val="24"/>
          <w:szCs w:val="24"/>
        </w:rPr>
      </w:pPr>
      <w:r w:rsidRPr="00AA3794">
        <w:rPr>
          <w:b/>
          <w:bCs/>
          <w:sz w:val="24"/>
          <w:szCs w:val="24"/>
        </w:rPr>
        <w:lastRenderedPageBreak/>
        <w:t>Příloha č. 1 ke smlouvě o dodávce tepelné energie č</w:t>
      </w:r>
      <w:r w:rsidR="000F0D0A" w:rsidRPr="00AA3794">
        <w:rPr>
          <w:b/>
          <w:bCs/>
          <w:sz w:val="24"/>
          <w:szCs w:val="24"/>
        </w:rPr>
        <w:t xml:space="preserve">. </w:t>
      </w:r>
      <w:r w:rsidR="003658A8">
        <w:rPr>
          <w:b/>
          <w:bCs/>
          <w:sz w:val="24"/>
          <w:szCs w:val="24"/>
        </w:rPr>
        <w:t>7</w:t>
      </w:r>
      <w:r w:rsidR="00D62358">
        <w:rPr>
          <w:b/>
          <w:bCs/>
          <w:sz w:val="24"/>
          <w:szCs w:val="24"/>
        </w:rPr>
        <w:t>7</w:t>
      </w:r>
      <w:r w:rsidR="00DA4D2D" w:rsidRPr="00AA3794">
        <w:rPr>
          <w:b/>
          <w:bCs/>
          <w:sz w:val="24"/>
          <w:szCs w:val="24"/>
        </w:rPr>
        <w:t>/</w:t>
      </w:r>
      <w:r w:rsidRPr="00AA3794">
        <w:rPr>
          <w:b/>
          <w:bCs/>
          <w:sz w:val="24"/>
          <w:szCs w:val="24"/>
        </w:rPr>
        <w:t>2013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B23E1F" w:rsidRDefault="00B23E1F" w:rsidP="00B23E1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D62358" w:rsidRPr="006E2720" w:rsidRDefault="00D62358" w:rsidP="00D62358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B23E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2720">
        <w:rPr>
          <w:b/>
          <w:sz w:val="24"/>
          <w:szCs w:val="24"/>
        </w:rPr>
        <w:t>Společenství vlastníků Bruntál 750</w:t>
      </w:r>
    </w:p>
    <w:p w:rsidR="00D62358" w:rsidRDefault="00D62358" w:rsidP="00D62358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 Pionýrská 24, č.p. 750, PSČ 792 01</w:t>
      </w:r>
    </w:p>
    <w:p w:rsidR="00D62358" w:rsidRDefault="00D62358" w:rsidP="00D62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62358" w:rsidRPr="00EB789A" w:rsidRDefault="00D62358" w:rsidP="00D62358">
      <w:pPr>
        <w:rPr>
          <w:sz w:val="24"/>
          <w:szCs w:val="24"/>
        </w:rPr>
      </w:pPr>
    </w:p>
    <w:p w:rsidR="00D62358" w:rsidRPr="004C010C" w:rsidRDefault="00D62358" w:rsidP="00D62358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24</w:t>
      </w:r>
      <w:r w:rsidRPr="004C010C">
        <w:rPr>
          <w:b/>
          <w:sz w:val="24"/>
          <w:szCs w:val="24"/>
        </w:rPr>
        <w:t>, Bruntál</w:t>
      </w:r>
    </w:p>
    <w:p w:rsidR="006D3CEC" w:rsidRDefault="006D3CEC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4B79DB" w:rsidRDefault="004B79DB" w:rsidP="004B79D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4B79DB" w:rsidRDefault="004B79DB" w:rsidP="004B79DB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574843" w:rsidRDefault="00574843" w:rsidP="00574843">
      <w:pPr>
        <w:rPr>
          <w:sz w:val="24"/>
          <w:szCs w:val="24"/>
        </w:rPr>
      </w:pPr>
      <w:r>
        <w:rPr>
          <w:sz w:val="24"/>
          <w:szCs w:val="24"/>
        </w:rPr>
        <w:t>Adresa pro zaslání faktury</w:t>
      </w:r>
      <w:r w:rsidRPr="001B0F3B">
        <w:rPr>
          <w:sz w:val="24"/>
          <w:szCs w:val="24"/>
        </w:rPr>
        <w:t>:</w:t>
      </w:r>
      <w:r>
        <w:rPr>
          <w:sz w:val="24"/>
          <w:szCs w:val="24"/>
        </w:rPr>
        <w:t xml:space="preserve"> CHAER s.r.o., </w:t>
      </w:r>
      <w:r w:rsidRPr="00A83056">
        <w:rPr>
          <w:sz w:val="24"/>
          <w:szCs w:val="24"/>
        </w:rPr>
        <w:t>Bruntál, Partyzánská 1461/49, PSČ 792 01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</w:t>
      </w:r>
      <w:r w:rsidR="004C7E0F">
        <w:rPr>
          <w:sz w:val="24"/>
          <w:szCs w:val="24"/>
        </w:rPr>
        <w:t xml:space="preserve"> </w:t>
      </w:r>
      <w:r w:rsidR="00BD489D">
        <w:rPr>
          <w:sz w:val="24"/>
          <w:szCs w:val="24"/>
        </w:rPr>
        <w:t>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4B79DB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 xml:space="preserve">z očekávaného </w:t>
      </w:r>
      <w:r w:rsidRPr="004B79DB">
        <w:rPr>
          <w:sz w:val="24"/>
          <w:szCs w:val="24"/>
        </w:rPr>
        <w:t>ročního plnění za dodávku tepelné energie ve formě měsíčních záloh .</w:t>
      </w:r>
    </w:p>
    <w:p w:rsidR="00AB333F" w:rsidRPr="004B79DB" w:rsidRDefault="00AB333F" w:rsidP="00AB333F">
      <w:pPr>
        <w:spacing w:before="120" w:after="120"/>
        <w:jc w:val="both"/>
        <w:rPr>
          <w:sz w:val="24"/>
          <w:szCs w:val="24"/>
        </w:rPr>
      </w:pPr>
      <w:r w:rsidRPr="004B79DB">
        <w:rPr>
          <w:sz w:val="24"/>
          <w:szCs w:val="24"/>
        </w:rPr>
        <w:t xml:space="preserve">2. Celková roční zálohová platba pro rok 2013 se stanovuje ve výši </w:t>
      </w:r>
      <w:r w:rsidR="002B3AEA">
        <w:rPr>
          <w:sz w:val="24"/>
          <w:szCs w:val="24"/>
        </w:rPr>
        <w:t>x</w:t>
      </w:r>
      <w:r w:rsidRPr="004B79DB">
        <w:rPr>
          <w:sz w:val="24"/>
          <w:szCs w:val="24"/>
        </w:rPr>
        <w:t xml:space="preserve"> Kč (včetně 1</w:t>
      </w:r>
      <w:r w:rsidR="004B79DB" w:rsidRPr="004B79DB">
        <w:rPr>
          <w:sz w:val="24"/>
          <w:szCs w:val="24"/>
        </w:rPr>
        <w:t>5</w:t>
      </w:r>
      <w:r w:rsidRPr="004B79DB">
        <w:rPr>
          <w:sz w:val="24"/>
          <w:szCs w:val="24"/>
        </w:rPr>
        <w:t xml:space="preserve"> % DPH). Jednotlivé měsíční zálohy v částce </w:t>
      </w:r>
      <w:r w:rsidR="002B3AEA">
        <w:rPr>
          <w:b/>
          <w:sz w:val="24"/>
          <w:szCs w:val="24"/>
        </w:rPr>
        <w:t>x</w:t>
      </w:r>
      <w:r w:rsidRPr="004B79DB">
        <w:rPr>
          <w:b/>
          <w:sz w:val="24"/>
          <w:szCs w:val="24"/>
        </w:rPr>
        <w:t xml:space="preserve"> Kč</w:t>
      </w:r>
      <w:r w:rsidRPr="004B79DB">
        <w:rPr>
          <w:sz w:val="24"/>
          <w:szCs w:val="24"/>
        </w:rPr>
        <w:t xml:space="preserve"> (včetně 1</w:t>
      </w:r>
      <w:r w:rsidR="004B79DB" w:rsidRPr="004B79DB">
        <w:rPr>
          <w:sz w:val="24"/>
          <w:szCs w:val="24"/>
        </w:rPr>
        <w:t>5</w:t>
      </w:r>
      <w:r w:rsidRPr="004B79DB">
        <w:rPr>
          <w:sz w:val="24"/>
          <w:szCs w:val="24"/>
        </w:rPr>
        <w:t xml:space="preserve"> % DPH) se odběratel zavazuje hradit vždy k 20. dni příslušného měsíce na výše uvedený účet dodavatele, variabilní symbol: číslo smlouvy. Úhradou se rozumí připsání částky na účet dodavatele.</w:t>
      </w:r>
    </w:p>
    <w:p w:rsidR="000B02B3" w:rsidRPr="004B79DB" w:rsidRDefault="00AB333F" w:rsidP="003658A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4B79DB">
        <w:rPr>
          <w:sz w:val="24"/>
          <w:szCs w:val="24"/>
        </w:rPr>
        <w:t>3. Dodavatel se zavazuje provést konečné vyúčtování zálohových</w:t>
      </w:r>
      <w:r w:rsidR="00363218" w:rsidRPr="004B79DB">
        <w:rPr>
          <w:sz w:val="24"/>
          <w:szCs w:val="24"/>
        </w:rPr>
        <w:t xml:space="preserve"> faktur v rámci roční fakturace</w:t>
      </w:r>
    </w:p>
    <w:p w:rsidR="00D62358" w:rsidRPr="004B79DB" w:rsidRDefault="00D62358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4B79DB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4B79DB">
        <w:rPr>
          <w:b/>
          <w:sz w:val="24"/>
          <w:szCs w:val="24"/>
        </w:rPr>
        <w:lastRenderedPageBreak/>
        <w:t>III.</w:t>
      </w:r>
    </w:p>
    <w:p w:rsidR="00AB333F" w:rsidRPr="004B79DB" w:rsidRDefault="00AB333F" w:rsidP="00AB333F">
      <w:pPr>
        <w:jc w:val="center"/>
        <w:rPr>
          <w:b/>
          <w:sz w:val="24"/>
          <w:szCs w:val="24"/>
        </w:rPr>
      </w:pPr>
      <w:r w:rsidRPr="004B79DB">
        <w:rPr>
          <w:b/>
          <w:sz w:val="24"/>
          <w:szCs w:val="24"/>
        </w:rPr>
        <w:t>Cenová doložka</w:t>
      </w:r>
    </w:p>
    <w:p w:rsidR="00AB333F" w:rsidRPr="004B79D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4B79DB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4B79D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4B79DB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4B79D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4B79DB">
        <w:rPr>
          <w:sz w:val="24"/>
          <w:szCs w:val="24"/>
        </w:rPr>
        <w:t xml:space="preserve">3.  Předběžná cena je stanovena za předpokladu celkové dodávky  </w:t>
      </w:r>
      <w:r w:rsidR="002B3AEA">
        <w:rPr>
          <w:sz w:val="24"/>
          <w:szCs w:val="24"/>
        </w:rPr>
        <w:t>x</w:t>
      </w:r>
      <w:r w:rsidRPr="004B79DB">
        <w:rPr>
          <w:sz w:val="24"/>
          <w:szCs w:val="24"/>
        </w:rPr>
        <w:t xml:space="preserve"> GJ za rok 2013 všem odběratelům. V případě, že po skončení roku 2013  bude skutečné množství dodávek tepla  v GJ odchylné, bude výsledná cena úměrně tomu změněna.</w:t>
      </w:r>
    </w:p>
    <w:p w:rsidR="00AB333F" w:rsidRPr="004B79D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4B79DB">
        <w:rPr>
          <w:sz w:val="24"/>
          <w:szCs w:val="24"/>
        </w:rPr>
        <w:t>4. Vyrovnání předběžné ceny  na cenu výslednou k 31.12.2013, vypočtenou podle výše uvedených</w:t>
      </w:r>
      <w:r w:rsidRPr="004B79DB">
        <w:rPr>
          <w:color w:val="FF0000"/>
          <w:sz w:val="24"/>
          <w:szCs w:val="24"/>
        </w:rPr>
        <w:t xml:space="preserve"> </w:t>
      </w:r>
      <w:r w:rsidRPr="004B79DB">
        <w:rPr>
          <w:sz w:val="24"/>
          <w:szCs w:val="24"/>
        </w:rPr>
        <w:t>zásad bude provedeno do 28.2.2014, při konečné fakturaci.</w:t>
      </w:r>
    </w:p>
    <w:p w:rsidR="00AB333F" w:rsidRPr="004B79DB" w:rsidRDefault="00AB333F" w:rsidP="00AB333F">
      <w:pPr>
        <w:jc w:val="center"/>
        <w:rPr>
          <w:b/>
          <w:sz w:val="24"/>
          <w:szCs w:val="24"/>
        </w:rPr>
      </w:pPr>
    </w:p>
    <w:p w:rsidR="00AB333F" w:rsidRPr="004B79DB" w:rsidRDefault="00AB333F" w:rsidP="00AB333F">
      <w:pPr>
        <w:jc w:val="center"/>
        <w:rPr>
          <w:b/>
          <w:sz w:val="24"/>
          <w:szCs w:val="24"/>
        </w:rPr>
      </w:pPr>
      <w:r w:rsidRPr="004B79DB">
        <w:rPr>
          <w:b/>
          <w:sz w:val="24"/>
          <w:szCs w:val="24"/>
        </w:rPr>
        <w:t>IV.</w:t>
      </w:r>
    </w:p>
    <w:p w:rsidR="00AB333F" w:rsidRPr="004B79DB" w:rsidRDefault="00AB333F" w:rsidP="00AB333F">
      <w:pPr>
        <w:jc w:val="center"/>
        <w:rPr>
          <w:b/>
          <w:sz w:val="24"/>
          <w:szCs w:val="24"/>
        </w:rPr>
      </w:pPr>
      <w:r w:rsidRPr="004B79DB">
        <w:rPr>
          <w:b/>
          <w:sz w:val="24"/>
          <w:szCs w:val="24"/>
        </w:rPr>
        <w:t>Odběrový diagram</w:t>
      </w:r>
    </w:p>
    <w:p w:rsidR="00AB333F" w:rsidRDefault="00AB333F" w:rsidP="00FC0D22">
      <w:pPr>
        <w:pStyle w:val="WW-Zkladntextodsazen2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 w:rsidRPr="004B79DB">
        <w:rPr>
          <w:sz w:val="24"/>
          <w:szCs w:val="24"/>
        </w:rPr>
        <w:t>Celkový plánovaný odběr tepelné energie za kalendářní rok 2013, včetně časového</w:t>
      </w:r>
      <w:r>
        <w:rPr>
          <w:sz w:val="24"/>
          <w:szCs w:val="24"/>
        </w:rPr>
        <w:t xml:space="preserve">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61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0"/>
      </w:tblGrid>
      <w:tr w:rsidR="00FC0D22" w:rsidRPr="007A7BA4" w:rsidTr="00FC0D2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měsíc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GJ</w:t>
            </w:r>
          </w:p>
        </w:tc>
      </w:tr>
      <w:tr w:rsidR="00FC0D22" w:rsidRPr="007A7BA4" w:rsidTr="00FC0D2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leden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červenec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FC0D22" w:rsidRPr="007A7BA4" w:rsidTr="00FC0D2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únor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srpen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FC0D22" w:rsidRPr="007A7BA4" w:rsidTr="00FC0D2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březen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září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FC0D22" w:rsidRPr="007A7BA4" w:rsidTr="00FC0D2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duben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říjen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FC0D22" w:rsidRPr="007A7BA4" w:rsidTr="00FC0D2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květen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listopad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FC0D22" w:rsidRPr="007A7BA4" w:rsidTr="00FC0D2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červen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prosinec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FC0D22" w:rsidRPr="007A7BA4" w:rsidTr="00FC0D2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Celkem: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FC0D22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D22" w:rsidRPr="00FC0D22" w:rsidRDefault="00FC0D22" w:rsidP="00FC0D22">
            <w:pPr>
              <w:suppressAutoHyphens w:val="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:rsidR="001E5FA5" w:rsidRDefault="001E5FA5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861E68" w:rsidRDefault="00861E68" w:rsidP="00861E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2B3AE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8A8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861E68" w:rsidRDefault="00861E68" w:rsidP="00861E68">
      <w:pPr>
        <w:rPr>
          <w:sz w:val="24"/>
          <w:szCs w:val="24"/>
        </w:rPr>
      </w:pPr>
    </w:p>
    <w:p w:rsidR="00861E68" w:rsidRPr="002B21EB" w:rsidRDefault="00861E68" w:rsidP="00861E68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8A8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1E68" w:rsidRDefault="00861E68" w:rsidP="00861E68">
      <w:pPr>
        <w:rPr>
          <w:b/>
          <w:sz w:val="24"/>
          <w:szCs w:val="24"/>
        </w:rPr>
      </w:pPr>
    </w:p>
    <w:p w:rsidR="00861E68" w:rsidRDefault="00861E68" w:rsidP="00861E68">
      <w:pPr>
        <w:rPr>
          <w:b/>
          <w:sz w:val="24"/>
          <w:szCs w:val="24"/>
        </w:rPr>
      </w:pPr>
    </w:p>
    <w:p w:rsidR="003658A8" w:rsidRPr="002D42E3" w:rsidRDefault="003658A8" w:rsidP="003658A8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 xml:space="preserve">…………………………….. </w:t>
      </w:r>
    </w:p>
    <w:p w:rsidR="00D62358" w:rsidRDefault="00D62358" w:rsidP="001E5FA5">
      <w:pPr>
        <w:jc w:val="center"/>
        <w:rPr>
          <w:b/>
          <w:bCs/>
          <w:sz w:val="24"/>
          <w:szCs w:val="24"/>
        </w:rPr>
      </w:pPr>
    </w:p>
    <w:p w:rsidR="002B3AEA" w:rsidRDefault="002B3AEA" w:rsidP="001E5FA5">
      <w:pPr>
        <w:jc w:val="center"/>
        <w:rPr>
          <w:b/>
          <w:bCs/>
          <w:sz w:val="24"/>
          <w:szCs w:val="24"/>
        </w:rPr>
      </w:pPr>
    </w:p>
    <w:p w:rsidR="002B3AEA" w:rsidRDefault="002B3AEA" w:rsidP="001E5FA5">
      <w:pPr>
        <w:jc w:val="center"/>
        <w:rPr>
          <w:b/>
          <w:bCs/>
          <w:sz w:val="24"/>
          <w:szCs w:val="24"/>
        </w:rPr>
      </w:pPr>
    </w:p>
    <w:p w:rsidR="00AB333F" w:rsidRDefault="00AB333F" w:rsidP="001E5FA5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3658A8">
        <w:rPr>
          <w:b/>
          <w:bCs/>
          <w:sz w:val="24"/>
          <w:szCs w:val="24"/>
        </w:rPr>
        <w:t>7</w:t>
      </w:r>
      <w:r w:rsidR="00D62358">
        <w:rPr>
          <w:b/>
          <w:bCs/>
          <w:sz w:val="24"/>
          <w:szCs w:val="24"/>
        </w:rPr>
        <w:t>7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D43746" w:rsidRDefault="00AB333F" w:rsidP="00D43746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</w:t>
      </w:r>
      <w:r w:rsidR="00D43746">
        <w:rPr>
          <w:b/>
          <w:bCs/>
          <w:sz w:val="28"/>
          <w:szCs w:val="28"/>
        </w:rPr>
        <w:t>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B23E1F" w:rsidRDefault="00B23E1F" w:rsidP="00B23E1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D62358" w:rsidRPr="006E2720" w:rsidRDefault="00D62358" w:rsidP="00D62358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B23E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2720">
        <w:rPr>
          <w:b/>
          <w:sz w:val="24"/>
          <w:szCs w:val="24"/>
        </w:rPr>
        <w:t>Společenství vlastníků Bruntál 750</w:t>
      </w:r>
    </w:p>
    <w:p w:rsidR="00D62358" w:rsidRDefault="00D62358" w:rsidP="00D62358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 Pionýrská 24, č.p. 750, PSČ 792 01</w:t>
      </w:r>
    </w:p>
    <w:p w:rsidR="00D62358" w:rsidRDefault="00D62358" w:rsidP="00D62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62358" w:rsidRPr="00EB789A" w:rsidRDefault="00D62358" w:rsidP="00D62358">
      <w:pPr>
        <w:rPr>
          <w:sz w:val="24"/>
          <w:szCs w:val="24"/>
        </w:rPr>
      </w:pPr>
    </w:p>
    <w:p w:rsidR="00D62358" w:rsidRPr="004C010C" w:rsidRDefault="00D62358" w:rsidP="00D62358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24</w:t>
      </w:r>
      <w:r w:rsidRPr="004C010C">
        <w:rPr>
          <w:b/>
          <w:sz w:val="24"/>
          <w:szCs w:val="24"/>
        </w:rPr>
        <w:t>,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FC0D22" w:rsidRPr="008E5201" w:rsidRDefault="00FC0D22" w:rsidP="00FC0D22">
      <w:pPr>
        <w:widowControl w:val="0"/>
        <w:autoSpaceDE w:val="0"/>
        <w:ind w:left="357" w:hanging="357"/>
        <w:rPr>
          <w:sz w:val="24"/>
          <w:szCs w:val="24"/>
        </w:rPr>
      </w:pPr>
      <w:r w:rsidRPr="008E5201">
        <w:rPr>
          <w:sz w:val="24"/>
          <w:szCs w:val="24"/>
        </w:rPr>
        <w:t>místo předání:</w:t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  <w:t xml:space="preserve"> </w:t>
      </w:r>
    </w:p>
    <w:p w:rsidR="00FC0D22" w:rsidRPr="008E5201" w:rsidRDefault="00FC0D22" w:rsidP="00FC0D22">
      <w:pPr>
        <w:widowControl w:val="0"/>
        <w:autoSpaceDE w:val="0"/>
        <w:ind w:left="357"/>
        <w:rPr>
          <w:sz w:val="24"/>
          <w:szCs w:val="24"/>
        </w:rPr>
      </w:pPr>
      <w:r w:rsidRPr="008E5201">
        <w:rPr>
          <w:sz w:val="24"/>
          <w:szCs w:val="24"/>
        </w:rPr>
        <w:t xml:space="preserve">ÚT </w:t>
      </w:r>
      <w:r w:rsidRPr="008E5201">
        <w:rPr>
          <w:sz w:val="24"/>
          <w:szCs w:val="24"/>
        </w:rPr>
        <w:tab/>
        <w:t xml:space="preserve">- </w:t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  <w:t xml:space="preserve"> </w:t>
      </w:r>
    </w:p>
    <w:p w:rsidR="00FC0D22" w:rsidRPr="008E5201" w:rsidRDefault="00FC0D22" w:rsidP="00FC0D22">
      <w:pPr>
        <w:widowControl w:val="0"/>
        <w:autoSpaceDE w:val="0"/>
        <w:ind w:left="357"/>
        <w:rPr>
          <w:sz w:val="24"/>
          <w:szCs w:val="24"/>
        </w:rPr>
      </w:pPr>
      <w:r w:rsidRPr="008E5201">
        <w:rPr>
          <w:sz w:val="24"/>
          <w:szCs w:val="24"/>
        </w:rPr>
        <w:t>TV</w:t>
      </w:r>
      <w:r>
        <w:rPr>
          <w:sz w:val="24"/>
          <w:szCs w:val="24"/>
        </w:rPr>
        <w:tab/>
      </w:r>
      <w:r w:rsidRPr="008E5201">
        <w:rPr>
          <w:sz w:val="24"/>
          <w:szCs w:val="24"/>
        </w:rPr>
        <w:tab/>
        <w:t xml:space="preserve">- </w:t>
      </w:r>
      <w:r w:rsidRPr="008E5201">
        <w:rPr>
          <w:sz w:val="24"/>
          <w:szCs w:val="24"/>
        </w:rPr>
        <w:tab/>
      </w:r>
    </w:p>
    <w:p w:rsidR="00FC0D22" w:rsidRPr="008E5201" w:rsidRDefault="00FC0D22" w:rsidP="00FC0D22">
      <w:pPr>
        <w:rPr>
          <w:sz w:val="24"/>
          <w:szCs w:val="24"/>
        </w:rPr>
      </w:pPr>
      <w:r w:rsidRPr="008E5201">
        <w:rPr>
          <w:sz w:val="24"/>
          <w:szCs w:val="24"/>
        </w:rPr>
        <w:t xml:space="preserve">úroveň předání: </w:t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</w:p>
    <w:p w:rsidR="00FC0D22" w:rsidRPr="008E5201" w:rsidRDefault="00FC0D22" w:rsidP="00FC0D22">
      <w:pPr>
        <w:widowControl w:val="0"/>
        <w:autoSpaceDE w:val="0"/>
        <w:rPr>
          <w:sz w:val="24"/>
          <w:szCs w:val="24"/>
        </w:rPr>
      </w:pPr>
      <w:r w:rsidRPr="008E5201">
        <w:rPr>
          <w:sz w:val="24"/>
          <w:szCs w:val="24"/>
        </w:rPr>
        <w:t>místo měření:</w:t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</w:p>
    <w:p w:rsidR="00FC0D22" w:rsidRPr="008E5201" w:rsidRDefault="00FC0D22" w:rsidP="00FC0D22">
      <w:pPr>
        <w:rPr>
          <w:sz w:val="24"/>
          <w:szCs w:val="24"/>
        </w:rPr>
      </w:pPr>
      <w:r w:rsidRPr="008E5201">
        <w:rPr>
          <w:sz w:val="24"/>
          <w:szCs w:val="24"/>
        </w:rPr>
        <w:t>Teplonosné médium:</w:t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</w:p>
    <w:p w:rsidR="00FC0D22" w:rsidRPr="008E5201" w:rsidRDefault="00FC0D22" w:rsidP="00FC0D22">
      <w:pPr>
        <w:rPr>
          <w:sz w:val="24"/>
          <w:szCs w:val="24"/>
        </w:rPr>
      </w:pPr>
      <w:r w:rsidRPr="008E5201">
        <w:rPr>
          <w:sz w:val="24"/>
          <w:szCs w:val="24"/>
        </w:rPr>
        <w:t>Tlak:</w:t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</w:p>
    <w:p w:rsidR="00FC0D22" w:rsidRPr="008E5201" w:rsidRDefault="00FC0D22" w:rsidP="00FC0D22">
      <w:pPr>
        <w:rPr>
          <w:sz w:val="24"/>
          <w:szCs w:val="24"/>
        </w:rPr>
      </w:pPr>
      <w:r w:rsidRPr="008E5201">
        <w:rPr>
          <w:sz w:val="24"/>
          <w:szCs w:val="24"/>
        </w:rPr>
        <w:t>Výkon:</w:t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  <w:r w:rsidRPr="008E5201">
        <w:rPr>
          <w:sz w:val="24"/>
          <w:szCs w:val="24"/>
        </w:rPr>
        <w:tab/>
      </w:r>
    </w:p>
    <w:p w:rsidR="00DC0B86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F2013" w:rsidRDefault="0064115A" w:rsidP="00AB333F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2B3AEA" w:rsidRDefault="002B3AEA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861E68" w:rsidRDefault="00861E68" w:rsidP="00861E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2B3AE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8A8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861E68" w:rsidRDefault="00861E68" w:rsidP="00861E68">
      <w:pPr>
        <w:rPr>
          <w:sz w:val="24"/>
          <w:szCs w:val="24"/>
        </w:rPr>
      </w:pPr>
    </w:p>
    <w:p w:rsidR="00861E68" w:rsidRPr="002B21EB" w:rsidRDefault="00861E68" w:rsidP="00861E68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8A8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1E68" w:rsidRDefault="00861E68" w:rsidP="00861E68">
      <w:pPr>
        <w:rPr>
          <w:b/>
          <w:sz w:val="24"/>
          <w:szCs w:val="24"/>
        </w:rPr>
      </w:pPr>
    </w:p>
    <w:p w:rsidR="001D35A4" w:rsidRDefault="001D35A4" w:rsidP="00861E68">
      <w:pPr>
        <w:rPr>
          <w:b/>
          <w:sz w:val="24"/>
          <w:szCs w:val="24"/>
        </w:rPr>
      </w:pPr>
    </w:p>
    <w:p w:rsidR="003658A8" w:rsidRPr="002D42E3" w:rsidRDefault="003658A8" w:rsidP="003658A8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 xml:space="preserve">…………………………….. </w:t>
      </w:r>
    </w:p>
    <w:p w:rsidR="002B3AEA" w:rsidRDefault="002B3AEA" w:rsidP="003658A8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2B3AEA" w:rsidRDefault="002B3AEA" w:rsidP="003658A8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1E5FA5" w:rsidRPr="003658A8" w:rsidRDefault="003658A8" w:rsidP="003658A8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  <w:r w:rsidRPr="002D42E3">
        <w:rPr>
          <w:sz w:val="24"/>
          <w:szCs w:val="24"/>
        </w:rPr>
        <w:t xml:space="preserve">                                                                                 </w:t>
      </w:r>
    </w:p>
    <w:p w:rsidR="00634610" w:rsidRDefault="00634610" w:rsidP="00D43746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</w:t>
      </w:r>
      <w:r w:rsidR="00E1393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ke smlouvě o dodávce tepelné energie č. </w:t>
      </w:r>
      <w:r w:rsidR="003658A8">
        <w:rPr>
          <w:b/>
          <w:sz w:val="24"/>
          <w:szCs w:val="24"/>
        </w:rPr>
        <w:t>7</w:t>
      </w:r>
      <w:r w:rsidR="00D6235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/2013</w:t>
      </w:r>
    </w:p>
    <w:p w:rsidR="00634610" w:rsidRDefault="00634610" w:rsidP="00D43746">
      <w:pPr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B23E1F" w:rsidRDefault="00B23E1F" w:rsidP="00B23E1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D62358" w:rsidRPr="006E2720" w:rsidRDefault="00D62358" w:rsidP="00D62358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B23E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2720">
        <w:rPr>
          <w:b/>
          <w:sz w:val="24"/>
          <w:szCs w:val="24"/>
        </w:rPr>
        <w:t>Společenství vlastníků Bruntál 750</w:t>
      </w:r>
    </w:p>
    <w:p w:rsidR="00D62358" w:rsidRDefault="00D62358" w:rsidP="00D62358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 Pionýrská 24, č.p. 750, PSČ 792 01</w:t>
      </w:r>
    </w:p>
    <w:p w:rsidR="00D62358" w:rsidRDefault="00D62358" w:rsidP="00D62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62358" w:rsidRPr="00EB789A" w:rsidRDefault="00D62358" w:rsidP="00D62358">
      <w:pPr>
        <w:rPr>
          <w:sz w:val="24"/>
          <w:szCs w:val="24"/>
        </w:rPr>
      </w:pPr>
    </w:p>
    <w:p w:rsidR="00D62358" w:rsidRPr="004C010C" w:rsidRDefault="00D62358" w:rsidP="00D62358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24</w:t>
      </w:r>
      <w:r w:rsidRPr="004C010C">
        <w:rPr>
          <w:b/>
          <w:sz w:val="24"/>
          <w:szCs w:val="24"/>
        </w:rPr>
        <w:t>, Bruntál</w:t>
      </w:r>
    </w:p>
    <w:p w:rsidR="000B02B3" w:rsidRDefault="000B02B3" w:rsidP="001E5FA5">
      <w:pPr>
        <w:rPr>
          <w:b/>
          <w:sz w:val="24"/>
          <w:szCs w:val="24"/>
        </w:rPr>
      </w:pP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D62358" w:rsidRDefault="000E61B2" w:rsidP="00FC0D22">
      <w:pPr>
        <w:suppressAutoHyphens w:val="0"/>
        <w:spacing w:line="48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2B3AE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8A8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B42227" w:rsidRDefault="00B42227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8A8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5E52" w:rsidRDefault="00725E52" w:rsidP="00254B3B">
      <w:pPr>
        <w:rPr>
          <w:b/>
          <w:sz w:val="24"/>
          <w:szCs w:val="24"/>
        </w:rPr>
      </w:pPr>
    </w:p>
    <w:p w:rsidR="003658A8" w:rsidRPr="002D42E3" w:rsidRDefault="003658A8" w:rsidP="003658A8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 xml:space="preserve">…………………………….. </w:t>
      </w:r>
      <w:bookmarkStart w:id="0" w:name="_GoBack"/>
      <w:bookmarkEnd w:id="0"/>
    </w:p>
    <w:sectPr w:rsidR="003658A8" w:rsidRPr="002D42E3" w:rsidSect="00B108F6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58" w:rsidRDefault="00D62358">
      <w:r>
        <w:separator/>
      </w:r>
    </w:p>
  </w:endnote>
  <w:endnote w:type="continuationSeparator" w:id="0">
    <w:p w:rsidR="00D62358" w:rsidRDefault="00D6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58" w:rsidRDefault="00D62358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2B3AEA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58" w:rsidRDefault="00D62358">
      <w:r>
        <w:separator/>
      </w:r>
    </w:p>
  </w:footnote>
  <w:footnote w:type="continuationSeparator" w:id="0">
    <w:p w:rsidR="00D62358" w:rsidRDefault="00D62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6F11FA"/>
    <w:multiLevelType w:val="hybridMultilevel"/>
    <w:tmpl w:val="0C9AB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3C70"/>
    <w:rsid w:val="00027E5F"/>
    <w:rsid w:val="000425CD"/>
    <w:rsid w:val="00057260"/>
    <w:rsid w:val="000856B3"/>
    <w:rsid w:val="000B02B3"/>
    <w:rsid w:val="000C5DD5"/>
    <w:rsid w:val="000E61B2"/>
    <w:rsid w:val="000F0D0A"/>
    <w:rsid w:val="00153E3F"/>
    <w:rsid w:val="00190709"/>
    <w:rsid w:val="001C16B7"/>
    <w:rsid w:val="001C1BB9"/>
    <w:rsid w:val="001C4D75"/>
    <w:rsid w:val="001D2E43"/>
    <w:rsid w:val="001D35A4"/>
    <w:rsid w:val="001E5FA5"/>
    <w:rsid w:val="00201F48"/>
    <w:rsid w:val="002223D9"/>
    <w:rsid w:val="00224FEC"/>
    <w:rsid w:val="00232F24"/>
    <w:rsid w:val="002371C6"/>
    <w:rsid w:val="002442A2"/>
    <w:rsid w:val="00254B3B"/>
    <w:rsid w:val="002672A2"/>
    <w:rsid w:val="00277BE5"/>
    <w:rsid w:val="00281BD6"/>
    <w:rsid w:val="002B1F58"/>
    <w:rsid w:val="002B3AEA"/>
    <w:rsid w:val="002C6D95"/>
    <w:rsid w:val="002E7C01"/>
    <w:rsid w:val="002F0B1C"/>
    <w:rsid w:val="0032794E"/>
    <w:rsid w:val="00355F00"/>
    <w:rsid w:val="00363218"/>
    <w:rsid w:val="003658A8"/>
    <w:rsid w:val="00375CC9"/>
    <w:rsid w:val="00383541"/>
    <w:rsid w:val="00387311"/>
    <w:rsid w:val="003C490B"/>
    <w:rsid w:val="003F370D"/>
    <w:rsid w:val="00416D0D"/>
    <w:rsid w:val="004365A1"/>
    <w:rsid w:val="00475A2A"/>
    <w:rsid w:val="0048153E"/>
    <w:rsid w:val="00494F13"/>
    <w:rsid w:val="004B79DB"/>
    <w:rsid w:val="004C7E0F"/>
    <w:rsid w:val="004D03D0"/>
    <w:rsid w:val="004D2EFC"/>
    <w:rsid w:val="004E1BE5"/>
    <w:rsid w:val="0052594E"/>
    <w:rsid w:val="00543959"/>
    <w:rsid w:val="00557191"/>
    <w:rsid w:val="00557F39"/>
    <w:rsid w:val="00574843"/>
    <w:rsid w:val="0058107B"/>
    <w:rsid w:val="0058331C"/>
    <w:rsid w:val="005A3565"/>
    <w:rsid w:val="005A3C44"/>
    <w:rsid w:val="005B742F"/>
    <w:rsid w:val="005D1C77"/>
    <w:rsid w:val="005F5B49"/>
    <w:rsid w:val="00634610"/>
    <w:rsid w:val="0064115A"/>
    <w:rsid w:val="00650550"/>
    <w:rsid w:val="006A3A2F"/>
    <w:rsid w:val="006B1845"/>
    <w:rsid w:val="006D3CEC"/>
    <w:rsid w:val="006D60D3"/>
    <w:rsid w:val="007179B4"/>
    <w:rsid w:val="00725E52"/>
    <w:rsid w:val="00730D7C"/>
    <w:rsid w:val="00733D60"/>
    <w:rsid w:val="00740DC6"/>
    <w:rsid w:val="00745958"/>
    <w:rsid w:val="007702C2"/>
    <w:rsid w:val="00774690"/>
    <w:rsid w:val="007B70A7"/>
    <w:rsid w:val="007C12E5"/>
    <w:rsid w:val="007D60E2"/>
    <w:rsid w:val="007E309A"/>
    <w:rsid w:val="00805CBD"/>
    <w:rsid w:val="008074A5"/>
    <w:rsid w:val="00861E68"/>
    <w:rsid w:val="0086250C"/>
    <w:rsid w:val="008647A0"/>
    <w:rsid w:val="00874C77"/>
    <w:rsid w:val="008A60F2"/>
    <w:rsid w:val="008B0990"/>
    <w:rsid w:val="008B5DD3"/>
    <w:rsid w:val="008C2406"/>
    <w:rsid w:val="008D4227"/>
    <w:rsid w:val="008E1D76"/>
    <w:rsid w:val="00903218"/>
    <w:rsid w:val="00914AD2"/>
    <w:rsid w:val="009360CC"/>
    <w:rsid w:val="00936F3F"/>
    <w:rsid w:val="00937340"/>
    <w:rsid w:val="00953932"/>
    <w:rsid w:val="00992CA6"/>
    <w:rsid w:val="009A2B1E"/>
    <w:rsid w:val="009A52F8"/>
    <w:rsid w:val="009B359E"/>
    <w:rsid w:val="009D2784"/>
    <w:rsid w:val="009D7DDA"/>
    <w:rsid w:val="009E4E33"/>
    <w:rsid w:val="00A03BD6"/>
    <w:rsid w:val="00A237C2"/>
    <w:rsid w:val="00A771D3"/>
    <w:rsid w:val="00A774A5"/>
    <w:rsid w:val="00A835F8"/>
    <w:rsid w:val="00AA2AEB"/>
    <w:rsid w:val="00AA3794"/>
    <w:rsid w:val="00AA3AFA"/>
    <w:rsid w:val="00AB333F"/>
    <w:rsid w:val="00AB36B4"/>
    <w:rsid w:val="00AE6C16"/>
    <w:rsid w:val="00AF2013"/>
    <w:rsid w:val="00B108F6"/>
    <w:rsid w:val="00B147A5"/>
    <w:rsid w:val="00B2039A"/>
    <w:rsid w:val="00B227E7"/>
    <w:rsid w:val="00B23E1F"/>
    <w:rsid w:val="00B25EB1"/>
    <w:rsid w:val="00B42227"/>
    <w:rsid w:val="00B537FF"/>
    <w:rsid w:val="00B604C6"/>
    <w:rsid w:val="00B81179"/>
    <w:rsid w:val="00BB20E3"/>
    <w:rsid w:val="00BD489D"/>
    <w:rsid w:val="00C32AD5"/>
    <w:rsid w:val="00C32CA4"/>
    <w:rsid w:val="00C56257"/>
    <w:rsid w:val="00C83D6B"/>
    <w:rsid w:val="00CB78CC"/>
    <w:rsid w:val="00CC6387"/>
    <w:rsid w:val="00CD1BD4"/>
    <w:rsid w:val="00CE5FCD"/>
    <w:rsid w:val="00D206D6"/>
    <w:rsid w:val="00D4161F"/>
    <w:rsid w:val="00D43746"/>
    <w:rsid w:val="00D51417"/>
    <w:rsid w:val="00D62358"/>
    <w:rsid w:val="00D920F4"/>
    <w:rsid w:val="00D92A72"/>
    <w:rsid w:val="00DA4D2D"/>
    <w:rsid w:val="00DB6C83"/>
    <w:rsid w:val="00DC0B86"/>
    <w:rsid w:val="00DD7B6D"/>
    <w:rsid w:val="00DF559C"/>
    <w:rsid w:val="00E027FD"/>
    <w:rsid w:val="00E0554F"/>
    <w:rsid w:val="00E13936"/>
    <w:rsid w:val="00E934FF"/>
    <w:rsid w:val="00E938AF"/>
    <w:rsid w:val="00EA4CFE"/>
    <w:rsid w:val="00EA5A17"/>
    <w:rsid w:val="00EE0570"/>
    <w:rsid w:val="00F12562"/>
    <w:rsid w:val="00F23619"/>
    <w:rsid w:val="00F31F49"/>
    <w:rsid w:val="00F55C72"/>
    <w:rsid w:val="00F82870"/>
    <w:rsid w:val="00FA0A29"/>
    <w:rsid w:val="00FA33B2"/>
    <w:rsid w:val="00FB6E3F"/>
    <w:rsid w:val="00FC0D22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658A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B2039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1E5F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E5FA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3658A8"/>
    <w:rPr>
      <w:rFonts w:ascii="Arial" w:eastAsia="Times New Roman" w:hAnsi="Arial" w:cs="Arial"/>
      <w:lang w:eastAsia="ar-SA"/>
    </w:rPr>
  </w:style>
  <w:style w:type="paragraph" w:styleId="Bezmezer">
    <w:name w:val="No Spacing"/>
    <w:uiPriority w:val="1"/>
    <w:qFormat/>
    <w:rsid w:val="00574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658A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B2039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1E5F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E5FA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3658A8"/>
    <w:rPr>
      <w:rFonts w:ascii="Arial" w:eastAsia="Times New Roman" w:hAnsi="Arial" w:cs="Arial"/>
      <w:lang w:eastAsia="ar-SA"/>
    </w:rPr>
  </w:style>
  <w:style w:type="paragraph" w:styleId="Bezmezer">
    <w:name w:val="No Spacing"/>
    <w:uiPriority w:val="1"/>
    <w:qFormat/>
    <w:rsid w:val="00574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76B3-A842-45B2-8850-0C3405CB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2484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2017-02-23T06:50:00Z</dcterms:created>
  <dcterms:modified xsi:type="dcterms:W3CDTF">2017-02-23T06:50:00Z</dcterms:modified>
</cp:coreProperties>
</file>