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6C" w:rsidRDefault="00F61F6C">
      <w:pPr>
        <w:pStyle w:val="NoList1"/>
        <w:jc w:val="right"/>
        <w:rPr>
          <w:rFonts w:ascii="Arial" w:eastAsia="Arial" w:hAnsi="Arial" w:cs="Arial"/>
          <w:b/>
          <w:i/>
          <w:spacing w:val="8"/>
          <w:sz w:val="28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DA746C" w:rsidRDefault="00DA746C"/>
              </w:txbxContent>
            </v:textbox>
            <w10:wrap anchorx="page" anchory="page"/>
          </v:shape>
        </w:pict>
      </w:r>
      <w:r w:rsidR="00D54219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4F7D504C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54219">
        <w:rPr>
          <w:rFonts w:ascii="Arial" w:eastAsia="Arial" w:hAnsi="Arial" w:cs="Arial"/>
          <w:spacing w:val="14"/>
          <w:lang w:val="cs-CZ"/>
        </w:rPr>
        <w:t xml:space="preserve"> </w:t>
      </w:r>
      <w:r w:rsidR="00D54219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DA746C" w:rsidRDefault="00DA746C">
      <w:pPr>
        <w:pStyle w:val="NoList1"/>
        <w:jc w:val="right"/>
        <w:rPr>
          <w:rFonts w:ascii="Arial" w:eastAsia="Arial" w:hAnsi="Arial" w:cs="Arial"/>
          <w:b/>
          <w:i/>
          <w:spacing w:val="8"/>
          <w:sz w:val="28"/>
          <w:lang w:val="cs-CZ"/>
        </w:rPr>
      </w:pPr>
    </w:p>
    <w:p w:rsidR="00DA746C" w:rsidRDefault="00DA746C">
      <w:pPr>
        <w:rPr>
          <w:szCs w:val="22"/>
        </w:rPr>
      </w:pPr>
    </w:p>
    <w:p w:rsidR="00DA746C" w:rsidRDefault="00DA746C">
      <w:pPr>
        <w:rPr>
          <w:szCs w:val="22"/>
        </w:rPr>
      </w:pPr>
    </w:p>
    <w:p w:rsidR="00DA746C" w:rsidRDefault="00DA746C">
      <w:pPr>
        <w:rPr>
          <w:szCs w:val="22"/>
        </w:rPr>
      </w:pPr>
    </w:p>
    <w:p w:rsidR="00DA746C" w:rsidRDefault="00DA746C">
      <w:pPr>
        <w:rPr>
          <w:szCs w:val="22"/>
        </w:rPr>
      </w:pP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cs-CZ"/>
        </w:rPr>
      </w:pPr>
      <w:r>
        <w:rPr>
          <w:szCs w:val="22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cs-CZ"/>
        </w:rPr>
        <w:t>Dodatek č. 1</w:t>
      </w: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k Zápisu o bezplatném užívání nebytových prostor č. 225-2013-12134</w:t>
      </w: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podle zákona č. 219/2000 Sb., o majetku České republiky a jejím vystupování v právních</w:t>
      </w: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vztazích, ve znění pozdějších předpisů, a vyhlášky Ministerstva financí č. 62/2001 Sb., o</w:t>
      </w: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hospodaření organizačních složek státu a státních organizací s majetkem státu, ve znění</w:t>
      </w:r>
    </w:p>
    <w:p w:rsidR="00DA746C" w:rsidRDefault="00D54219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pozdějších předpisů uzavřený mezi stranami:</w:t>
      </w:r>
    </w:p>
    <w:p w:rsidR="00DA746C" w:rsidRDefault="00DA746C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jc w:val="center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Ministerstvo zemědělství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se sídlem Těšnov 65/17, 110 00 Praha 1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IČ: 00020478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DIČ: CZ00020478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zastoupená Mgr. Pavlem Brokešem, ředitelem odboru vnitřní správy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 xml:space="preserve">bankovní spojení: 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 xml:space="preserve">číslo účtu: 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Kontaktní osoba: Lucie Kratochvílová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se sídlem: Masarykova 19/275, 400 10 Ústí nad Labem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 xml:space="preserve">tel. 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FF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e-</w:t>
      </w:r>
      <w:r w:rsidR="00A83929">
        <w:rPr>
          <w:rFonts w:ascii="TimesNewRomanPSMT" w:eastAsia="TimesNewRomanPSMT" w:hAnsi="TimesNewRomanPSMT" w:cs="TimesNewRomanPSMT"/>
          <w:sz w:val="24"/>
          <w:lang w:eastAsia="cs-CZ"/>
        </w:rPr>
        <w:t>mail: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 xml:space="preserve"> (</w:t>
      </w: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 xml:space="preserve">dále jen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„předávající“)</w:t>
      </w:r>
    </w:p>
    <w:p w:rsidR="00DA746C" w:rsidRDefault="00DA746C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a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Státní zemědělský intervenční fond,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Se sídlem Ve Smečkách 33, 110 00 Praha 1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  <w:t>IČ: 48133981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  <w:t>DIČ: není plátce DPH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  <w:t>Zastoupený Ing. Karlem Sekáčem, ředitelem regionálního odboru SZIF</w:t>
      </w:r>
    </w:p>
    <w:p w:rsidR="00A83929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sz w:val="24"/>
          <w:lang w:eastAsia="cs-CZ"/>
        </w:rPr>
        <w:t xml:space="preserve">Bankovní spojení: </w:t>
      </w: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(</w:t>
      </w: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 xml:space="preserve">dále jen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„uživatel“).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lastRenderedPageBreak/>
        <w:t>Tímto dodatkem se mezi předávajícím a uživatelem mění a doplňuje Zápis o bezplatném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/>
          <w:sz w:val="24"/>
          <w:lang w:eastAsia="cs-CZ"/>
        </w:rPr>
      </w:pPr>
      <w:r>
        <w:rPr>
          <w:rFonts w:ascii="TimesNewRomanPSMT" w:eastAsia="TimesNewRomanPSMT" w:hAnsi="TimesNewRomanPSMT" w:cs="TimesNewRomanPSMT"/>
          <w:color w:val="000000"/>
          <w:sz w:val="24"/>
          <w:lang w:eastAsia="cs-CZ"/>
        </w:rPr>
        <w:t>užívání nebytových prostor situovaných v budově MZe, na adrese Velká Krajská 44/1, 412 01 Litoměřice  takto:</w:t>
      </w:r>
    </w:p>
    <w:p w:rsidR="00DA746C" w:rsidRDefault="00DA746C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  <w:t>Tímto dodatkem se mění a nově zní čl. II. Zápisu:</w:t>
      </w:r>
    </w:p>
    <w:p w:rsidR="00DA746C" w:rsidRDefault="00DA746C">
      <w:pPr>
        <w:autoSpaceDE w:val="0"/>
        <w:autoSpaceDN w:val="0"/>
        <w:adjustRightInd w:val="0"/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lang w:eastAsia="cs-CZ"/>
        </w:rPr>
      </w:pPr>
    </w:p>
    <w:p w:rsidR="00DA746C" w:rsidRDefault="00D54219">
      <w:pPr>
        <w:pStyle w:val="Zkladntext"/>
        <w:numPr>
          <w:ilvl w:val="0"/>
          <w:numId w:val="36"/>
        </w:numPr>
        <w:ind w:left="426"/>
        <w:rPr>
          <w:sz w:val="24"/>
        </w:rPr>
      </w:pPr>
      <w:r>
        <w:rPr>
          <w:sz w:val="24"/>
        </w:rPr>
        <w:t xml:space="preserve">Předmětem plnění tohoto zápisu je užívání nebytových prostor v nemovitosti - budově nacházející se na adrese: </w:t>
      </w:r>
      <w:r>
        <w:rPr>
          <w:rFonts w:ascii="TimesNewRomanPSMT" w:eastAsia="TimesNewRomanPSMT" w:hAnsi="TimesNewRomanPSMT" w:cs="TimesNewRomanPSMT"/>
          <w:color w:val="000000"/>
          <w:sz w:val="24"/>
        </w:rPr>
        <w:t>Velká Krajská 44/1, 412 01 Litoměřice</w:t>
      </w:r>
      <w:r>
        <w:rPr>
          <w:sz w:val="24"/>
        </w:rPr>
        <w:t xml:space="preserve">, která je ve prospěch předávajícího zapsána v katastru nemovitostí vedeném Katastrálním úřadem pro Ústecký kraj, Katastrálním pracovištěm Litoměřice,  na LV č. 3341, stojící na parcele č. 42, v k.ú. Litoměřice (dále jen </w:t>
      </w:r>
      <w:r>
        <w:rPr>
          <w:b/>
          <w:bCs/>
          <w:sz w:val="24"/>
        </w:rPr>
        <w:t>„budova“</w:t>
      </w:r>
      <w:r>
        <w:rPr>
          <w:sz w:val="24"/>
        </w:rPr>
        <w:t>).</w:t>
      </w:r>
    </w:p>
    <w:p w:rsidR="00DA746C" w:rsidRDefault="00DA746C">
      <w:pPr>
        <w:pStyle w:val="Zkladntext"/>
        <w:tabs>
          <w:tab w:val="num" w:pos="426"/>
        </w:tabs>
        <w:ind w:left="426"/>
        <w:rPr>
          <w:sz w:val="24"/>
        </w:rPr>
      </w:pPr>
    </w:p>
    <w:p w:rsidR="00DA746C" w:rsidRDefault="00D54219">
      <w:pPr>
        <w:pStyle w:val="Zkladntext"/>
        <w:numPr>
          <w:ilvl w:val="0"/>
          <w:numId w:val="36"/>
        </w:numPr>
        <w:tabs>
          <w:tab w:val="num" w:pos="426"/>
        </w:tabs>
        <w:ind w:left="426"/>
        <w:rPr>
          <w:sz w:val="24"/>
        </w:rPr>
      </w:pPr>
      <w:r>
        <w:rPr>
          <w:sz w:val="24"/>
        </w:rPr>
        <w:t>Mění se celková výměra pronajatých prostor a to z původních 165,65 m</w:t>
      </w:r>
      <w:r>
        <w:rPr>
          <w:sz w:val="24"/>
          <w:vertAlign w:val="superscript"/>
        </w:rPr>
        <w:t xml:space="preserve">2  </w:t>
      </w:r>
      <w:r>
        <w:rPr>
          <w:sz w:val="24"/>
        </w:rPr>
        <w:t>na 181,27 m</w:t>
      </w:r>
      <w:r>
        <w:rPr>
          <w:sz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DA746C" w:rsidRDefault="00DA746C">
      <w:pPr>
        <w:pStyle w:val="Odstavecseseznamem1"/>
        <w:rPr>
          <w:sz w:val="24"/>
        </w:rPr>
      </w:pP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Předávající předává uživateli do užívání níže uvedené nebytové prostory ve druhém nadzemním patře budovy:</w:t>
      </w:r>
    </w:p>
    <w:p w:rsidR="00DA746C" w:rsidRDefault="00DA746C">
      <w:pPr>
        <w:pStyle w:val="Zkladntext"/>
        <w:ind w:left="426"/>
        <w:rPr>
          <w:sz w:val="24"/>
        </w:rPr>
      </w:pP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11 o výměře 15,40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12 o výměře 5,06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13 o výměře 18,11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14 o výměře 9,66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15 o výměře 29,80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16 o výměře 35,70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17 o výměře 32,73 m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</w:p>
    <w:p w:rsidR="00DA746C" w:rsidRDefault="00D54219">
      <w:pPr>
        <w:pStyle w:val="Zkladntext"/>
        <w:ind w:left="426"/>
        <w:rPr>
          <w:sz w:val="24"/>
        </w:rPr>
      </w:pPr>
      <w:r>
        <w:rPr>
          <w:sz w:val="24"/>
        </w:rPr>
        <w:t>místnost č. 18 o výměře 34,81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DA746C" w:rsidRDefault="00DA746C">
      <w:pPr>
        <w:pStyle w:val="Zkladntext"/>
        <w:ind w:left="426"/>
        <w:rPr>
          <w:sz w:val="24"/>
        </w:rPr>
      </w:pPr>
    </w:p>
    <w:p w:rsidR="00DA746C" w:rsidRDefault="00DA746C">
      <w:pPr>
        <w:pStyle w:val="Zkladntext"/>
        <w:ind w:left="426"/>
        <w:rPr>
          <w:sz w:val="24"/>
        </w:rPr>
      </w:pPr>
    </w:p>
    <w:p w:rsidR="00DA746C" w:rsidRDefault="00D54219">
      <w:pPr>
        <w:pStyle w:val="Zkladntext"/>
        <w:ind w:left="426"/>
        <w:rPr>
          <w:sz w:val="24"/>
          <w:szCs w:val="24"/>
        </w:rPr>
      </w:pPr>
      <w:r>
        <w:rPr>
          <w:sz w:val="24"/>
        </w:rPr>
        <w:t>Umístění nebytových prostor je vyznačeno v půdorysném plánu budovy, který tvoří Přílohu č. 1 tohoto dodatku.</w:t>
      </w:r>
    </w:p>
    <w:p w:rsidR="00DA746C" w:rsidRDefault="00DA746C">
      <w:pPr>
        <w:pStyle w:val="Zkladntext"/>
        <w:tabs>
          <w:tab w:val="left" w:pos="284"/>
          <w:tab w:val="left" w:pos="426"/>
        </w:tabs>
        <w:rPr>
          <w:b/>
          <w:sz w:val="24"/>
          <w:szCs w:val="24"/>
        </w:rPr>
      </w:pPr>
    </w:p>
    <w:p w:rsidR="00DA746C" w:rsidRDefault="00DA746C">
      <w:pPr>
        <w:pStyle w:val="Zkladntext"/>
        <w:ind w:left="1146"/>
        <w:rPr>
          <w:sz w:val="24"/>
          <w:szCs w:val="24"/>
        </w:rPr>
      </w:pPr>
    </w:p>
    <w:p w:rsidR="00DA746C" w:rsidRDefault="00D54219">
      <w:pPr>
        <w:pStyle w:val="Zkladntext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Celková výměra užívaných prostor v budově činí 181,27</w:t>
      </w:r>
      <w:r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</w:t>
      </w:r>
    </w:p>
    <w:p w:rsidR="00DA746C" w:rsidRDefault="00D54219">
      <w:pPr>
        <w:pStyle w:val="Zkladntext"/>
        <w:ind w:left="426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    </w:t>
      </w:r>
    </w:p>
    <w:p w:rsidR="00DA746C" w:rsidRDefault="00D54219">
      <w:pPr>
        <w:pStyle w:val="Zkladntext"/>
        <w:rPr>
          <w:sz w:val="24"/>
          <w:szCs w:val="24"/>
        </w:rPr>
      </w:pPr>
      <w:r>
        <w:t xml:space="preserve">       </w:t>
      </w:r>
      <w:r>
        <w:rPr>
          <w:sz w:val="24"/>
        </w:rPr>
        <w:t xml:space="preserve">      </w:t>
      </w:r>
    </w:p>
    <w:p w:rsidR="00DA746C" w:rsidRDefault="00D54219">
      <w:pPr>
        <w:pStyle w:val="Zkladntext"/>
        <w:numPr>
          <w:ilvl w:val="0"/>
          <w:numId w:val="36"/>
        </w:numPr>
        <w:tabs>
          <w:tab w:val="num" w:pos="426"/>
        </w:tabs>
        <w:ind w:left="426"/>
        <w:rPr>
          <w:iCs/>
          <w:sz w:val="24"/>
        </w:rPr>
      </w:pPr>
      <w:r>
        <w:rPr>
          <w:sz w:val="24"/>
        </w:rPr>
        <w:t xml:space="preserve">Nebytové prostory se předávají do užívání za účelem jejich využití jako prostor kancelářských, sloužících v souvislosti se zabezpečením úkolů uživatele. </w:t>
      </w:r>
    </w:p>
    <w:p w:rsidR="00DA746C" w:rsidRDefault="00DA746C">
      <w:pPr>
        <w:pStyle w:val="Zkladntext"/>
        <w:ind w:left="426"/>
        <w:rPr>
          <w:iCs/>
          <w:sz w:val="24"/>
        </w:rPr>
      </w:pPr>
    </w:p>
    <w:p w:rsidR="00DA746C" w:rsidRDefault="00D54219">
      <w:pPr>
        <w:pStyle w:val="Zkladntext"/>
        <w:numPr>
          <w:ilvl w:val="0"/>
          <w:numId w:val="36"/>
        </w:numPr>
        <w:tabs>
          <w:tab w:val="num" w:pos="426"/>
        </w:tabs>
        <w:ind w:left="426"/>
        <w:rPr>
          <w:iCs/>
          <w:sz w:val="24"/>
        </w:rPr>
      </w:pPr>
      <w:r>
        <w:rPr>
          <w:sz w:val="24"/>
          <w:szCs w:val="24"/>
        </w:rPr>
        <w:t>Uživatel se zavazuje, že nebude předávané prostory užívat k jiným účelům, než ke kterým jsou dle tohoto zápisu určeny. Porušení tohoto závazku zakládá právo předávajícího odstoupit od tohoto zápisu.</w:t>
      </w:r>
    </w:p>
    <w:p w:rsidR="00DA746C" w:rsidRDefault="00DA746C">
      <w:pPr>
        <w:pStyle w:val="Zkladntext"/>
        <w:ind w:left="426"/>
        <w:rPr>
          <w:iCs/>
          <w:sz w:val="24"/>
        </w:rPr>
      </w:pPr>
    </w:p>
    <w:p w:rsidR="00DA746C" w:rsidRDefault="00D54219">
      <w:pPr>
        <w:pStyle w:val="Zkladntext"/>
        <w:numPr>
          <w:ilvl w:val="0"/>
          <w:numId w:val="36"/>
        </w:numPr>
        <w:tabs>
          <w:tab w:val="num" w:pos="426"/>
        </w:tabs>
        <w:ind w:left="426"/>
        <w:rPr>
          <w:iCs/>
          <w:sz w:val="24"/>
        </w:rPr>
      </w:pPr>
      <w:r>
        <w:rPr>
          <w:sz w:val="24"/>
          <w:szCs w:val="24"/>
        </w:rPr>
        <w:t>Strany konstatují, že výše uvedené prostory jsou způsobilé k řádnému užívání. Uživatel se detailně seznámil se stavem přejímaných prostor a v tomto stavu je přejímá do svého užívání.</w:t>
      </w:r>
    </w:p>
    <w:p w:rsidR="00DA746C" w:rsidRDefault="00DA746C">
      <w:pPr>
        <w:pStyle w:val="Zkladntext"/>
        <w:ind w:left="426"/>
        <w:rPr>
          <w:b/>
          <w:bCs/>
          <w:sz w:val="24"/>
        </w:rPr>
      </w:pPr>
    </w:p>
    <w:p w:rsidR="00DA746C" w:rsidRDefault="00DA746C">
      <w:pPr>
        <w:rPr>
          <w:rFonts w:ascii="TimesNewRomanPS-BoldMT" w:eastAsia="TimesNewRomanPS-BoldMT" w:hAnsi="TimesNewRomanPS-BoldMT" w:cs="TimesNewRomanPS-BoldMT"/>
          <w:b/>
          <w:bCs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rPr>
          <w:rFonts w:ascii="TimesNewRomanPS-BoldMT" w:eastAsia="TimesNewRomanPS-BoldMT" w:hAnsi="TimesNewRomanPS-BoldMT" w:cs="TimesNewRomanPS-BoldMT"/>
          <w:b/>
          <w:bCs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 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lastRenderedPageBreak/>
        <w:t>Ostatní ustanovení Zápisu o bezplatném užívání nebytových prostor zůstávají beze změny.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>Tento dodatek č. 1 vstupuje v platnost dnem jeho podpisu oběma smluvními stranami a sjednává se s účinností ode dne 1. 3. 2017.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>Dodatek je vyhotoven ve čtyřech stejnopisech, z nichž předávající i uživatel obdrží po dvou stejnopisech.</w:t>
      </w:r>
    </w:p>
    <w:p w:rsidR="00DA746C" w:rsidRDefault="00DA746C">
      <w:pPr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V Praze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dne:                           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V Ústí nad Labem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>dne:</w:t>
      </w: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A746C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……………………………………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>……………………………………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     Ministerstvo zemědělství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         Státní zemědělský intervenční fond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 </w:t>
      </w:r>
    </w:p>
    <w:p w:rsidR="00DA746C" w:rsidRDefault="00D54219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4"/>
          <w:lang w:eastAsia="cs-CZ"/>
        </w:rPr>
      </w:pPr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          Mgr. Pavel Brokeš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 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 Ing. Karel Sekáč</w:t>
      </w:r>
    </w:p>
    <w:p w:rsidR="00DA746C" w:rsidRDefault="00D54219">
      <w:r>
        <w:rPr>
          <w:rFonts w:ascii="TimesNewRomanPSMT" w:eastAsia="TimesNewRomanPSMT" w:hAnsi="TimesNewRomanPSMT" w:cs="TimesNewRomanPSMT"/>
          <w:sz w:val="24"/>
          <w:lang w:eastAsia="cs-CZ"/>
        </w:rPr>
        <w:t xml:space="preserve">  ředitel odboru vnitřní správy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          </w:t>
      </w:r>
      <w:r>
        <w:rPr>
          <w:rFonts w:ascii="TimesNewRomanPSMT" w:eastAsia="TimesNewRomanPSMT" w:hAnsi="TimesNewRomanPSMT" w:cs="TimesNewRomanPSMT"/>
          <w:sz w:val="24"/>
          <w:lang w:eastAsia="cs-CZ"/>
        </w:rPr>
        <w:tab/>
        <w:t xml:space="preserve">   ředitel regionálního odboru SZIF   </w:t>
      </w:r>
    </w:p>
    <w:p w:rsidR="00DA746C" w:rsidRDefault="00D54219">
      <w:pPr>
        <w:rPr>
          <w:rFonts w:ascii="Times New Roman" w:eastAsia="Times New Roman" w:hAnsi="Times New Roman" w:cs="Times New Roman"/>
          <w:sz w:val="24"/>
        </w:rPr>
      </w:pPr>
      <w:r>
        <w:rPr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(předávající)                                                                 (uživatel)</w:t>
      </w:r>
    </w:p>
    <w:p w:rsidR="00DA746C" w:rsidRDefault="00DA746C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</w:p>
    <w:p w:rsidR="00DA746C" w:rsidRDefault="00D54219">
      <w:pPr>
        <w:rPr>
          <w:szCs w:val="22"/>
        </w:rPr>
      </w:pPr>
      <w:r>
        <w:rPr>
          <w:szCs w:val="22"/>
        </w:rPr>
        <w:t xml:space="preserve"> </w:t>
      </w:r>
    </w:p>
    <w:p w:rsidR="00DA746C" w:rsidRDefault="00D54219">
      <w:pPr>
        <w:rPr>
          <w:szCs w:val="22"/>
        </w:rPr>
      </w:pPr>
      <w:r>
        <w:rPr>
          <w:szCs w:val="22"/>
        </w:rPr>
        <w:t xml:space="preserve"> </w:t>
      </w:r>
    </w:p>
    <w:sectPr w:rsidR="00DA746C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6C" w:rsidRDefault="00F61F6C">
      <w:r>
        <w:separator/>
      </w:r>
    </w:p>
  </w:endnote>
  <w:endnote w:type="continuationSeparator" w:id="0">
    <w:p w:rsidR="00F61F6C" w:rsidRDefault="00F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1"/>
    <w:family w:val="auto"/>
    <w:pitch w:val="default"/>
    <w:sig w:usb0="00000005" w:usb1="00000000" w:usb2="00000000" w:usb3="00000000" w:csb0="00000003" w:csb1="00000000"/>
  </w:font>
  <w:font w:name="TimesNewRomanPSMT">
    <w:altName w:val="Times New Roman"/>
    <w:charset w:val="01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C" w:rsidRDefault="00F61F6C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54219">
      <w:rPr>
        <w:bCs/>
      </w:rPr>
      <w:t>7634/2017-MZE-12131</w:t>
    </w:r>
    <w:r>
      <w:rPr>
        <w:bCs/>
      </w:rPr>
      <w:fldChar w:fldCharType="end"/>
    </w:r>
    <w:r w:rsidR="00D54219">
      <w:tab/>
    </w:r>
    <w:r w:rsidR="00D54219">
      <w:fldChar w:fldCharType="begin"/>
    </w:r>
    <w:r w:rsidR="00D54219">
      <w:instrText>PAGE   \* MERGEFORMAT</w:instrText>
    </w:r>
    <w:r w:rsidR="00D54219">
      <w:fldChar w:fldCharType="separate"/>
    </w:r>
    <w:r w:rsidR="009B1B5A">
      <w:rPr>
        <w:noProof/>
      </w:rPr>
      <w:t>3</w:t>
    </w:r>
    <w:r w:rsidR="00D54219">
      <w:fldChar w:fldCharType="end"/>
    </w:r>
  </w:p>
  <w:p w:rsidR="00DA746C" w:rsidRDefault="00DA74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6C" w:rsidRDefault="00F61F6C">
      <w:r>
        <w:separator/>
      </w:r>
    </w:p>
  </w:footnote>
  <w:footnote w:type="continuationSeparator" w:id="0">
    <w:p w:rsidR="00F61F6C" w:rsidRDefault="00F6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C" w:rsidRDefault="00F61F6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81e700f-6cd7-4c9e-ba1a-a945bf6d35c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C" w:rsidRDefault="00F61F6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78c792b-0450-418e-8e13-edcd05035a9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6C" w:rsidRDefault="00F61F6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4835624-6259-466f-b421-6af94b2549cf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F4"/>
    <w:multiLevelType w:val="multilevel"/>
    <w:tmpl w:val="3C4818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2DE1D92"/>
    <w:multiLevelType w:val="multilevel"/>
    <w:tmpl w:val="1E8AE2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4AE2D00"/>
    <w:multiLevelType w:val="multilevel"/>
    <w:tmpl w:val="2DB85E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78B0DDC"/>
    <w:multiLevelType w:val="multilevel"/>
    <w:tmpl w:val="C8DC31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9BA5D27"/>
    <w:multiLevelType w:val="multilevel"/>
    <w:tmpl w:val="C7C084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DBB6689"/>
    <w:multiLevelType w:val="multilevel"/>
    <w:tmpl w:val="B79C92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08209DA"/>
    <w:multiLevelType w:val="multilevel"/>
    <w:tmpl w:val="489866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4EC6504"/>
    <w:multiLevelType w:val="multilevel"/>
    <w:tmpl w:val="0AAA67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6C94413"/>
    <w:multiLevelType w:val="multilevel"/>
    <w:tmpl w:val="B9322D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F007629"/>
    <w:multiLevelType w:val="multilevel"/>
    <w:tmpl w:val="867E13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FEE2E73"/>
    <w:multiLevelType w:val="multilevel"/>
    <w:tmpl w:val="4C5024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5515226"/>
    <w:multiLevelType w:val="multilevel"/>
    <w:tmpl w:val="834EF0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7371D3E"/>
    <w:multiLevelType w:val="multilevel"/>
    <w:tmpl w:val="21EE0C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D2402A8"/>
    <w:multiLevelType w:val="multilevel"/>
    <w:tmpl w:val="25627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00209FB"/>
    <w:multiLevelType w:val="multilevel"/>
    <w:tmpl w:val="0E9013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32B93000"/>
    <w:multiLevelType w:val="multilevel"/>
    <w:tmpl w:val="41FA61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5011D18"/>
    <w:multiLevelType w:val="multilevel"/>
    <w:tmpl w:val="8C3EBD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5261F38"/>
    <w:multiLevelType w:val="multilevel"/>
    <w:tmpl w:val="C78CD7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D4D708D"/>
    <w:multiLevelType w:val="multilevel"/>
    <w:tmpl w:val="5F8871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435E3F57"/>
    <w:multiLevelType w:val="multilevel"/>
    <w:tmpl w:val="5FE2F6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44483AE9"/>
    <w:multiLevelType w:val="multilevel"/>
    <w:tmpl w:val="6CB6F9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728106B"/>
    <w:multiLevelType w:val="multilevel"/>
    <w:tmpl w:val="3800C3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A8F0B2F"/>
    <w:multiLevelType w:val="multilevel"/>
    <w:tmpl w:val="8A5EAD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6B06E6A"/>
    <w:multiLevelType w:val="multilevel"/>
    <w:tmpl w:val="2D8241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37FDD"/>
    <w:multiLevelType w:val="multilevel"/>
    <w:tmpl w:val="288CE8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D6701F3"/>
    <w:multiLevelType w:val="multilevel"/>
    <w:tmpl w:val="FD7C37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F214E89"/>
    <w:multiLevelType w:val="multilevel"/>
    <w:tmpl w:val="39CE06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61AA14B5"/>
    <w:multiLevelType w:val="multilevel"/>
    <w:tmpl w:val="2A8C8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44150EB"/>
    <w:multiLevelType w:val="multilevel"/>
    <w:tmpl w:val="FF7037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66E51C9C"/>
    <w:multiLevelType w:val="multilevel"/>
    <w:tmpl w:val="85F69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A336720"/>
    <w:multiLevelType w:val="multilevel"/>
    <w:tmpl w:val="18A4C1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C5E0DB8"/>
    <w:multiLevelType w:val="multilevel"/>
    <w:tmpl w:val="0D5001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DDE2B86"/>
    <w:multiLevelType w:val="multilevel"/>
    <w:tmpl w:val="E6BE8C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74442A87"/>
    <w:multiLevelType w:val="multilevel"/>
    <w:tmpl w:val="610C61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4">
    <w:nsid w:val="7C5A64BA"/>
    <w:multiLevelType w:val="multilevel"/>
    <w:tmpl w:val="E334F3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34"/>
  </w:num>
  <w:num w:numId="5">
    <w:abstractNumId w:val="26"/>
  </w:num>
  <w:num w:numId="6">
    <w:abstractNumId w:val="19"/>
  </w:num>
  <w:num w:numId="7">
    <w:abstractNumId w:val="14"/>
  </w:num>
  <w:num w:numId="8">
    <w:abstractNumId w:val="20"/>
  </w:num>
  <w:num w:numId="9">
    <w:abstractNumId w:val="31"/>
  </w:num>
  <w:num w:numId="10">
    <w:abstractNumId w:val="9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30"/>
  </w:num>
  <w:num w:numId="16">
    <w:abstractNumId w:val="1"/>
  </w:num>
  <w:num w:numId="17">
    <w:abstractNumId w:val="4"/>
  </w:num>
  <w:num w:numId="18">
    <w:abstractNumId w:val="32"/>
  </w:num>
  <w:num w:numId="19">
    <w:abstractNumId w:val="28"/>
  </w:num>
  <w:num w:numId="20">
    <w:abstractNumId w:val="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  <w:num w:numId="25">
    <w:abstractNumId w:val="0"/>
  </w:num>
  <w:num w:numId="26">
    <w:abstractNumId w:val="29"/>
  </w:num>
  <w:num w:numId="27">
    <w:abstractNumId w:val="22"/>
  </w:num>
  <w:num w:numId="28">
    <w:abstractNumId w:val="16"/>
  </w:num>
  <w:num w:numId="29">
    <w:abstractNumId w:val="23"/>
  </w:num>
  <w:num w:numId="30">
    <w:abstractNumId w:val="2"/>
  </w:num>
  <w:num w:numId="31">
    <w:abstractNumId w:val="27"/>
  </w:num>
  <w:num w:numId="32">
    <w:abstractNumId w:val="15"/>
  </w:num>
  <w:num w:numId="33">
    <w:abstractNumId w:val="21"/>
  </w:num>
  <w:num w:numId="34">
    <w:abstractNumId w:val="10"/>
  </w:num>
  <w:num w:numId="35">
    <w:abstractNumId w:val="6"/>
  </w:num>
  <w:num w:numId="36">
    <w:abstractNumId w:val="2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52239657634/2017-MZE-12131"/>
    <w:docVar w:name="dms_cj" w:val="7634/2017-MZE-12131"/>
    <w:docVar w:name="dms_datum" w:val="21. 2. 2017"/>
    <w:docVar w:name="dms_datum_textem" w:val="21. února 2017"/>
    <w:docVar w:name="dms_datum_vzniku" w:val="3. 2. 2017 10:15:00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_x000d__x000a__x000d__x000a_v z. Bc. Michal Vodička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1. příloha č.1: plán 2NP"/>
    <w:docVar w:name="dms_pripojene_dokumenty" w:val=" "/>
    <w:docVar w:name="dms_spisova_znacka" w:val="16VD30052/2011-131334"/>
    <w:docVar w:name="dms_spravce_jmeno" w:val="Lucie Kratochvílová"/>
    <w:docVar w:name="dms_spravce_mail" w:val="Lucie.Kratochvilova@mze.cz"/>
    <w:docVar w:name="dms_spravce_telefon" w:val="47565121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1 k Zápisu o bezplatném užívání nebytových prostor č.225-2013-12134"/>
    <w:docVar w:name="dms_VNVSpravce" w:val=" "/>
    <w:docVar w:name="dms_zpracoval_jmeno" w:val="Lucie Kratochvílová"/>
    <w:docVar w:name="dms_zpracoval_mail" w:val="Lucie.Kratochvilova@mze.cz"/>
    <w:docVar w:name="dms_zpracoval_telefon" w:val="475651210"/>
  </w:docVars>
  <w:rsids>
    <w:rsidRoot w:val="00DA746C"/>
    <w:rsid w:val="005A23E5"/>
    <w:rsid w:val="009B1B5A"/>
    <w:rsid w:val="00A83929"/>
    <w:rsid w:val="00D54219"/>
    <w:rsid w:val="00DA746C"/>
    <w:rsid w:val="00EB5E89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2017-02-03T09:25:00Z</cp:lastPrinted>
  <dcterms:created xsi:type="dcterms:W3CDTF">2017-02-24T10:41:00Z</dcterms:created>
  <dcterms:modified xsi:type="dcterms:W3CDTF">2017-02-24T10:41:00Z</dcterms:modified>
</cp:coreProperties>
</file>