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3079D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3CF3">
        <w:rPr>
          <w:rFonts w:ascii="Times New Roman" w:hAnsi="Times New Roman" w:cs="Times New Roman"/>
          <w:b/>
          <w:color w:val="000000"/>
          <w:sz w:val="24"/>
          <w:szCs w:val="24"/>
        </w:rPr>
        <w:t>STÁTNÍ VETERINÁRNÍ ÚSTAV PRAHA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, příspěvková organizace</w:t>
      </w:r>
    </w:p>
    <w:p w14:paraId="2DC7E847" w14:textId="77777777" w:rsidR="007F7A62" w:rsidRPr="007F7A62" w:rsidRDefault="007F7A62" w:rsidP="007F7A62">
      <w:pPr>
        <w:pStyle w:val="kdo"/>
        <w:rPr>
          <w:rFonts w:ascii="Times New Roman" w:hAnsi="Times New Roman" w:cs="Times New Roman"/>
          <w:sz w:val="24"/>
        </w:rPr>
      </w:pPr>
      <w:r w:rsidRPr="007F7A62">
        <w:rPr>
          <w:rFonts w:ascii="Times New Roman" w:hAnsi="Times New Roman" w:cs="Times New Roman"/>
          <w:sz w:val="24"/>
        </w:rPr>
        <w:t>Organizace zřízená Ministerstvem zemědělství ČR dle  § 31 zák. č. 576/1990 Sb., v souladu se zák. č. 219/2000 Sb., pod č.j. 20818/2001 – 3030 ze dne 11.7.2001</w:t>
      </w:r>
    </w:p>
    <w:p w14:paraId="6926C841" w14:textId="77777777" w:rsidR="00D23CF3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sídlo: Sídlištní 136/24, Praha 6, 165 </w:t>
      </w:r>
    </w:p>
    <w:p w14:paraId="0FDD4500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IČ: 13691554</w:t>
      </w:r>
    </w:p>
    <w:p w14:paraId="36ACCD3E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DIČ: CZ00019305</w:t>
      </w:r>
    </w:p>
    <w:p w14:paraId="1E4A9EDD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zastoupen: MVDr. Kamil Sedlák, Ph.D. – ředitel</w:t>
      </w:r>
    </w:p>
    <w:p w14:paraId="2FBD47DF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bankovní spojení: ČNB</w:t>
      </w:r>
    </w:p>
    <w:p w14:paraId="0B7B09B6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>20439061/0710</w:t>
      </w:r>
    </w:p>
    <w:p w14:paraId="0A303A7A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dále jen „ poskytovatel “</w:t>
      </w:r>
    </w:p>
    <w:p w14:paraId="77400600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6E332A3B" w14:textId="77777777" w:rsidR="00062A12" w:rsidRDefault="00062A12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2A12">
        <w:rPr>
          <w:rFonts w:ascii="Times New Roman" w:hAnsi="Times New Roman" w:cs="Times New Roman"/>
          <w:b/>
          <w:color w:val="000000"/>
          <w:sz w:val="24"/>
          <w:szCs w:val="24"/>
        </w:rPr>
        <w:t>BUREAU V</w:t>
      </w:r>
      <w:r w:rsidR="006672B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7600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RITAS SERVICES CZ, </w:t>
      </w:r>
      <w:r w:rsidRPr="00062A1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7600A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62A12">
        <w:rPr>
          <w:rFonts w:ascii="Times New Roman" w:hAnsi="Times New Roman" w:cs="Times New Roman"/>
          <w:b/>
          <w:color w:val="000000"/>
          <w:sz w:val="24"/>
          <w:szCs w:val="24"/>
        </w:rPr>
        <w:t> r. 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E7F991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sídlo: </w:t>
      </w:r>
      <w:r w:rsidR="00062A12">
        <w:rPr>
          <w:rFonts w:ascii="Times New Roman" w:hAnsi="Times New Roman" w:cs="Times New Roman"/>
          <w:color w:val="000000"/>
          <w:sz w:val="24"/>
          <w:szCs w:val="24"/>
        </w:rPr>
        <w:t>Olbrachtova 1, Praha 4, 140 02</w:t>
      </w:r>
    </w:p>
    <w:p w14:paraId="4D5E0B50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r w:rsidR="007600AD">
        <w:rPr>
          <w:rFonts w:ascii="Times New Roman" w:hAnsi="Times New Roman" w:cs="Times New Roman"/>
          <w:color w:val="000000"/>
          <w:sz w:val="24"/>
          <w:szCs w:val="24"/>
        </w:rPr>
        <w:t>08800472</w:t>
      </w:r>
    </w:p>
    <w:p w14:paraId="2BE4DB86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="00062A12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062A12" w:rsidRPr="00062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0AD">
        <w:rPr>
          <w:rFonts w:ascii="Times New Roman" w:hAnsi="Times New Roman" w:cs="Times New Roman"/>
          <w:color w:val="000000"/>
          <w:sz w:val="24"/>
          <w:szCs w:val="24"/>
        </w:rPr>
        <w:t>08800472</w:t>
      </w:r>
    </w:p>
    <w:p w14:paraId="05C666E5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zástupce: </w:t>
      </w:r>
      <w:r w:rsidR="00062A12">
        <w:rPr>
          <w:rFonts w:ascii="Times New Roman" w:hAnsi="Times New Roman" w:cs="Times New Roman"/>
          <w:color w:val="000000"/>
          <w:sz w:val="24"/>
          <w:szCs w:val="24"/>
        </w:rPr>
        <w:t xml:space="preserve">Ing. Jakub Kejval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- jednatel</w:t>
      </w:r>
    </w:p>
    <w:p w14:paraId="2766100C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dále jen „ objednatel „</w:t>
      </w:r>
    </w:p>
    <w:p w14:paraId="11826053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5F9F6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uzavírají podle ustanovení § 1746 Zákona č. 89/2012 Sb., občanský zákoník (dále jen OZ)</w:t>
      </w:r>
    </w:p>
    <w:p w14:paraId="4D4339D8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tuto</w:t>
      </w:r>
    </w:p>
    <w:p w14:paraId="270EE764" w14:textId="77777777" w:rsidR="00E20076" w:rsidRDefault="00E20076" w:rsidP="009F4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1CFAB98" w14:textId="77777777" w:rsidR="00E20076" w:rsidRDefault="00E20076" w:rsidP="009F4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6F6858B" w14:textId="77777777" w:rsidR="00E20076" w:rsidRDefault="00E20076" w:rsidP="009F4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A6DD621" w14:textId="77777777" w:rsidR="009F4C7C" w:rsidRPr="00062A12" w:rsidRDefault="009F4C7C" w:rsidP="009F4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62A12">
        <w:rPr>
          <w:rFonts w:ascii="Times New Roman" w:hAnsi="Times New Roman" w:cs="Times New Roman"/>
          <w:b/>
          <w:color w:val="000000"/>
          <w:sz w:val="32"/>
          <w:szCs w:val="32"/>
        </w:rPr>
        <w:t>Rámcovou smlouvu</w:t>
      </w:r>
    </w:p>
    <w:p w14:paraId="32BC760C" w14:textId="77777777" w:rsidR="009F4C7C" w:rsidRPr="00062A12" w:rsidRDefault="009F4C7C" w:rsidP="009F4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62A12">
        <w:rPr>
          <w:rFonts w:ascii="Times New Roman" w:hAnsi="Times New Roman" w:cs="Times New Roman"/>
          <w:b/>
          <w:color w:val="000000"/>
          <w:sz w:val="32"/>
          <w:szCs w:val="32"/>
        </w:rPr>
        <w:t>o poskytování služby – laboratorní veterinární vyšetření vzorků</w:t>
      </w:r>
    </w:p>
    <w:p w14:paraId="03097DD5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D1532" w14:textId="77777777" w:rsidR="009F4C7C" w:rsidRPr="006A42E7" w:rsidRDefault="009F4C7C" w:rsidP="00227A3F">
      <w:pPr>
        <w:pStyle w:val="Nadpis2"/>
      </w:pPr>
      <w:r w:rsidRPr="006A42E7">
        <w:t>I.</w:t>
      </w:r>
    </w:p>
    <w:p w14:paraId="4292D737" w14:textId="77777777" w:rsidR="009F4C7C" w:rsidRPr="006A42E7" w:rsidRDefault="009F4C7C" w:rsidP="006A42E7">
      <w:pPr>
        <w:pStyle w:val="Nadpis2"/>
        <w:rPr>
          <w:rFonts w:cs="Times New Roman"/>
          <w:szCs w:val="24"/>
        </w:rPr>
      </w:pPr>
      <w:r w:rsidRPr="006A42E7">
        <w:rPr>
          <w:rFonts w:cs="Times New Roman"/>
          <w:szCs w:val="24"/>
        </w:rPr>
        <w:t>Úvodní ustanovení</w:t>
      </w:r>
    </w:p>
    <w:p w14:paraId="16571E5E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4B745" w14:textId="77777777" w:rsidR="00DC2C2D" w:rsidRDefault="009F4C7C" w:rsidP="009F4C7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C2D">
        <w:rPr>
          <w:rFonts w:ascii="Times New Roman" w:hAnsi="Times New Roman" w:cs="Times New Roman"/>
          <w:color w:val="000000"/>
          <w:sz w:val="24"/>
          <w:szCs w:val="24"/>
        </w:rPr>
        <w:t>Obě smluvní strany se dohodly na uzavření této rámcové smlouvy, a to s cílem vymezit základní a obecné podmínky jejich obchodního styku, včetně vymezení jejich základních práv a povinností vyplývajících z tohoto závazkového vztahu, jakož i sjednání závazných pravidel a podmínek (ujednání), kterými budou po dobu účinnosti této rámcové smlouvy řídit při uzavírání a realizaci jednotlivých smluv o poskytnutí služby uzavřených mezi smluvními stranami.</w:t>
      </w:r>
    </w:p>
    <w:p w14:paraId="2C67919B" w14:textId="77777777" w:rsidR="00E20076" w:rsidRDefault="009F4C7C" w:rsidP="009F4C7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C2D">
        <w:rPr>
          <w:rFonts w:ascii="Times New Roman" w:hAnsi="Times New Roman" w:cs="Times New Roman"/>
          <w:color w:val="000000"/>
          <w:sz w:val="24"/>
          <w:szCs w:val="24"/>
        </w:rPr>
        <w:t>Smluvní strany se dohodly, že veškeré jednotlivé smlouvy o provedení služby uzavřené mezi po</w:t>
      </w:r>
      <w:r w:rsidR="00156224" w:rsidRPr="00DC2C2D">
        <w:rPr>
          <w:rFonts w:ascii="Times New Roman" w:hAnsi="Times New Roman" w:cs="Times New Roman"/>
          <w:color w:val="000000"/>
          <w:sz w:val="24"/>
          <w:szCs w:val="24"/>
        </w:rPr>
        <w:t xml:space="preserve">skytovatelem a objednatelem, se </w:t>
      </w:r>
      <w:r w:rsidRPr="00DC2C2D">
        <w:rPr>
          <w:rFonts w:ascii="Times New Roman" w:hAnsi="Times New Roman" w:cs="Times New Roman"/>
          <w:color w:val="000000"/>
          <w:sz w:val="24"/>
          <w:szCs w:val="24"/>
        </w:rPr>
        <w:t>podobu trvání této rámcové smlouvy řídí touto Rámcovou smlouvou.</w:t>
      </w:r>
      <w:r w:rsidR="00DC2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C2D">
        <w:rPr>
          <w:rFonts w:ascii="Times New Roman" w:hAnsi="Times New Roman" w:cs="Times New Roman"/>
          <w:color w:val="000000"/>
          <w:sz w:val="24"/>
          <w:szCs w:val="24"/>
        </w:rPr>
        <w:t>Smluvní strany pro uzavření jednotlivé kupní smlouvy vylučují použití ustanovení 1751 odst.1 OZ.</w:t>
      </w:r>
    </w:p>
    <w:p w14:paraId="1C49C259" w14:textId="77777777" w:rsidR="00E20076" w:rsidRDefault="00E2007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4B19E68" w14:textId="77777777" w:rsidR="009F4C7C" w:rsidRPr="006A42E7" w:rsidRDefault="009F4C7C" w:rsidP="006A42E7">
      <w:pPr>
        <w:pStyle w:val="Nadpis2"/>
        <w:rPr>
          <w:rFonts w:cs="Times New Roman"/>
          <w:szCs w:val="24"/>
        </w:rPr>
      </w:pPr>
      <w:r w:rsidRPr="006A42E7">
        <w:rPr>
          <w:rFonts w:cs="Times New Roman"/>
          <w:szCs w:val="24"/>
        </w:rPr>
        <w:lastRenderedPageBreak/>
        <w:t>II.</w:t>
      </w:r>
    </w:p>
    <w:p w14:paraId="3D16DFF6" w14:textId="77777777" w:rsidR="009F4C7C" w:rsidRPr="006A42E7" w:rsidRDefault="009F4C7C" w:rsidP="006A42E7">
      <w:pPr>
        <w:pStyle w:val="Nadpis2"/>
        <w:rPr>
          <w:rFonts w:cs="Times New Roman"/>
          <w:szCs w:val="24"/>
        </w:rPr>
      </w:pPr>
      <w:r w:rsidRPr="006A42E7">
        <w:rPr>
          <w:rFonts w:cs="Times New Roman"/>
          <w:szCs w:val="24"/>
        </w:rPr>
        <w:t>Předmět smlouvy</w:t>
      </w:r>
    </w:p>
    <w:p w14:paraId="319AB496" w14:textId="77777777" w:rsidR="009F4C7C" w:rsidRPr="007F7A62" w:rsidRDefault="009F4C7C" w:rsidP="00156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Předmětem této Smlouvy je:</w:t>
      </w:r>
    </w:p>
    <w:p w14:paraId="170EBEA1" w14:textId="77777777" w:rsidR="00DC2C2D" w:rsidRPr="00DC2C2D" w:rsidRDefault="00DC2C2D" w:rsidP="00DC2C2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BB3DBB0" w14:textId="77777777" w:rsidR="00DC2C2D" w:rsidRDefault="009F4C7C" w:rsidP="001562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C2D">
        <w:rPr>
          <w:rFonts w:ascii="Times New Roman" w:hAnsi="Times New Roman" w:cs="Times New Roman"/>
          <w:color w:val="000000"/>
          <w:sz w:val="24"/>
          <w:szCs w:val="24"/>
        </w:rPr>
        <w:t>Závazek poskytovatele poskytovat objednateli na základě jednotlivých smluv služby spočívající v laboratorním vyšetření vzorků, vyhotovení protokolu o tomto laboratorním vyšetření a odeslání protokolu objednateli.</w:t>
      </w:r>
    </w:p>
    <w:p w14:paraId="2DFFC76E" w14:textId="77777777" w:rsidR="009F4C7C" w:rsidRPr="00DC2C2D" w:rsidRDefault="009F4C7C" w:rsidP="001562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C2D">
        <w:rPr>
          <w:rFonts w:ascii="Times New Roman" w:hAnsi="Times New Roman" w:cs="Times New Roman"/>
          <w:color w:val="000000"/>
          <w:sz w:val="24"/>
          <w:szCs w:val="24"/>
        </w:rPr>
        <w:t xml:space="preserve"> Poskytovatel provádí tato laboratorní vyšetření:</w:t>
      </w:r>
    </w:p>
    <w:p w14:paraId="48928E4B" w14:textId="77777777" w:rsidR="00E666ED" w:rsidRPr="00E666ED" w:rsidRDefault="00E666ED" w:rsidP="00E66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66ED">
        <w:rPr>
          <w:rFonts w:ascii="Times New Roman" w:hAnsi="Times New Roman" w:cs="Times New Roman"/>
          <w:color w:val="000000"/>
          <w:sz w:val="24"/>
          <w:szCs w:val="24"/>
        </w:rPr>
        <w:t>Mikrobiologické, fyzikálně-chemické a smyslové laboratorní zkoušky (rozbory) potravin, surovin, vody, případně dalších vzorků souvisejících s výrobou, skladováním, zpracováním a prodejem potravinářských výrobků dle požadavků a potřeb zadavatele.</w:t>
      </w:r>
    </w:p>
    <w:p w14:paraId="3969AA17" w14:textId="77777777" w:rsidR="00E666ED" w:rsidRPr="00E666ED" w:rsidRDefault="00E666ED" w:rsidP="00E66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66ED">
        <w:rPr>
          <w:rFonts w:ascii="Times New Roman" w:hAnsi="Times New Roman" w:cs="Times New Roman"/>
          <w:color w:val="000000"/>
          <w:sz w:val="24"/>
          <w:szCs w:val="24"/>
        </w:rPr>
        <w:t>Vzorkování potravin, surovin, vody, případně dalších vzorků souvisejících s výrobou, skladováním, zpracováním a prodejem potravinářských výrobků dle požadavků a potřeb zadavatele.</w:t>
      </w:r>
    </w:p>
    <w:p w14:paraId="25AEFBD7" w14:textId="77777777" w:rsidR="00DC2C2D" w:rsidRDefault="00D13F7A" w:rsidP="00156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Tato činnost na úseku laboratorních zkoušek bude</w:t>
      </w:r>
      <w:r w:rsidR="006F5518">
        <w:rPr>
          <w:rFonts w:ascii="Times New Roman" w:hAnsi="Times New Roman" w:cs="Times New Roman"/>
          <w:color w:val="000000"/>
          <w:sz w:val="24"/>
          <w:szCs w:val="24"/>
        </w:rPr>
        <w:t xml:space="preserve"> prováděna dle předepsaných </w:t>
      </w:r>
      <w:proofErr w:type="spellStart"/>
      <w:r w:rsidR="006F5518">
        <w:rPr>
          <w:rFonts w:ascii="Times New Roman" w:hAnsi="Times New Roman" w:cs="Times New Roman"/>
          <w:color w:val="000000"/>
          <w:sz w:val="24"/>
          <w:szCs w:val="24"/>
        </w:rPr>
        <w:t>tč.</w:t>
      </w:r>
      <w:r>
        <w:rPr>
          <w:rFonts w:ascii="Times New Roman" w:hAnsi="Times New Roman" w:cs="Times New Roman"/>
          <w:color w:val="000000"/>
          <w:sz w:val="24"/>
          <w:szCs w:val="24"/>
        </w:rPr>
        <w:t>platných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vyšetřovacích laboratorních metodik, případně dle metodik a postupů dohodnutých se zadavatelem. Výsledky vyšetření (protokoly) budou použitelné pro jednání zadavatele se všemi orgány státního dozoru nad produkty zadavatele.</w:t>
      </w:r>
    </w:p>
    <w:p w14:paraId="45002585" w14:textId="77777777" w:rsidR="009F4C7C" w:rsidRPr="00DC2C2D" w:rsidRDefault="009F4C7C" w:rsidP="00DC2C2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C2D">
        <w:rPr>
          <w:rFonts w:ascii="Times New Roman" w:hAnsi="Times New Roman" w:cs="Times New Roman"/>
          <w:color w:val="000000"/>
          <w:sz w:val="24"/>
          <w:szCs w:val="24"/>
        </w:rPr>
        <w:t>Závazek objednatele za poskytnutou službu zaplatit dohodnutou cenu.</w:t>
      </w:r>
    </w:p>
    <w:p w14:paraId="31AC44EC" w14:textId="77777777" w:rsidR="009F4C7C" w:rsidRPr="007F7A62" w:rsidRDefault="009F4C7C" w:rsidP="007F7A62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III.</w:t>
      </w:r>
    </w:p>
    <w:p w14:paraId="38DCD0E6" w14:textId="77777777" w:rsidR="009F4C7C" w:rsidRPr="007F7A62" w:rsidRDefault="009F4C7C" w:rsidP="007F7A62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Jednotlivá smlouva</w:t>
      </w:r>
    </w:p>
    <w:p w14:paraId="0A46E61E" w14:textId="77777777" w:rsidR="00DC2C2D" w:rsidRPr="00DC2C2D" w:rsidRDefault="00DC2C2D" w:rsidP="00DC2C2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CF6C937" w14:textId="77777777" w:rsidR="009F4C7C" w:rsidRPr="00DC2C2D" w:rsidRDefault="009F4C7C" w:rsidP="00DC2C2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C2D">
        <w:rPr>
          <w:rFonts w:ascii="Times New Roman" w:hAnsi="Times New Roman" w:cs="Times New Roman"/>
          <w:color w:val="000000"/>
          <w:sz w:val="24"/>
          <w:szCs w:val="24"/>
        </w:rPr>
        <w:t xml:space="preserve"> Plnění smluvních stran bude uskutečňováno dle jednotlivých smluv o poskytnutí služby.</w:t>
      </w:r>
      <w:r w:rsidR="007F7A62" w:rsidRPr="00DC2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C2D">
        <w:rPr>
          <w:rFonts w:ascii="Times New Roman" w:hAnsi="Times New Roman" w:cs="Times New Roman"/>
          <w:color w:val="000000"/>
          <w:sz w:val="24"/>
          <w:szCs w:val="24"/>
        </w:rPr>
        <w:t>Jednotlivé smlouvy o poskytnutí služby budou uzavírány na základě písemných</w:t>
      </w:r>
      <w:r w:rsidR="007F7A62" w:rsidRPr="00DC2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C2D">
        <w:rPr>
          <w:rFonts w:ascii="Times New Roman" w:hAnsi="Times New Roman" w:cs="Times New Roman"/>
          <w:color w:val="000000"/>
          <w:sz w:val="24"/>
          <w:szCs w:val="24"/>
        </w:rPr>
        <w:t>objednávek objednatele – žádanky o laboratorní vyšetření vzorku (dále jen „ žádanka “)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C2D">
        <w:rPr>
          <w:rFonts w:ascii="Times New Roman" w:hAnsi="Times New Roman" w:cs="Times New Roman"/>
          <w:color w:val="000000"/>
          <w:sz w:val="24"/>
          <w:szCs w:val="24"/>
        </w:rPr>
        <w:t>s tím, že jednotlivá smlouva je uzavřena okamžikem, kdy žádanka je doručena</w:t>
      </w:r>
      <w:r w:rsidR="007F7A62" w:rsidRPr="00DC2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C2D">
        <w:rPr>
          <w:rFonts w:ascii="Times New Roman" w:hAnsi="Times New Roman" w:cs="Times New Roman"/>
          <w:color w:val="000000"/>
          <w:sz w:val="24"/>
          <w:szCs w:val="24"/>
        </w:rPr>
        <w:t>poskytovateli.</w:t>
      </w:r>
    </w:p>
    <w:p w14:paraId="0292254A" w14:textId="77777777" w:rsidR="009F4C7C" w:rsidRPr="007F7A62" w:rsidRDefault="009F4C7C" w:rsidP="00DC2C2D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Písemná forma žádanky je zachována i při použití faxu nebo elektronické pošty, v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tomto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případě žádanka nemusí být opatřena elektronicky zaručeným podpisem. Písemná forma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je zachována i při právním jednání učiněném elektronickými nebo jinými technickými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prostředky umožňujícími zachycení jeho obsahu a určení jednající osoby.</w:t>
      </w:r>
    </w:p>
    <w:p w14:paraId="3BAD4759" w14:textId="77777777" w:rsidR="009F4C7C" w:rsidRPr="007F7A62" w:rsidRDefault="009F4C7C" w:rsidP="00DC2C2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Žádanka musí být datována a podepsána oprávněnou osobou objednatele, jinak je vůči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poskytovateli právně neúčinná.</w:t>
      </w:r>
    </w:p>
    <w:p w14:paraId="0196F568" w14:textId="77777777" w:rsidR="009F4C7C" w:rsidRPr="007F7A62" w:rsidRDefault="009F4C7C" w:rsidP="00DC2C2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Objednatel poskytne poskytovateli při podpisu této Smlouvy seznamy osob oprávněných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k podpisu žádanky.</w:t>
      </w:r>
    </w:p>
    <w:p w14:paraId="1751599F" w14:textId="77777777" w:rsidR="009F4C7C" w:rsidRPr="007F7A62" w:rsidRDefault="009F4C7C" w:rsidP="009F4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E7DD24" w14:textId="77777777" w:rsidR="009F4C7C" w:rsidRPr="007F7A62" w:rsidRDefault="009F4C7C" w:rsidP="007F7A62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IV.</w:t>
      </w:r>
    </w:p>
    <w:p w14:paraId="281B6BC9" w14:textId="77777777" w:rsidR="009F4C7C" w:rsidRPr="007F7A62" w:rsidRDefault="009F4C7C" w:rsidP="007F7A62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Podmínky plnění</w:t>
      </w:r>
    </w:p>
    <w:p w14:paraId="3F02B49B" w14:textId="77777777" w:rsidR="0016343D" w:rsidRPr="0016343D" w:rsidRDefault="0016343D" w:rsidP="0016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5D77171" w14:textId="77777777" w:rsidR="009F4C7C" w:rsidRPr="007F7A62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Poskytovatel postupuje při poskytování plnění samostatně a v souladu se všemi platnými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právními předpisy a osvědčeními o akreditaci, autorizaci, s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technickými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kvalitativními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normami a předanými podklady.</w:t>
      </w:r>
    </w:p>
    <w:p w14:paraId="1527D704" w14:textId="77777777" w:rsidR="009F4C7C" w:rsidRPr="007F7A62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Poskytovatel provede požadované laboratorní vyšetření v přiměřené době, jejíž odhad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>sdělí na požádání objednateli.</w:t>
      </w:r>
    </w:p>
    <w:p w14:paraId="34707B90" w14:textId="77777777" w:rsidR="009F4C7C" w:rsidRPr="00E666ED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6ED">
        <w:rPr>
          <w:rFonts w:ascii="Times New Roman" w:hAnsi="Times New Roman" w:cs="Times New Roman"/>
          <w:sz w:val="24"/>
          <w:szCs w:val="24"/>
        </w:rPr>
        <w:t>Objednatel uděluje souhlas s realizací plnění nebo jeho část prostřednictvím plně</w:t>
      </w:r>
      <w:r w:rsidR="00F65BC7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t>kvalifikovaného akreditovaného subdodavatele. Aktuální seznam parametrů, předmětů</w:t>
      </w:r>
      <w:r w:rsidR="007F7A62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lastRenderedPageBreak/>
        <w:t>zkoušky (matric), kterých se případná subdodávka týká, a subdodavatelských laboratoří,</w:t>
      </w:r>
      <w:r w:rsidR="007F7A62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t>které využívá, jsou uvedeny na webových stránkách poskytovatele.</w:t>
      </w:r>
    </w:p>
    <w:p w14:paraId="5A410540" w14:textId="77777777" w:rsidR="009F4C7C" w:rsidRPr="00E666ED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6ED">
        <w:rPr>
          <w:rFonts w:ascii="Times New Roman" w:hAnsi="Times New Roman" w:cs="Times New Roman"/>
          <w:sz w:val="24"/>
          <w:szCs w:val="24"/>
        </w:rPr>
        <w:t>Poskytovatel má také povoleno modifikovat své metody v rámci pevného nebo</w:t>
      </w:r>
      <w:r w:rsidR="00F65BC7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t>flexibilního rozsahu akreditace na základě vlastního schválení bez posouzení ze strany</w:t>
      </w:r>
      <w:r w:rsidR="007F7A62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t>akreditačního orgánu. Objednavatel je tímto informován a souhlasí s tím, že plnění nebo</w:t>
      </w:r>
      <w:r w:rsidR="007F7A62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t>jeho část může být zpracováno metodou modifikovanou v rámci pevného nebo</w:t>
      </w:r>
      <w:r w:rsidR="007F7A62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t>flexibilního rozsahu akreditace. Na zkušebním protokolu je pak označena skutečnost, že</w:t>
      </w:r>
      <w:r w:rsidR="007F7A62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="00F94E8E" w:rsidRPr="00E666ED">
        <w:rPr>
          <w:rFonts w:ascii="Times New Roman" w:hAnsi="Times New Roman" w:cs="Times New Roman"/>
          <w:sz w:val="24"/>
          <w:szCs w:val="24"/>
        </w:rPr>
        <w:t>l</w:t>
      </w:r>
      <w:r w:rsidR="00F65BC7" w:rsidRPr="00E666ED">
        <w:rPr>
          <w:rFonts w:ascii="Times New Roman" w:hAnsi="Times New Roman" w:cs="Times New Roman"/>
          <w:sz w:val="24"/>
          <w:szCs w:val="24"/>
        </w:rPr>
        <w:t xml:space="preserve">aboratoř </w:t>
      </w:r>
      <w:r w:rsidRPr="00E666ED">
        <w:rPr>
          <w:rFonts w:ascii="Times New Roman" w:hAnsi="Times New Roman" w:cs="Times New Roman"/>
          <w:sz w:val="24"/>
          <w:szCs w:val="24"/>
        </w:rPr>
        <w:t>využila metodu modifikovanou v rámci pevného nebo</w:t>
      </w:r>
      <w:r w:rsidR="007F7A62" w:rsidRPr="00E666ED">
        <w:rPr>
          <w:rFonts w:ascii="Times New Roman" w:hAnsi="Times New Roman" w:cs="Times New Roman"/>
          <w:sz w:val="24"/>
          <w:szCs w:val="24"/>
        </w:rPr>
        <w:t xml:space="preserve"> </w:t>
      </w:r>
      <w:r w:rsidRPr="00E666ED">
        <w:rPr>
          <w:rFonts w:ascii="Times New Roman" w:hAnsi="Times New Roman" w:cs="Times New Roman"/>
          <w:sz w:val="24"/>
          <w:szCs w:val="24"/>
        </w:rPr>
        <w:t>flexibilního rozsahu akreditace.</w:t>
      </w:r>
    </w:p>
    <w:p w14:paraId="0B733C19" w14:textId="77777777" w:rsidR="009F4C7C" w:rsidRPr="007F7A62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Je-li k provedení plnění vyžadována součinnost objednatele (zejména předáním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dostatečného množství vhodných vzorků, rozhodnutí správních orgánů, upřesnění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objednávky, zajištění vstupu či vjezdu do určitého místa,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sdělení) a objednatel tuto součinnost na výzvu poskytovatele včas neposkytne, prodlužuje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se doba plnění o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> p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rodlení objednatele. V případě prodlení objednatele s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poskytnutím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vyžádané součinnosti je poskytovatel rovněž oprávněn odstoupit od jednotlivé smlouvy,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v tom případě je objednatel povinen zaplatit poskytovateli cenu dosud vykonaných prací,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spotřebovaného materiálu a další náhradu škody. V případě tohoto prodlení způsobeným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objednatelem, neodpovídá poskytovatel za nemožnost použití vzorků, jejich poškození a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další škody, které vznikly objednateli v důsledku tohoto prodlení.</w:t>
      </w:r>
    </w:p>
    <w:p w14:paraId="5ED5485F" w14:textId="77777777" w:rsidR="009F4C7C" w:rsidRPr="007F7A62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Poskytovatel není v prodlení s plněním, ani neodpovídá za škodu v případě, že mu v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plnění povinnosti z jednotlivé smlouvy dočasně nebo trvale zabránila vyšší moc -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mimořádná nepředvídatelná překážka, kterou nezavinil. Za vyšší moc se považují zejména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živelné události, nepříznivé klimatické podmínky, jiné mimořádné společenské události.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Nedojde-li k dohodě, má strana, která se vyšší moci dovolá, právo od jednotlivé smlouvy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odstoupit.</w:t>
      </w:r>
    </w:p>
    <w:p w14:paraId="374654AE" w14:textId="77777777" w:rsidR="009F4C7C" w:rsidRPr="007F7A62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Objednatel zaručuje, že veškeré vzorky jsou zabaleny adekvátně jejich biologickému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riziku a dle platné legislativy a tak, aby byla minimalizována možnost poškození během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přepravy. Poskytovatel neodpovídá za přepravu vzorků vyjma přepravy vzorků vlastními</w:t>
      </w:r>
      <w:r w:rsidR="007F7A62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svozovými vozy.</w:t>
      </w:r>
    </w:p>
    <w:p w14:paraId="202B6DD5" w14:textId="77777777" w:rsidR="009F4C7C" w:rsidRPr="007F7A62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Poskytovatel výslovně upozorňuje objednatele, že pokud zjistí při plnění jednotlivé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smlouvy skutečnosti, které vedou ke vzniku povinnosti poskytovatele oznámit zjištěné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skutečnosti příslušným orgánům, poskytovatel bez ohledu na smluvní povinnosti toto</w:t>
      </w:r>
      <w:r w:rsidR="00F65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učiní.</w:t>
      </w:r>
    </w:p>
    <w:p w14:paraId="3D2136F5" w14:textId="77777777" w:rsidR="009F4C7C" w:rsidRPr="007F7A62" w:rsidRDefault="009F4C7C" w:rsidP="007F7A62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V.</w:t>
      </w:r>
    </w:p>
    <w:p w14:paraId="3E461FC8" w14:textId="77777777" w:rsidR="009F4C7C" w:rsidRPr="007F7A62" w:rsidRDefault="009F4C7C" w:rsidP="007F7A62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Cena</w:t>
      </w:r>
    </w:p>
    <w:p w14:paraId="233E2023" w14:textId="77777777" w:rsidR="0016343D" w:rsidRPr="0016343D" w:rsidRDefault="0016343D" w:rsidP="0016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163A872" w14:textId="77777777" w:rsidR="002C2DE3" w:rsidRPr="002C2DE3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DE3">
        <w:rPr>
          <w:rFonts w:ascii="Times New Roman" w:hAnsi="Times New Roman" w:cs="Times New Roman"/>
          <w:color w:val="000000"/>
          <w:sz w:val="24"/>
          <w:szCs w:val="24"/>
        </w:rPr>
        <w:t>Cena za provedení služby podle jednotlivé smlouvy o poskytnutí služby bude určena</w:t>
      </w:r>
      <w:r w:rsidR="007F7A62" w:rsidRPr="002C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DE3">
        <w:rPr>
          <w:rFonts w:ascii="Times New Roman" w:hAnsi="Times New Roman" w:cs="Times New Roman"/>
          <w:color w:val="000000"/>
          <w:sz w:val="24"/>
          <w:szCs w:val="24"/>
        </w:rPr>
        <w:t xml:space="preserve">ceníkem poskytovatele platným ke dni uzavření jednotlivé smlouvy. </w:t>
      </w:r>
      <w:r w:rsidR="002C2DE3">
        <w:rPr>
          <w:rFonts w:ascii="Times New Roman" w:hAnsi="Times New Roman"/>
          <w:color w:val="000000"/>
          <w:sz w:val="24"/>
          <w:szCs w:val="24"/>
        </w:rPr>
        <w:t>Fakturované plnění bude poskytnuto poskytovatelem v rámci výkonu jeho působnosti stanovené zák. č.  219/2000 Sb. pod č.j. 20818/2001-3030 ze dne 11.7.2001 v oblasti veřejné správy dle  § 5 odst. 3 zák. č. 235/2004 Sb. Výše nákladů byla stanovena na základě Sazebníku nákladů na laboratorní diagnostiku a služeb, kterou se stanoví sazebník náhrad nákladů za odborné a zkušební úkony vykonávané v působnosti poskytovatele, ve znění pozdějších předpisů.</w:t>
      </w:r>
    </w:p>
    <w:p w14:paraId="0741ED11" w14:textId="77777777" w:rsidR="008470B2" w:rsidRPr="002C2DE3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DE3">
        <w:rPr>
          <w:rFonts w:ascii="Times New Roman" w:hAnsi="Times New Roman" w:cs="Times New Roman"/>
          <w:color w:val="000000"/>
          <w:sz w:val="24"/>
          <w:szCs w:val="24"/>
        </w:rPr>
        <w:t>Celková výše ceny za jednotlivá plnění dle této smlouvy nepřekročí po dobu jejího trvání</w:t>
      </w:r>
      <w:r w:rsidR="007F7A62" w:rsidRPr="002C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144" w:rsidRPr="002C2DE3">
        <w:rPr>
          <w:rFonts w:ascii="Times New Roman" w:hAnsi="Times New Roman" w:cs="Times New Roman"/>
          <w:color w:val="000000"/>
          <w:sz w:val="24"/>
          <w:szCs w:val="24"/>
        </w:rPr>
        <w:t>částku 1 000 000 Kč.</w:t>
      </w:r>
    </w:p>
    <w:p w14:paraId="07305BE1" w14:textId="77777777" w:rsidR="009F4C7C" w:rsidRPr="007F7A62" w:rsidRDefault="009F4C7C" w:rsidP="0021769D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VI.</w:t>
      </w:r>
    </w:p>
    <w:p w14:paraId="65416AC7" w14:textId="77777777" w:rsidR="009F4C7C" w:rsidRPr="007F7A62" w:rsidRDefault="009F4C7C" w:rsidP="0021769D">
      <w:pPr>
        <w:pStyle w:val="Nadpis2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Fakturační a platební podmínky</w:t>
      </w:r>
    </w:p>
    <w:p w14:paraId="19AA3C4C" w14:textId="77777777" w:rsidR="0016343D" w:rsidRPr="0016343D" w:rsidRDefault="0016343D" w:rsidP="0016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2D7E795" w14:textId="77777777" w:rsidR="009F4C7C" w:rsidRPr="007F7A62" w:rsidRDefault="009F4C7C" w:rsidP="0016343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Objednatel zaplatí poskytovateli cenu za provedení služby podle jednotlivé smlouvy o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poskytnutí služby na základě faktury vystavené poskytovatelem, která bude obsahovat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náležitosti daňového dokladu. Poskytovatel je oprávněn fakturovat provedení služby po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odeslání Zkušebního protokolu objednateli.</w:t>
      </w:r>
    </w:p>
    <w:p w14:paraId="1FDC0CE8" w14:textId="77777777" w:rsidR="009F4C7C" w:rsidRPr="007F7A62" w:rsidRDefault="009F4C7C" w:rsidP="00227A3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Objednatel se zavazuje vyúčtovanou cenu zaplatit ve lhůtě splatnosti, která je </w:t>
      </w:r>
      <w:r w:rsidR="00227A3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227A3F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dnů ode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dne vystavení faktury. V některých případech může být po domluvě se zhotovitelem i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delší. Povinnost objednatele zaplatit vyúčtovanou cenu se považuje za splněnou jejím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připsáním na účet poskytovatele.</w:t>
      </w:r>
    </w:p>
    <w:p w14:paraId="57E7E896" w14:textId="77777777" w:rsidR="009F4C7C" w:rsidRPr="007F7A62" w:rsidRDefault="009F4C7C" w:rsidP="00227A3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Po objednateli, který je v prodlení se zaplacením peněžitého dluhu, je poskytovatel</w:t>
      </w:r>
    </w:p>
    <w:p w14:paraId="76D2A731" w14:textId="77777777" w:rsidR="009F4C7C" w:rsidRPr="007F7A62" w:rsidRDefault="009F4C7C" w:rsidP="00227A3F">
      <w:pPr>
        <w:pStyle w:val="Odstavecseseznamem"/>
        <w:autoSpaceDE w:val="0"/>
        <w:autoSpaceDN w:val="0"/>
        <w:adjustRightInd w:val="0"/>
        <w:spacing w:after="0" w:line="240" w:lineRule="auto"/>
        <w:ind w:left="426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oprávněn požadovat zaplacení úroku z prodlení dle Nařízení vlády č. 351/2013 Sb.</w:t>
      </w:r>
    </w:p>
    <w:p w14:paraId="0A6507CD" w14:textId="77777777" w:rsidR="009F4C7C" w:rsidRPr="007F7A62" w:rsidRDefault="009F4C7C" w:rsidP="007445FD">
      <w:pPr>
        <w:pStyle w:val="Nadpis2"/>
        <w:ind w:left="709" w:hanging="709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VII.</w:t>
      </w:r>
    </w:p>
    <w:p w14:paraId="60E906D5" w14:textId="77777777" w:rsidR="009F4C7C" w:rsidRPr="007F7A62" w:rsidRDefault="009F4C7C" w:rsidP="007445FD">
      <w:pPr>
        <w:pStyle w:val="Nadpis2"/>
        <w:ind w:left="709" w:hanging="709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Předání plnění</w:t>
      </w:r>
    </w:p>
    <w:p w14:paraId="66B7FE88" w14:textId="77777777" w:rsidR="0016343D" w:rsidRPr="0016343D" w:rsidRDefault="0016343D" w:rsidP="007445F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BAC897D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Plnění poskytovatele je dokončeno vyhotovením písemného Zkušebního protokolu.</w:t>
      </w:r>
    </w:p>
    <w:p w14:paraId="65235155" w14:textId="77777777" w:rsidR="009F4C7C" w:rsidRPr="00167EFE" w:rsidRDefault="009F4C7C" w:rsidP="00227A3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 New Roman"/>
          <w:szCs w:val="24"/>
        </w:rPr>
      </w:pPr>
      <w:r w:rsidRPr="00C651D5">
        <w:rPr>
          <w:rFonts w:ascii="Times New Roman" w:hAnsi="Times New Roman" w:cs="Times New Roman"/>
          <w:color w:val="000000"/>
          <w:sz w:val="24"/>
          <w:szCs w:val="24"/>
        </w:rPr>
        <w:t>Zkušební protokol předá poskytovatel objednateli jeho odesláním prostřednictvím držitele</w:t>
      </w:r>
      <w:r w:rsidR="0021769D" w:rsidRPr="00C651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1D5">
        <w:rPr>
          <w:rFonts w:ascii="Times New Roman" w:hAnsi="Times New Roman" w:cs="Times New Roman"/>
          <w:color w:val="000000"/>
          <w:sz w:val="24"/>
          <w:szCs w:val="24"/>
        </w:rPr>
        <w:t>poštovní licence na adresu uvedenou v žádance či na adresu sídla, místa podnikání objednatele, odesláním elektronick</w:t>
      </w:r>
      <w:r w:rsidR="00C651D5" w:rsidRPr="00C651D5">
        <w:rPr>
          <w:rFonts w:ascii="Times New Roman" w:hAnsi="Times New Roman" w:cs="Times New Roman"/>
          <w:color w:val="000000"/>
          <w:sz w:val="24"/>
          <w:szCs w:val="24"/>
        </w:rPr>
        <w:t>y přes systém MAIA +</w:t>
      </w:r>
      <w:r w:rsidRPr="00C651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F40A50" w14:textId="77777777" w:rsidR="00227A3F" w:rsidRDefault="00227A3F" w:rsidP="007445FD">
      <w:pPr>
        <w:pStyle w:val="Nadpis2"/>
        <w:ind w:left="709" w:hanging="709"/>
        <w:rPr>
          <w:rFonts w:cs="Times New Roman"/>
          <w:szCs w:val="24"/>
        </w:rPr>
      </w:pPr>
    </w:p>
    <w:p w14:paraId="2B3C7023" w14:textId="77777777" w:rsidR="00227A3F" w:rsidRDefault="00227A3F" w:rsidP="007445FD">
      <w:pPr>
        <w:pStyle w:val="Nadpis2"/>
        <w:ind w:left="709" w:hanging="709"/>
        <w:rPr>
          <w:rFonts w:cs="Times New Roman"/>
          <w:szCs w:val="24"/>
        </w:rPr>
      </w:pPr>
      <w:r>
        <w:rPr>
          <w:rFonts w:cs="Times New Roman"/>
          <w:szCs w:val="24"/>
        </w:rPr>
        <w:t>VIII.</w:t>
      </w:r>
    </w:p>
    <w:p w14:paraId="48A6B6B9" w14:textId="77777777" w:rsidR="009F4C7C" w:rsidRPr="007F7A62" w:rsidRDefault="009F4C7C" w:rsidP="007445FD">
      <w:pPr>
        <w:pStyle w:val="Nadpis2"/>
        <w:ind w:left="709" w:hanging="709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Doba trvání smlouvy</w:t>
      </w:r>
    </w:p>
    <w:p w14:paraId="3EBCA00A" w14:textId="77777777" w:rsidR="0016343D" w:rsidRPr="0016343D" w:rsidRDefault="0016343D" w:rsidP="007445F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5546863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Tato Smlouva se uzavírá na dobu určitou, tj. do </w:t>
      </w:r>
      <w:r w:rsidR="00062A12" w:rsidRPr="0016343D">
        <w:rPr>
          <w:rFonts w:ascii="Times New Roman" w:hAnsi="Times New Roman" w:cs="Times New Roman"/>
          <w:color w:val="000000"/>
          <w:sz w:val="24"/>
          <w:szCs w:val="24"/>
        </w:rPr>
        <w:t>31.12.</w:t>
      </w:r>
      <w:r w:rsidR="00253EC7" w:rsidRPr="0016343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600AD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1634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35861D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Každá ze smluvních stran je oprávněna tuto Smlouvu vypovědět v jednoměsíční lhůtě,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která počíná běžet 1. dnem měsíce následující po doručení písemné výpovědi druhé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smluvní straně.</w:t>
      </w:r>
    </w:p>
    <w:p w14:paraId="0A66F2CF" w14:textId="77777777" w:rsidR="009F4C7C" w:rsidRPr="007F7A62" w:rsidRDefault="009F4C7C" w:rsidP="007445FD">
      <w:pPr>
        <w:pStyle w:val="Nadpis2"/>
        <w:ind w:left="709" w:hanging="709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IX.</w:t>
      </w:r>
    </w:p>
    <w:p w14:paraId="2A7DB4CF" w14:textId="77777777" w:rsidR="009F4C7C" w:rsidRPr="007F7A62" w:rsidRDefault="009F4C7C" w:rsidP="007445FD">
      <w:pPr>
        <w:pStyle w:val="Nadpis2"/>
        <w:ind w:left="709" w:hanging="709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Ostatní ujednání</w:t>
      </w:r>
    </w:p>
    <w:p w14:paraId="338E3939" w14:textId="77777777" w:rsidR="007445FD" w:rsidRPr="007445FD" w:rsidRDefault="007445FD" w:rsidP="007445F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236193E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Smluvní strany se dohodly, že vylučují použití ustanovení § 558 odst.2, § 1726, § 1728, §1729, § 1740 odst. 3, § 1751 odst.2, § 1757 odst. 2 a 3, § 1765, § 1799, § 1800 a § 1950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občanského zákoníku.</w:t>
      </w:r>
    </w:p>
    <w:p w14:paraId="2073620D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Objednatel není oprávněn postoupit jakoukoliv pohledávku za poskytovatelem na třetí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osobu bez předchozího písemného souhlasu poskytovatele.</w:t>
      </w:r>
    </w:p>
    <w:p w14:paraId="05855063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Smluvní strany se podle § 89a o.s.ř. dohodly, že místně příslušným soudem pro</w:t>
      </w:r>
    </w:p>
    <w:p w14:paraId="66699A43" w14:textId="77777777" w:rsidR="009F4C7C" w:rsidRPr="007F7A62" w:rsidRDefault="009F4C7C" w:rsidP="007445FD">
      <w:pPr>
        <w:pStyle w:val="Odstavecseseznamem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rozhodování všech sporů vyplývajících z této Smlouvy je obecný soud poskytovatele,</w:t>
      </w:r>
    </w:p>
    <w:p w14:paraId="7C4FF44C" w14:textId="77777777" w:rsidR="009F4C7C" w:rsidRPr="007F7A62" w:rsidRDefault="009F4C7C" w:rsidP="007445FD">
      <w:pPr>
        <w:pStyle w:val="Odstavecseseznamem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ledaže zákon pro určitý spor stanoví příslušnost výlučnou.</w:t>
      </w:r>
    </w:p>
    <w:p w14:paraId="225C0065" w14:textId="77777777" w:rsidR="009F4C7C" w:rsidRPr="007F7A62" w:rsidRDefault="009F4C7C" w:rsidP="007445FD">
      <w:pPr>
        <w:pStyle w:val="Nadpis2"/>
        <w:ind w:left="709" w:hanging="709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X.</w:t>
      </w:r>
    </w:p>
    <w:p w14:paraId="3E87F50A" w14:textId="77777777" w:rsidR="009F4C7C" w:rsidRPr="007F7A62" w:rsidRDefault="009F4C7C" w:rsidP="007445FD">
      <w:pPr>
        <w:pStyle w:val="Nadpis2"/>
        <w:ind w:left="709" w:hanging="709"/>
        <w:rPr>
          <w:rFonts w:cs="Times New Roman"/>
          <w:szCs w:val="24"/>
        </w:rPr>
      </w:pPr>
      <w:r w:rsidRPr="007F7A62">
        <w:rPr>
          <w:rFonts w:cs="Times New Roman"/>
          <w:szCs w:val="24"/>
        </w:rPr>
        <w:t>Závěrečná ujednání</w:t>
      </w:r>
    </w:p>
    <w:p w14:paraId="00D04C04" w14:textId="77777777" w:rsidR="007445FD" w:rsidRPr="007445FD" w:rsidRDefault="007445FD" w:rsidP="007445F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200DE97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Právní vztahy neupravené touto Smlouvou či jednotlivou smlouvou o poskytnutí služby se řídí právním řádem České republiky, zejména pak příslušnými ustanoveními občanského zákoníku.</w:t>
      </w:r>
    </w:p>
    <w:p w14:paraId="066815FC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Tato Smlouva je vyhotovena ve dvou stejnopisech, z nichž každá strana obdrží po jednom originálu. Objednatel výslovně souhlasí s tím, že tato smlouva bude zveřejněna v souladu se zákonnou právní úpravou v Registru smluv.</w:t>
      </w:r>
    </w:p>
    <w:p w14:paraId="62201C4B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Tato Smlouva může být měněna nebo doplňována výlučně písemnou dohodou smluvních stran formou číslovaných dodatků.</w:t>
      </w:r>
    </w:p>
    <w:p w14:paraId="04EA487C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Tato Smlouva představuje úplnou dohodu mezi oběma smluvními stranami a ke dni nabytí její účinnosti nahrazuje veškeré dřívější smlouvy a ujednání mezi smluvními stranami včetně dodatků k nim týkající se téhož předmětu, ať už byly učiněny písemně či ústně. Takové dřívější smlouvy či ujednání se tímto ruší okamžikem podpisu této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lastRenderedPageBreak/>
        <w:t>Smlouvy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smluvními stranami, avšak bez újmy na právech, která mohla z takových dřívějších smluv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či ujednání již vzniknout některé ze smluvních stran.</w:t>
      </w:r>
    </w:p>
    <w:p w14:paraId="2AEB6B5B" w14:textId="77777777" w:rsidR="009F4C7C" w:rsidRPr="007F7A62" w:rsidRDefault="009F4C7C" w:rsidP="007445F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>Smlouva nabývá platnosti dnem jejího podpisu oběma smluvními stranami a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dnem uveřejnění v Registru smluv. Případné plnění stran v rámci předmětu této smlouvy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před účinností této smlouvy se považuje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za plnění podle této smlouvy a 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práva a povinnosti</w:t>
      </w:r>
      <w:r w:rsidR="0021769D"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z něj vzniklé se řídí touto smlouvou.</w:t>
      </w:r>
    </w:p>
    <w:p w14:paraId="24823F47" w14:textId="77777777" w:rsidR="00E20076" w:rsidRDefault="00E20076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249A1" w14:textId="77777777" w:rsidR="00E20076" w:rsidRDefault="00E20076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F803A" w14:textId="77777777" w:rsidR="006F5518" w:rsidRDefault="006F5518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709A2" w14:textId="77777777" w:rsidR="006F5518" w:rsidRDefault="006F5518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98083" w14:textId="77777777" w:rsidR="006F5518" w:rsidRDefault="006F5518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41AC0" w14:textId="77777777" w:rsidR="00E20076" w:rsidRDefault="00E20076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306A7" w14:textId="77777777" w:rsidR="009F4C7C" w:rsidRPr="007F7A62" w:rsidRDefault="009F4C7C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V Praze dne                                                     </w:t>
      </w:r>
      <w:r w:rsidR="00062A1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A4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V Praze dne </w:t>
      </w:r>
    </w:p>
    <w:p w14:paraId="48E2F269" w14:textId="77777777" w:rsidR="009F4C7C" w:rsidRPr="007F7A62" w:rsidRDefault="009F4C7C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A7365" w14:textId="77777777" w:rsidR="009F4C7C" w:rsidRPr="007F7A62" w:rsidRDefault="009F4C7C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9CDF3" w14:textId="77777777" w:rsidR="009F4C7C" w:rsidRPr="007F7A62" w:rsidRDefault="009F4C7C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---------------------------------------------                     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</w:t>
      </w:r>
    </w:p>
    <w:p w14:paraId="5E4E981A" w14:textId="77777777" w:rsidR="009F4C7C" w:rsidRPr="007F7A62" w:rsidRDefault="00F94E8E" w:rsidP="007445F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poskytovatel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9F4C7C" w:rsidRPr="007F7A62">
        <w:rPr>
          <w:rFonts w:ascii="Times New Roman" w:hAnsi="Times New Roman" w:cs="Times New Roman"/>
          <w:color w:val="000000"/>
          <w:sz w:val="24"/>
          <w:szCs w:val="24"/>
        </w:rPr>
        <w:t>objednatel</w:t>
      </w:r>
    </w:p>
    <w:p w14:paraId="082DF976" w14:textId="77777777" w:rsidR="0087686E" w:rsidRPr="007F7A62" w:rsidRDefault="009F4C7C" w:rsidP="007445FD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7F7A62">
        <w:rPr>
          <w:rFonts w:ascii="Times New Roman" w:hAnsi="Times New Roman" w:cs="Times New Roman"/>
          <w:color w:val="000000"/>
          <w:sz w:val="24"/>
          <w:szCs w:val="24"/>
        </w:rPr>
        <w:t xml:space="preserve">MVDr. Kamil Sedlák, </w:t>
      </w:r>
      <w:r w:rsidR="00F94E8E">
        <w:rPr>
          <w:rFonts w:ascii="Times New Roman" w:hAnsi="Times New Roman" w:cs="Times New Roman"/>
          <w:color w:val="000000"/>
          <w:sz w:val="24"/>
          <w:szCs w:val="24"/>
        </w:rPr>
        <w:t>Ph.D.</w:t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7A6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62A12">
        <w:rPr>
          <w:rFonts w:ascii="Times New Roman" w:hAnsi="Times New Roman" w:cs="Times New Roman"/>
          <w:color w:val="000000"/>
          <w:sz w:val="24"/>
          <w:szCs w:val="24"/>
        </w:rPr>
        <w:t>Ing. Jakub Kejval</w:t>
      </w:r>
    </w:p>
    <w:p w14:paraId="66C7D970" w14:textId="77777777" w:rsidR="007F7A62" w:rsidRDefault="007F7A62" w:rsidP="007445FD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1BED9906" w14:textId="77777777" w:rsidR="00F94E8E" w:rsidRDefault="00F94E8E" w:rsidP="007445FD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5142DE9" w14:textId="77777777" w:rsidR="00F94E8E" w:rsidRDefault="00F94E8E" w:rsidP="007445FD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231F5FE" w14:textId="77777777" w:rsidR="00F94E8E" w:rsidRPr="007F7A62" w:rsidRDefault="00F94E8E" w:rsidP="007445FD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sectPr w:rsidR="00F94E8E" w:rsidRPr="007F7A62" w:rsidSect="00227A3F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B5D9B" w14:textId="77777777" w:rsidR="00B133E1" w:rsidRDefault="00B133E1" w:rsidP="00F94E8E">
      <w:pPr>
        <w:spacing w:after="0" w:line="240" w:lineRule="auto"/>
      </w:pPr>
      <w:r>
        <w:separator/>
      </w:r>
    </w:p>
  </w:endnote>
  <w:endnote w:type="continuationSeparator" w:id="0">
    <w:p w14:paraId="00CB5343" w14:textId="77777777" w:rsidR="00B133E1" w:rsidRDefault="00B133E1" w:rsidP="00F9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2145802"/>
      <w:docPartObj>
        <w:docPartGallery w:val="Page Numbers (Bottom of Page)"/>
        <w:docPartUnique/>
      </w:docPartObj>
    </w:sdtPr>
    <w:sdtEndPr/>
    <w:sdtContent>
      <w:p w14:paraId="7BA454E1" w14:textId="77777777" w:rsidR="00F94E8E" w:rsidRDefault="00F94E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73">
          <w:rPr>
            <w:noProof/>
          </w:rPr>
          <w:t>5</w:t>
        </w:r>
        <w:r>
          <w:fldChar w:fldCharType="end"/>
        </w:r>
      </w:p>
    </w:sdtContent>
  </w:sdt>
  <w:p w14:paraId="6A593D2D" w14:textId="77777777" w:rsidR="00F94E8E" w:rsidRDefault="00F94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713E1" w14:textId="77777777" w:rsidR="00B133E1" w:rsidRDefault="00B133E1" w:rsidP="00F94E8E">
      <w:pPr>
        <w:spacing w:after="0" w:line="240" w:lineRule="auto"/>
      </w:pPr>
      <w:r>
        <w:separator/>
      </w:r>
    </w:p>
  </w:footnote>
  <w:footnote w:type="continuationSeparator" w:id="0">
    <w:p w14:paraId="0B4E740A" w14:textId="77777777" w:rsidR="00B133E1" w:rsidRDefault="00B133E1" w:rsidP="00F9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FD3"/>
    <w:multiLevelType w:val="multilevel"/>
    <w:tmpl w:val="ED965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D50F32"/>
    <w:multiLevelType w:val="multilevel"/>
    <w:tmpl w:val="ED965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123489"/>
    <w:multiLevelType w:val="multilevel"/>
    <w:tmpl w:val="ED965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9374B7"/>
    <w:multiLevelType w:val="hybridMultilevel"/>
    <w:tmpl w:val="26B6668E"/>
    <w:lvl w:ilvl="0" w:tplc="96C6BE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3596"/>
    <w:multiLevelType w:val="multilevel"/>
    <w:tmpl w:val="ED965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845C81"/>
    <w:multiLevelType w:val="multilevel"/>
    <w:tmpl w:val="ED965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94062F"/>
    <w:multiLevelType w:val="hybridMultilevel"/>
    <w:tmpl w:val="C560A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7C"/>
    <w:rsid w:val="00062A12"/>
    <w:rsid w:val="000901CA"/>
    <w:rsid w:val="000C64B9"/>
    <w:rsid w:val="00156224"/>
    <w:rsid w:val="0016343D"/>
    <w:rsid w:val="00167EFE"/>
    <w:rsid w:val="001B1DB6"/>
    <w:rsid w:val="0021769D"/>
    <w:rsid w:val="00227A3F"/>
    <w:rsid w:val="00253EC7"/>
    <w:rsid w:val="002C2DE3"/>
    <w:rsid w:val="00394744"/>
    <w:rsid w:val="003F3F35"/>
    <w:rsid w:val="004609F4"/>
    <w:rsid w:val="004822A2"/>
    <w:rsid w:val="004C38BC"/>
    <w:rsid w:val="00557C73"/>
    <w:rsid w:val="00571961"/>
    <w:rsid w:val="005D09A2"/>
    <w:rsid w:val="006672B6"/>
    <w:rsid w:val="006A42E7"/>
    <w:rsid w:val="006F5518"/>
    <w:rsid w:val="007445FD"/>
    <w:rsid w:val="00754DEC"/>
    <w:rsid w:val="007600AD"/>
    <w:rsid w:val="00780C0D"/>
    <w:rsid w:val="007E09F8"/>
    <w:rsid w:val="007F7A62"/>
    <w:rsid w:val="008470B2"/>
    <w:rsid w:val="0087686E"/>
    <w:rsid w:val="00891900"/>
    <w:rsid w:val="00966078"/>
    <w:rsid w:val="00995144"/>
    <w:rsid w:val="009A4502"/>
    <w:rsid w:val="009F4C7C"/>
    <w:rsid w:val="00A81F4D"/>
    <w:rsid w:val="00B133E1"/>
    <w:rsid w:val="00BB1939"/>
    <w:rsid w:val="00C36219"/>
    <w:rsid w:val="00C651D5"/>
    <w:rsid w:val="00D13F7A"/>
    <w:rsid w:val="00D23CF3"/>
    <w:rsid w:val="00D73041"/>
    <w:rsid w:val="00DC2C2D"/>
    <w:rsid w:val="00DD340B"/>
    <w:rsid w:val="00E20076"/>
    <w:rsid w:val="00E440F3"/>
    <w:rsid w:val="00E666ED"/>
    <w:rsid w:val="00F02279"/>
    <w:rsid w:val="00F043E1"/>
    <w:rsid w:val="00F47FF1"/>
    <w:rsid w:val="00F65BC7"/>
    <w:rsid w:val="00F8299D"/>
    <w:rsid w:val="00F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3F25"/>
  <w15:docId w15:val="{A1D566AD-AA9A-4255-AA1F-536B9ADF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7A3F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7A3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kdo">
    <w:name w:val="kdo"/>
    <w:basedOn w:val="Normln"/>
    <w:qFormat/>
    <w:rsid w:val="007F7A62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5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E8E"/>
  </w:style>
  <w:style w:type="paragraph" w:styleId="Zpat">
    <w:name w:val="footer"/>
    <w:basedOn w:val="Normln"/>
    <w:link w:val="ZpatChar"/>
    <w:uiPriority w:val="99"/>
    <w:unhideWhenUsed/>
    <w:rsid w:val="00F9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E8E"/>
  </w:style>
  <w:style w:type="paragraph" w:styleId="Textbubliny">
    <w:name w:val="Balloon Text"/>
    <w:basedOn w:val="Normln"/>
    <w:link w:val="TextbublinyChar"/>
    <w:uiPriority w:val="99"/>
    <w:semiHidden/>
    <w:unhideWhenUsed/>
    <w:rsid w:val="00F0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3E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36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62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62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6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6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932E-6A65-4EBC-A86F-52413E34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1560</Words>
  <Characters>9204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seberkova</cp:lastModifiedBy>
  <cp:revision>2</cp:revision>
  <cp:lastPrinted>2018-09-19T12:32:00Z</cp:lastPrinted>
  <dcterms:created xsi:type="dcterms:W3CDTF">2021-01-11T14:36:00Z</dcterms:created>
  <dcterms:modified xsi:type="dcterms:W3CDTF">2021-01-11T14:36:00Z</dcterms:modified>
  <cp:contentStatus/>
</cp:coreProperties>
</file>