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Dodatek č. 1 ke Smlouvě o nájmu audiovizuálního zařízení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>uzavřené níže uvedenými smluvními stranami v souladu se zákonem č. 89/2012 Sb., občanský zákoník (dále jen „Smlouva“)</w:t>
      </w:r>
    </w:p>
    <w:p>
      <w:pPr>
        <w:pStyle w:val="Normal"/>
        <w:spacing w:lineRule="auto" w:line="240" w:before="0" w:after="0"/>
        <w:jc w:val="center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  <w:t>Smluvní strany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Česká filharmonie / Galerie Rudolfinum</w:t>
        <w:br/>
      </w:r>
      <w:r>
        <w:rPr>
          <w:rFonts w:cs="Tahoma" w:ascii="Tahoma" w:hAnsi="Tahoma"/>
          <w:sz w:val="20"/>
          <w:szCs w:val="20"/>
        </w:rPr>
        <w:t xml:space="preserve">se sídlem </w:t>
        <w:tab/>
        <w:tab/>
        <w:t xml:space="preserve">Alšovo nábřeží 12, Praha 1, PSČ 110 00, </w:t>
        <w:br/>
        <w:t xml:space="preserve">IČ: </w:t>
        <w:tab/>
        <w:tab/>
        <w:tab/>
        <w:t xml:space="preserve">00023264, 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DIČ: </w:t>
        <w:tab/>
        <w:tab/>
        <w:tab/>
        <w:t>CZ00023264,</w:t>
        <w:br/>
        <w:t xml:space="preserve">zastoupená </w:t>
        <w:tab/>
        <w:tab/>
        <w:t xml:space="preserve">PhDr. Petrem Nedomou – ředitelem 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br/>
        <w:t>(dále jen „</w:t>
      </w:r>
      <w:r>
        <w:rPr>
          <w:rFonts w:cs="Tahoma" w:ascii="Tahoma" w:hAnsi="Tahoma"/>
          <w:b/>
          <w:sz w:val="20"/>
          <w:szCs w:val="20"/>
        </w:rPr>
        <w:t>Nájemce</w:t>
      </w:r>
      <w:r>
        <w:rPr>
          <w:rFonts w:cs="Tahoma" w:ascii="Tahoma" w:hAnsi="Tahoma"/>
          <w:sz w:val="20"/>
          <w:szCs w:val="20"/>
        </w:rPr>
        <w:t>“)</w:t>
      </w:r>
    </w:p>
    <w:p>
      <w:pPr>
        <w:pStyle w:val="Normal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AV MEDIA EVENTS, a.s.</w:t>
        <w:br/>
      </w:r>
      <w:r>
        <w:rPr>
          <w:rFonts w:cs="Tahoma" w:ascii="Tahoma" w:hAnsi="Tahoma"/>
          <w:sz w:val="20"/>
          <w:szCs w:val="20"/>
        </w:rPr>
        <w:t xml:space="preserve">se sídlem </w:t>
        <w:tab/>
        <w:tab/>
        <w:t>Pražská 1335/63, 102 00 Praha 10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IČ: </w:t>
        <w:tab/>
        <w:tab/>
        <w:tab/>
        <w:t>07306008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DIČ:</w:t>
        <w:tab/>
        <w:tab/>
        <w:tab/>
        <w:t>CZ07306008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Zastoupená</w:t>
        <w:tab/>
        <w:tab/>
        <w:t>Janem Kubincem – prokuristou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br/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(dále jen „</w:t>
      </w:r>
      <w:r>
        <w:rPr>
          <w:rFonts w:cs="Tahoma" w:ascii="Tahoma" w:hAnsi="Tahoma"/>
          <w:b/>
          <w:bCs/>
          <w:sz w:val="20"/>
          <w:szCs w:val="20"/>
        </w:rPr>
        <w:t>Pronajímatel</w:t>
      </w:r>
      <w:r>
        <w:rPr>
          <w:rFonts w:cs="Tahoma" w:ascii="Tahoma" w:hAnsi="Tahoma"/>
          <w:sz w:val="20"/>
          <w:szCs w:val="20"/>
        </w:rPr>
        <w:t>“)</w:t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(společně dále též „</w:t>
      </w:r>
      <w:r>
        <w:rPr>
          <w:rFonts w:cs="Tahoma" w:ascii="Tahoma" w:hAnsi="Tahoma"/>
          <w:b/>
          <w:sz w:val="20"/>
          <w:szCs w:val="20"/>
        </w:rPr>
        <w:t>smluvní strany</w:t>
      </w:r>
      <w:r>
        <w:rPr>
          <w:rFonts w:cs="Tahoma" w:ascii="Tahoma" w:hAnsi="Tahoma"/>
          <w:sz w:val="20"/>
          <w:szCs w:val="20"/>
        </w:rPr>
        <w:t>“)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sz w:val="20"/>
          <w:szCs w:val="20"/>
          <w:lang w:eastAsia="cs-CZ"/>
        </w:rPr>
      </w:pPr>
      <w:r>
        <w:rPr>
          <w:rFonts w:eastAsia="Times New Roman" w:cs="Tahoma" w:ascii="Tahoma" w:hAnsi="Tahoma"/>
          <w:sz w:val="20"/>
          <w:szCs w:val="20"/>
          <w:lang w:eastAsia="cs-CZ"/>
        </w:rPr>
      </w:r>
    </w:p>
    <w:p>
      <w:pPr>
        <w:pStyle w:val="Normal"/>
        <w:tabs>
          <w:tab w:val="clear" w:pos="708"/>
          <w:tab w:val="left" w:pos="2127" w:leader="none"/>
        </w:tabs>
        <w:jc w:val="both"/>
        <w:rPr>
          <w:rFonts w:ascii="Tahoma" w:hAnsi="Tahoma" w:cs="Tahoma"/>
          <w:iCs/>
          <w:sz w:val="20"/>
          <w:szCs w:val="20"/>
        </w:rPr>
      </w:pPr>
      <w:r>
        <w:rPr>
          <w:rFonts w:cs="Tahoma" w:ascii="Tahoma" w:hAnsi="Tahoma"/>
          <w:iCs/>
          <w:sz w:val="20"/>
          <w:szCs w:val="20"/>
        </w:rPr>
        <w:t xml:space="preserve">uzavírají Dodatek č. 1 ke Smlouvě o nájmu audiovizuálního zařízení ze dne 30. 9. 2020 (dále jen „Smlouva“). </w:t>
      </w:r>
    </w:p>
    <w:p>
      <w:pPr>
        <w:pStyle w:val="Normal"/>
        <w:spacing w:lineRule="auto" w:line="240" w:before="0" w:after="0"/>
        <w:jc w:val="center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  <w:t>I.</w:t>
      </w:r>
    </w:p>
    <w:p>
      <w:pPr>
        <w:pStyle w:val="Normal"/>
        <w:spacing w:lineRule="auto" w:line="240" w:before="0" w:after="0"/>
        <w:jc w:val="center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  <w:t>Preambule</w:t>
      </w:r>
    </w:p>
    <w:p>
      <w:pPr>
        <w:pStyle w:val="Normal"/>
        <w:spacing w:lineRule="auto" w:line="240" w:before="0" w:after="0"/>
        <w:jc w:val="center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</w:r>
    </w:p>
    <w:p>
      <w:pPr>
        <w:pStyle w:val="ListParagraph"/>
        <w:numPr>
          <w:ilvl w:val="0"/>
          <w:numId w:val="5"/>
        </w:numPr>
        <w:spacing w:before="0" w:after="0"/>
        <w:ind w:left="567" w:hanging="567"/>
        <w:contextualSpacing/>
        <w:jc w:val="both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 xml:space="preserve">Tento dodatek č. 1 Smlouvy je uzavírán ke Smlouvě pro realizaci veřejné zakázky s názvem </w:t>
      </w: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  <w:t xml:space="preserve">„Zapůjčení, instalace a servis provozu audiovizuálních zařízení“.    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</w:r>
    </w:p>
    <w:p>
      <w:pPr>
        <w:pStyle w:val="ListParagraph"/>
        <w:numPr>
          <w:ilvl w:val="0"/>
          <w:numId w:val="5"/>
        </w:numPr>
        <w:spacing w:before="0" w:after="0"/>
        <w:ind w:left="567" w:hanging="567"/>
        <w:contextualSpacing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>Vzhledem k tomu, že po uzavření smlouvy, vznikla mezi smluvními stranami:</w:t>
      </w:r>
    </w:p>
    <w:p>
      <w:pPr>
        <w:pStyle w:val="BodyText21"/>
        <w:rPr>
          <w:rFonts w:ascii="Tahoma" w:hAnsi="Tahoma" w:eastAsia="MS Mincho" w:cs="Tahoma"/>
          <w:bCs/>
          <w:color w:val="auto"/>
        </w:rPr>
      </w:pPr>
      <w:r>
        <w:rPr>
          <w:rFonts w:eastAsia="MS Mincho" w:cs="Tahoma" w:ascii="Tahoma" w:hAnsi="Tahoma"/>
          <w:bCs/>
          <w:color w:val="auto"/>
        </w:rPr>
        <w:t xml:space="preserve">                                             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993" w:hanging="426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iCs/>
          <w:sz w:val="20"/>
          <w:szCs w:val="20"/>
        </w:rPr>
        <w:t>potřeba změny předmětu plnění, jejíž potřeba vznikla v důsledku okolností, které zadavatel jednající s náležitou péčí nemohl předvídat, a které vznikly až po ukončení zadávacího řízení; vše v souladu a v rozsahu zákonných limitů analogicky k § 222 odst. 6 ZZVZ, bez vlivu na změnu režimu veřejné zakázky;</w:t>
      </w:r>
    </w:p>
    <w:p>
      <w:pPr>
        <w:pStyle w:val="Normal"/>
        <w:spacing w:lineRule="auto" w:line="240" w:before="0" w:after="0"/>
        <w:ind w:left="993" w:hanging="0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993" w:hanging="426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iCs/>
          <w:sz w:val="20"/>
          <w:szCs w:val="20"/>
        </w:rPr>
        <w:t>potřeba změny, vše v souladu a v rozsahu zákonných limitů analogicky k § 222 odst. 4 písm. b) bodu 1. zákona č. 134/2016 Sb., o zadávání veřejných zakázek, v účinném znění (dále jen „ZZVZ“), bez vlivu na změnu režimu veřejné zakázky;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cs="Tahoma" w:ascii="Tahoma" w:hAnsi="Tahoma"/>
          <w:iCs/>
          <w:sz w:val="20"/>
          <w:szCs w:val="20"/>
        </w:rPr>
      </w:r>
    </w:p>
    <w:p>
      <w:pPr>
        <w:pStyle w:val="Normal"/>
        <w:ind w:left="567" w:hanging="0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  <w:t>V důsledku všech výše uvedených skutečností se smluvní strany dohodly na následujících změnách smlouvy.</w:t>
      </w:r>
    </w:p>
    <w:p>
      <w:pPr>
        <w:pStyle w:val="ListParagraph"/>
        <w:spacing w:before="0" w:after="0"/>
        <w:ind w:left="567" w:hanging="0"/>
        <w:contextualSpacing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  <w:t>II.</w:t>
      </w:r>
    </w:p>
    <w:p>
      <w:pPr>
        <w:pStyle w:val="Normal"/>
        <w:spacing w:lineRule="auto" w:line="240" w:before="0" w:after="0"/>
        <w:jc w:val="center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  <w:t>Změna Smlouvy</w:t>
      </w:r>
    </w:p>
    <w:p>
      <w:pPr>
        <w:pStyle w:val="Normal"/>
        <w:spacing w:lineRule="auto" w:line="240" w:before="0" w:after="0"/>
        <w:jc w:val="center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</w:r>
    </w:p>
    <w:p>
      <w:pPr>
        <w:pStyle w:val="ListParagraph"/>
        <w:numPr>
          <w:ilvl w:val="0"/>
          <w:numId w:val="6"/>
        </w:numPr>
        <w:spacing w:before="0" w:after="0"/>
        <w:ind w:left="567" w:hanging="567"/>
        <w:contextualSpacing/>
        <w:jc w:val="both"/>
        <w:rPr>
          <w:rFonts w:ascii="Tahoma" w:hAnsi="Tahoma" w:cs="Tahoma"/>
          <w:iCs/>
          <w:sz w:val="20"/>
        </w:rPr>
      </w:pPr>
      <w:r>
        <w:rPr>
          <w:rFonts w:eastAsia="Calibri" w:cs="Tahoma" w:ascii="Tahoma" w:hAnsi="Tahoma"/>
          <w:sz w:val="20"/>
          <w:szCs w:val="20"/>
        </w:rPr>
        <w:t xml:space="preserve">AD 1) </w:t>
      </w:r>
      <w:r>
        <w:rPr>
          <w:rFonts w:cs="Tahoma" w:ascii="Tahoma" w:hAnsi="Tahoma"/>
          <w:iCs/>
          <w:sz w:val="20"/>
        </w:rPr>
        <w:t>V důsledku výše uvedených skutečností, spočívajících v nerealizace zapůjčení techniky pro instalaci díla „Jeremy Shaw – I can See forever“, dochází ke změně celkové ceny za realizaci předmětu Smlouvy:</w:t>
      </w:r>
    </w:p>
    <w:p>
      <w:pPr>
        <w:pStyle w:val="ListParagraph"/>
        <w:ind w:left="570" w:hanging="0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cs="Tahoma" w:ascii="Tahoma" w:hAnsi="Tahoma"/>
          <w:iCs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134" w:hanging="567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snížení ceny v souladu s § 222 odst. 6 ZZVZ o </w:t>
        <w:tab/>
        <w:t>225.600</w:t>
      </w:r>
      <w:r>
        <w:rPr>
          <w:rFonts w:cs="Tahoma" w:ascii="Tahoma" w:hAnsi="Tahoma"/>
          <w:b/>
          <w:bCs/>
          <w:sz w:val="20"/>
          <w:szCs w:val="20"/>
        </w:rPr>
        <w:t>, - Kč bez DPH.</w:t>
      </w:r>
    </w:p>
    <w:p>
      <w:pPr>
        <w:pStyle w:val="ListParagraph"/>
        <w:spacing w:lineRule="auto" w:line="240" w:before="0" w:after="0"/>
        <w:ind w:left="851" w:hanging="0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eastAsia="Arial" w:cs="Tahoma" w:ascii="Tahoma" w:hAnsi="Tahoma"/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before="0" w:after="0"/>
        <w:ind w:left="570" w:hanging="567"/>
        <w:contextualSpacing/>
        <w:jc w:val="both"/>
        <w:rPr>
          <w:rFonts w:ascii="Tahoma" w:hAnsi="Tahoma" w:cs="Tahoma"/>
          <w:iCs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  <w:t xml:space="preserve">AD 2) </w:t>
      </w:r>
      <w:r>
        <w:rPr>
          <w:rFonts w:cs="Tahoma" w:ascii="Tahoma" w:hAnsi="Tahoma"/>
          <w:iCs/>
          <w:sz w:val="20"/>
        </w:rPr>
        <w:t>V důsledku výše uvedených skutečností, spočívajících v potřebě instalace jiných zařízení a provedení audiovizuální zkoušky, dochází ke změně celkové ceny za realizaci předmětu Smlouvy:</w:t>
      </w:r>
    </w:p>
    <w:p>
      <w:pPr>
        <w:pStyle w:val="ListParagraph"/>
        <w:spacing w:before="0" w:after="0"/>
        <w:ind w:left="570" w:hanging="0"/>
        <w:contextualSpacing/>
        <w:jc w:val="both"/>
        <w:rPr>
          <w:rFonts w:ascii="Tahoma" w:hAnsi="Tahoma" w:cs="Tahoma"/>
          <w:iCs/>
          <w:sz w:val="20"/>
          <w:szCs w:val="20"/>
        </w:rPr>
      </w:pPr>
      <w:r>
        <w:rPr>
          <w:rFonts w:cs="Tahoma" w:ascii="Tahoma" w:hAnsi="Tahoma"/>
          <w:iCs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134" w:hanging="567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navýšení ceny v souladu s § 222 odst. 4 ZZVZ o </w:t>
        <w:tab/>
        <w:t xml:space="preserve"> 25.000,</w:t>
      </w:r>
      <w:r>
        <w:rPr>
          <w:rFonts w:cs="Tahoma" w:ascii="Tahoma" w:hAnsi="Tahoma"/>
          <w:b/>
          <w:bCs/>
          <w:sz w:val="20"/>
          <w:szCs w:val="20"/>
        </w:rPr>
        <w:t xml:space="preserve"> - Kč bez DPH</w:t>
      </w:r>
    </w:p>
    <w:p>
      <w:pPr>
        <w:pStyle w:val="ListParagraph"/>
        <w:ind w:left="851" w:firstLine="313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before="0" w:after="0"/>
        <w:ind w:left="570" w:hanging="567"/>
        <w:contextualSpacing/>
        <w:jc w:val="both"/>
        <w:rPr>
          <w:rFonts w:ascii="Tahoma" w:hAnsi="Tahoma" w:cs="Tahoma"/>
          <w:b/>
          <w:b/>
          <w:bCs/>
          <w:sz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Nová celková </w:t>
      </w:r>
      <w:r>
        <w:rPr>
          <w:rFonts w:cs="Tahoma" w:ascii="Tahoma" w:hAnsi="Tahoma"/>
          <w:b/>
          <w:bCs/>
          <w:sz w:val="20"/>
        </w:rPr>
        <w:t xml:space="preserve">cena předmětu Smlouvy </w:t>
      </w:r>
      <w:r>
        <w:rPr>
          <w:rFonts w:cs="Tahoma" w:ascii="Tahoma" w:hAnsi="Tahoma"/>
          <w:b/>
          <w:bCs/>
          <w:sz w:val="20"/>
          <w:szCs w:val="20"/>
        </w:rPr>
        <w:t xml:space="preserve">činí 815.300, - </w:t>
      </w:r>
      <w:r>
        <w:rPr>
          <w:rFonts w:cs="Tahoma" w:ascii="Tahoma" w:hAnsi="Tahoma"/>
          <w:b/>
          <w:bCs/>
          <w:sz w:val="20"/>
        </w:rPr>
        <w:t>Kč bez DPH.</w:t>
      </w:r>
    </w:p>
    <w:p>
      <w:pPr>
        <w:pStyle w:val="ListParagraph"/>
        <w:ind w:left="567" w:hanging="0"/>
        <w:jc w:val="both"/>
        <w:rPr>
          <w:rFonts w:ascii="Tahoma" w:hAnsi="Tahoma" w:cs="Tahoma"/>
          <w:b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ListParagraph"/>
        <w:numPr>
          <w:ilvl w:val="0"/>
          <w:numId w:val="6"/>
        </w:numPr>
        <w:spacing w:before="0" w:after="0"/>
        <w:ind w:left="570" w:hanging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Současně se smluvní strany dohodli na doplnění Smlouvy o čl. IV odst. 5, který zní: </w:t>
        <w:tab/>
      </w:r>
    </w:p>
    <w:p>
      <w:pPr>
        <w:pStyle w:val="ListParagraph"/>
        <w:ind w:left="0" w:firstLine="491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</w:r>
    </w:p>
    <w:p>
      <w:pPr>
        <w:pStyle w:val="ListParagraph"/>
        <w:ind w:left="567" w:hanging="0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>Nájemce je povinen uhradit Pronajímateli nájemné dle čl. III odst. 1 této Smlouvy (ve výši pozměněné tímto dodatkem) za přenechání zařízení pro výstavu v roce 2021 Compassion Fatigue dle následujícího splátkového kalendáře:</w:t>
      </w:r>
    </w:p>
    <w:p>
      <w:pPr>
        <w:pStyle w:val="ListParagraph"/>
        <w:ind w:left="76" w:firstLine="491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>do 13. 1. 2021</w:t>
        <w:tab/>
        <w:t>…………</w:t>
        <w:tab/>
        <w:t>200.000, -Kč bez DPH (instalace, doprava, programování)</w:t>
      </w:r>
    </w:p>
    <w:p>
      <w:pPr>
        <w:pStyle w:val="ListParagraph"/>
        <w:numPr>
          <w:ilvl w:val="0"/>
          <w:numId w:val="4"/>
        </w:numPr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>do 28. 2. 2021</w:t>
        <w:tab/>
        <w:t>………… 200.000, -Kč bez DPH (polovina trvání výstavy)</w:t>
      </w:r>
    </w:p>
    <w:p>
      <w:pPr>
        <w:pStyle w:val="ListParagraph"/>
        <w:numPr>
          <w:ilvl w:val="0"/>
          <w:numId w:val="4"/>
        </w:numPr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>do 19. 4. 2021</w:t>
        <w:tab/>
        <w:t>………… 447.700, -Kč bez DPH (konec výstavy).</w:t>
      </w:r>
    </w:p>
    <w:p>
      <w:pPr>
        <w:pStyle w:val="ListParagraph"/>
        <w:ind w:left="0" w:firstLine="491"/>
        <w:jc w:val="both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</w:r>
    </w:p>
    <w:p>
      <w:pPr>
        <w:pStyle w:val="Normal"/>
        <w:spacing w:before="0" w:after="0"/>
        <w:ind w:left="567" w:hanging="0"/>
        <w:jc w:val="both"/>
        <w:rPr>
          <w:rFonts w:ascii="Tahoma" w:hAnsi="Tahoma" w:eastAsia="Times New Roman" w:cs="Tahoma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b/>
          <w:bCs/>
          <w:color w:val="000000"/>
          <w:sz w:val="20"/>
          <w:szCs w:val="20"/>
          <w:lang w:eastAsia="cs-CZ"/>
        </w:rPr>
        <w:tab/>
        <w:tab/>
        <w:tab/>
        <w:tab/>
        <w:tab/>
        <w:tab/>
        <w:t xml:space="preserve">III.                    </w:t>
      </w:r>
    </w:p>
    <w:p>
      <w:pPr>
        <w:pStyle w:val="Tlotextu"/>
        <w:jc w:val="center"/>
        <w:rPr>
          <w:rFonts w:ascii="Tahoma" w:hAnsi="Tahoma" w:eastAsia="Times New Roman" w:cs="Tahoma"/>
          <w:b/>
          <w:b/>
          <w:bCs/>
          <w:color w:val="000000"/>
          <w:sz w:val="20"/>
        </w:rPr>
      </w:pPr>
      <w:r>
        <w:rPr>
          <w:rFonts w:eastAsia="Times New Roman" w:cs="Tahoma" w:ascii="Tahoma" w:hAnsi="Tahoma"/>
          <w:b/>
          <w:bCs/>
          <w:color w:val="000000"/>
          <w:sz w:val="20"/>
        </w:rPr>
        <w:t xml:space="preserve">Společná ustanovení      </w:t>
      </w:r>
    </w:p>
    <w:p>
      <w:pPr>
        <w:pStyle w:val="Tlotextu"/>
        <w:jc w:val="center"/>
        <w:rPr>
          <w:rFonts w:ascii="Tahoma" w:hAnsi="Tahoma" w:eastAsia="Times New Roman" w:cs="Tahoma"/>
          <w:color w:val="000000"/>
          <w:sz w:val="20"/>
        </w:rPr>
      </w:pPr>
      <w:r>
        <w:rPr>
          <w:rFonts w:eastAsia="Times New Roman" w:cs="Tahoma" w:ascii="Tahoma" w:hAnsi="Tahoma"/>
          <w:color w:val="000000"/>
          <w:sz w:val="20"/>
        </w:rPr>
        <w:t xml:space="preserve">                                                  </w:t>
      </w:r>
    </w:p>
    <w:p>
      <w:pPr>
        <w:pStyle w:val="PlainText"/>
        <w:numPr>
          <w:ilvl w:val="0"/>
          <w:numId w:val="2"/>
        </w:numPr>
        <w:ind w:left="567" w:hanging="567"/>
        <w:jc w:val="both"/>
        <w:rPr>
          <w:rFonts w:ascii="Tahoma" w:hAnsi="Tahoma" w:cs="Tahoma"/>
          <w:color w:val="000000"/>
          <w:lang w:val="cs-CZ" w:eastAsia="cs-CZ"/>
        </w:rPr>
      </w:pPr>
      <w:r>
        <w:rPr>
          <w:rFonts w:cs="Tahoma" w:ascii="Tahoma" w:hAnsi="Tahoma"/>
          <w:color w:val="000000"/>
          <w:lang w:val="cs-CZ" w:eastAsia="cs-CZ"/>
        </w:rPr>
        <w:t>Ostatní ustanovení Smlouvy jsou nedotčená a zůstávají v platnosti v původním znění.</w:t>
      </w:r>
    </w:p>
    <w:p>
      <w:pPr>
        <w:pStyle w:val="PlainText"/>
        <w:jc w:val="both"/>
        <w:rPr>
          <w:rFonts w:ascii="Tahoma" w:hAnsi="Tahoma" w:cs="Tahoma"/>
          <w:color w:val="000000"/>
          <w:lang w:val="cs-CZ" w:eastAsia="cs-CZ"/>
        </w:rPr>
      </w:pPr>
      <w:r>
        <w:rPr>
          <w:rFonts w:cs="Tahoma" w:ascii="Tahoma" w:hAnsi="Tahoma"/>
          <w:color w:val="000000"/>
          <w:lang w:val="cs-CZ" w:eastAsia="cs-CZ"/>
        </w:rPr>
      </w:r>
    </w:p>
    <w:p>
      <w:pPr>
        <w:pStyle w:val="PlainText"/>
        <w:numPr>
          <w:ilvl w:val="0"/>
          <w:numId w:val="2"/>
        </w:numPr>
        <w:ind w:left="567" w:hanging="567"/>
        <w:jc w:val="both"/>
        <w:rPr>
          <w:rFonts w:ascii="Tahoma" w:hAnsi="Tahoma" w:cs="Tahoma"/>
          <w:color w:val="000000"/>
          <w:lang w:val="cs-CZ" w:eastAsia="cs-CZ"/>
        </w:rPr>
      </w:pPr>
      <w:r>
        <w:rPr>
          <w:rFonts w:cs="Tahoma" w:ascii="Tahoma" w:hAnsi="Tahoma"/>
          <w:color w:val="000000"/>
          <w:lang w:val="cs-CZ" w:eastAsia="cs-CZ"/>
        </w:rPr>
        <w:t xml:space="preserve">Tento dodatek je vyhotoven ve dvou stejnopisech, z nichž každá smluvní strana obdrží jeden stejnopis. </w:t>
      </w:r>
    </w:p>
    <w:p>
      <w:pPr>
        <w:pStyle w:val="PlainText"/>
        <w:jc w:val="both"/>
        <w:rPr>
          <w:rFonts w:ascii="Tahoma" w:hAnsi="Tahoma" w:cs="Tahoma"/>
          <w:color w:val="000000"/>
          <w:lang w:val="cs-CZ" w:eastAsia="cs-CZ"/>
        </w:rPr>
      </w:pPr>
      <w:r>
        <w:rPr>
          <w:rFonts w:cs="Tahoma" w:ascii="Tahoma" w:hAnsi="Tahoma"/>
          <w:color w:val="000000"/>
          <w:lang w:val="cs-CZ" w:eastAsia="cs-CZ"/>
        </w:rPr>
      </w:r>
    </w:p>
    <w:p>
      <w:pPr>
        <w:pStyle w:val="PlainText"/>
        <w:numPr>
          <w:ilvl w:val="0"/>
          <w:numId w:val="2"/>
        </w:numPr>
        <w:ind w:left="567" w:hanging="567"/>
        <w:jc w:val="both"/>
        <w:rPr>
          <w:rFonts w:ascii="Tahoma" w:hAnsi="Tahoma" w:cs="Tahoma"/>
          <w:color w:val="000000"/>
          <w:lang w:val="cs-CZ" w:eastAsia="cs-CZ"/>
        </w:rPr>
      </w:pPr>
      <w:r>
        <w:rPr>
          <w:rFonts w:cs="Tahoma" w:ascii="Tahoma" w:hAnsi="Tahoma"/>
          <w:color w:val="000000"/>
          <w:lang w:val="cs-CZ" w:eastAsia="cs-CZ"/>
        </w:rPr>
        <w:t>Smluvní strany si tento dodatek řádně přečetly, prohlašují, že je projevem jejich svobodné a vážné vůle, že nebyl sjednán v tísni, ani za nápadně nevýhodných podmínek, a že s jeho obsahem souhlasí, což potvrzují zástupci smluvních stran svými vlastnoručními podpisy.</w:t>
      </w:r>
    </w:p>
    <w:p>
      <w:pPr>
        <w:pStyle w:val="PlainText"/>
        <w:ind w:left="567" w:hanging="0"/>
        <w:jc w:val="both"/>
        <w:rPr>
          <w:rFonts w:ascii="Tahoma" w:hAnsi="Tahoma" w:cs="Tahoma"/>
          <w:color w:val="000000"/>
          <w:lang w:val="cs-CZ" w:eastAsia="cs-CZ"/>
        </w:rPr>
      </w:pPr>
      <w:r>
        <w:rPr>
          <w:rFonts w:cs="Tahoma" w:ascii="Tahoma" w:hAnsi="Tahoma"/>
          <w:color w:val="000000"/>
          <w:lang w:val="cs-CZ" w:eastAsia="cs-CZ"/>
        </w:rPr>
        <w:t xml:space="preserve"> </w:t>
      </w:r>
    </w:p>
    <w:p>
      <w:pPr>
        <w:pStyle w:val="PlainText"/>
        <w:numPr>
          <w:ilvl w:val="0"/>
          <w:numId w:val="2"/>
        </w:numPr>
        <w:ind w:left="567" w:hanging="567"/>
        <w:jc w:val="both"/>
        <w:rPr>
          <w:rFonts w:ascii="Tahoma" w:hAnsi="Tahoma" w:cs="Tahoma"/>
          <w:color w:val="000000"/>
          <w:lang w:val="cs-CZ" w:eastAsia="cs-CZ"/>
        </w:rPr>
      </w:pPr>
      <w:r>
        <w:rPr>
          <w:rFonts w:cs="Tahoma" w:ascii="Tahoma" w:hAnsi="Tahoma"/>
          <w:color w:val="000000"/>
          <w:lang w:val="cs-CZ" w:eastAsia="cs-CZ"/>
        </w:rPr>
        <w:t>Tento dodatek nabývá platnosti dnem podpisu oprávněnými zástupci obou smluvních stran. Ve vztahu k účinnosti dodatku smluvní strany berou na vědomí a výslovně prohlašují, že jsou jim známy účinky zákona č. 340/2015 Sb., o zvláštních podmínkách účinnosti některých smluv, uveřejňování těchto smluv a o registru smluv (zákon o registru smluv), ve znění pozdějších předpisů, ve vztahu k účinnosti tohoto dodatku, tedy že nabývá účinnosti dnem uveřejnění v registru smluv. Příslušné uveřejnění zajistí objednatel, při plné součinnosti ze strany dodavatele.</w:t>
      </w:r>
    </w:p>
    <w:p>
      <w:pPr>
        <w:pStyle w:val="PlainText"/>
        <w:ind w:left="567" w:hanging="0"/>
        <w:jc w:val="both"/>
        <w:rPr>
          <w:rFonts w:ascii="Tahoma" w:hAnsi="Tahoma" w:cs="Tahoma"/>
          <w:color w:val="000000"/>
          <w:lang w:val="cs-CZ" w:eastAsia="cs-CZ"/>
        </w:rPr>
      </w:pPr>
      <w:r>
        <w:rPr>
          <w:rFonts w:cs="Tahoma" w:ascii="Tahoma" w:hAnsi="Tahoma"/>
          <w:color w:val="000000"/>
          <w:lang w:val="cs-CZ" w:eastAsia="cs-CZ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1843" w:hanging="0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1843" w:hanging="1276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 xml:space="preserve">v Praze dne </w:t>
        <w:tab/>
        <w:tab/>
        <w:tab/>
        <w:tab/>
        <w:tab/>
        <w:tab/>
        <w:tab/>
        <w:t xml:space="preserve">v Praze dne </w:t>
      </w:r>
    </w:p>
    <w:p>
      <w:pPr>
        <w:pStyle w:val="Normal"/>
        <w:spacing w:lineRule="auto" w:line="240" w:before="0" w:after="0"/>
        <w:ind w:left="1843" w:hanging="1701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1843" w:hanging="1701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ab/>
      </w:r>
    </w:p>
    <w:p>
      <w:pPr>
        <w:pStyle w:val="ListParagraph"/>
        <w:spacing w:lineRule="auto" w:line="240" w:before="0" w:after="0"/>
        <w:ind w:left="567" w:hanging="0"/>
        <w:contextualSpacing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>za Pronajímatele</w:t>
        <w:tab/>
        <w:tab/>
        <w:tab/>
        <w:tab/>
        <w:t xml:space="preserve"> </w:t>
        <w:tab/>
        <w:tab/>
        <w:t>za Nájemce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ahoma" w:hAnsi="Tahom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Tahoma" w:hAnsi="Tahoma"/>
          <w:color w:val="000000"/>
          <w:sz w:val="20"/>
          <w:szCs w:val="20"/>
          <w:lang w:eastAsia="cs-CZ"/>
        </w:rPr>
        <w:t xml:space="preserve">____________________________            </w:t>
        <w:tab/>
        <w:tab/>
        <w:t>____________________________</w:t>
      </w:r>
    </w:p>
    <w:p>
      <w:pPr>
        <w:pStyle w:val="Podpisdolozka"/>
        <w:tabs>
          <w:tab w:val="clear" w:pos="2361"/>
          <w:tab w:val="clear" w:pos="6998"/>
        </w:tabs>
        <w:ind w:left="0" w:firstLine="567"/>
        <w:rPr>
          <w:lang w:eastAsia="cs-CZ"/>
        </w:rPr>
      </w:pPr>
      <w:r>
        <w:rPr>
          <w:rFonts w:cs="Tahoma" w:ascii="Tahoma" w:hAnsi="Tahoma"/>
          <w:color w:val="000000"/>
          <w:spacing w:val="0"/>
          <w:lang w:eastAsia="cs-CZ"/>
        </w:rPr>
        <w:t>Jan Kubinec – prokurista</w:t>
        <w:tab/>
        <w:tab/>
        <w:tab/>
        <w:tab/>
        <w:tab/>
      </w:r>
      <w:r>
        <w:rPr>
          <w:rFonts w:cs="Tahoma" w:ascii="Tahoma" w:hAnsi="Tahoma"/>
        </w:rPr>
        <w:t>PhDr. Petr Nedoma – ředitel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rebuchet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5497093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16b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qFormat/>
    <w:rsid w:val="00de2987"/>
    <w:pPr>
      <w:keepNext w:val="true"/>
      <w:numPr>
        <w:ilvl w:val="0"/>
        <w:numId w:val="1"/>
      </w:numPr>
      <w:suppressAutoHyphens w:val="true"/>
      <w:spacing w:lineRule="auto" w:line="240" w:before="360" w:after="240"/>
      <w:jc w:val="center"/>
      <w:outlineLvl w:val="0"/>
    </w:pPr>
    <w:rPr>
      <w:rFonts w:ascii="Tahoma" w:hAnsi="Tahoma" w:eastAsia="Times New Roman" w:cs="Tahoma"/>
      <w:b/>
      <w:sz w:val="20"/>
      <w:szCs w:val="20"/>
      <w:lang w:eastAsia="ar-SA"/>
    </w:rPr>
  </w:style>
  <w:style w:type="paragraph" w:styleId="Nadpis5">
    <w:name w:val="Heading 5"/>
    <w:basedOn w:val="Normal"/>
    <w:next w:val="Normal"/>
    <w:link w:val="Nadpis5Char"/>
    <w:qFormat/>
    <w:rsid w:val="00de2987"/>
    <w:pPr>
      <w:numPr>
        <w:ilvl w:val="4"/>
        <w:numId w:val="1"/>
      </w:numPr>
      <w:suppressAutoHyphens w:val="true"/>
      <w:spacing w:lineRule="auto" w:line="240"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6"/>
      <w:lang w:eastAsia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9b06eb"/>
    <w:rPr>
      <w:strike w:val="false"/>
      <w:dstrike w:val="false"/>
      <w:color w:val="1E90FF"/>
      <w:u w:val="none"/>
      <w:effect w:val="non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35372"/>
    <w:rPr>
      <w:rFonts w:ascii="Segoe UI" w:hAnsi="Segoe UI" w:cs="Segoe UI"/>
      <w:sz w:val="18"/>
      <w:szCs w:val="18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197290"/>
    <w:rPr/>
  </w:style>
  <w:style w:type="character" w:styleId="ZpatChar" w:customStyle="1">
    <w:name w:val="Zápatí Char"/>
    <w:basedOn w:val="DefaultParagraphFont"/>
    <w:link w:val="Zpat"/>
    <w:uiPriority w:val="99"/>
    <w:qFormat/>
    <w:rsid w:val="0019729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97290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197290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197290"/>
    <w:rPr>
      <w:b/>
      <w:bCs/>
      <w:sz w:val="20"/>
      <w:szCs w:val="20"/>
    </w:rPr>
  </w:style>
  <w:style w:type="character" w:styleId="Normal2CharChar" w:customStyle="1">
    <w:name w:val="Normal2 Char Char"/>
    <w:qFormat/>
    <w:rsid w:val="00ee071b"/>
    <w:rPr>
      <w:rFonts w:eastAsia="MS Mincho"/>
      <w:sz w:val="24"/>
      <w:lang w:val="cs-CZ" w:eastAsia="cs-CZ" w:bidi="ar-SA"/>
    </w:rPr>
  </w:style>
  <w:style w:type="character" w:styleId="ZkladntextChar" w:customStyle="1">
    <w:name w:val="Základní text Char"/>
    <w:basedOn w:val="DefaultParagraphFont"/>
    <w:link w:val="Zkladntext"/>
    <w:qFormat/>
    <w:rsid w:val="00ee071b"/>
    <w:rPr>
      <w:rFonts w:ascii="Times New Roman" w:hAnsi="Times New Roman" w:eastAsia="MS Mincho" w:cs="Times New Roman"/>
      <w:sz w:val="24"/>
      <w:szCs w:val="20"/>
      <w:lang w:eastAsia="cs-CZ"/>
    </w:rPr>
  </w:style>
  <w:style w:type="character" w:styleId="OdstavecseseznamemChar" w:customStyle="1">
    <w:name w:val="Odstavec se seznamem Char"/>
    <w:link w:val="Odstavecseseznamem"/>
    <w:uiPriority w:val="34"/>
    <w:qFormat/>
    <w:rsid w:val="00112a4b"/>
    <w:rPr/>
  </w:style>
  <w:style w:type="character" w:styleId="Nadpis1Char" w:customStyle="1">
    <w:name w:val="Nadpis 1 Char"/>
    <w:basedOn w:val="DefaultParagraphFont"/>
    <w:link w:val="Nadpis1"/>
    <w:qFormat/>
    <w:rsid w:val="00de2987"/>
    <w:rPr>
      <w:rFonts w:ascii="Tahoma" w:hAnsi="Tahoma" w:eastAsia="Times New Roman" w:cs="Tahoma"/>
      <w:b/>
      <w:sz w:val="20"/>
      <w:szCs w:val="20"/>
      <w:lang w:eastAsia="ar-SA"/>
    </w:rPr>
  </w:style>
  <w:style w:type="character" w:styleId="Nadpis5Char" w:customStyle="1">
    <w:name w:val="Nadpis 5 Char"/>
    <w:basedOn w:val="DefaultParagraphFont"/>
    <w:link w:val="Nadpis5"/>
    <w:qFormat/>
    <w:rsid w:val="00de2987"/>
    <w:rPr>
      <w:rFonts w:ascii="Calibri" w:hAnsi="Calibri" w:eastAsia="Times New Roman" w:cs="Calibri"/>
      <w:b/>
      <w:bCs/>
      <w:i/>
      <w:iCs/>
      <w:sz w:val="26"/>
      <w:szCs w:val="26"/>
      <w:lang w:eastAsia="ar-SA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1846d4"/>
    <w:rPr>
      <w:i/>
      <w:iCs/>
    </w:rPr>
  </w:style>
  <w:style w:type="character" w:styleId="Appleconvertedspace" w:customStyle="1">
    <w:name w:val="apple-converted-space"/>
    <w:basedOn w:val="DefaultParagraphFont"/>
    <w:qFormat/>
    <w:rsid w:val="001846d4"/>
    <w:rPr/>
  </w:style>
  <w:style w:type="character" w:styleId="Zkladntext4" w:customStyle="1">
    <w:name w:val="Základní text (4)_"/>
    <w:link w:val="Zkladntext40"/>
    <w:qFormat/>
    <w:rsid w:val="00c43fcd"/>
    <w:rPr>
      <w:rFonts w:ascii="Times New Roman" w:hAnsi="Times New Roman" w:eastAsia="Times New Roman" w:cs="Times New Roman"/>
      <w:shd w:fill="FFFFFF" w:val="clear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68683a"/>
    <w:rPr>
      <w:color w:val="605E5C"/>
      <w:shd w:fill="E1DFDD" w:val="clear"/>
    </w:rPr>
  </w:style>
  <w:style w:type="character" w:styleId="PodpisChar" w:customStyle="1">
    <w:name w:val="Podpis Char"/>
    <w:basedOn w:val="DefaultParagraphFont"/>
    <w:link w:val="Podpis"/>
    <w:uiPriority w:val="99"/>
    <w:semiHidden/>
    <w:qFormat/>
    <w:rsid w:val="00ee7fe8"/>
    <w:rPr/>
  </w:style>
  <w:style w:type="character" w:styleId="ProsttextChar" w:customStyle="1">
    <w:name w:val="Prostý text Char"/>
    <w:basedOn w:val="DefaultParagraphFont"/>
    <w:link w:val="Prosttext"/>
    <w:uiPriority w:val="99"/>
    <w:qFormat/>
    <w:rsid w:val="00d2353e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ee071b"/>
    <w:pPr>
      <w:overflowPunct w:val="true"/>
      <w:spacing w:lineRule="auto" w:line="240" w:before="0" w:after="120"/>
      <w:textAlignment w:val="baseline"/>
    </w:pPr>
    <w:rPr>
      <w:rFonts w:ascii="Times New Roman" w:hAnsi="Times New Roman" w:eastAsia="MS Mincho" w:cs="Times New Roman"/>
      <w:sz w:val="24"/>
      <w:szCs w:val="20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b06eb"/>
    <w:pPr>
      <w:spacing w:lineRule="auto" w:line="240" w:before="75" w:after="75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1" w:customStyle="1">
    <w:name w:val="normln1"/>
    <w:basedOn w:val="Normal"/>
    <w:qFormat/>
    <w:rsid w:val="009b06eb"/>
    <w:pPr>
      <w:spacing w:lineRule="auto" w:line="240" w:before="75" w:after="75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353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OdstavecseseznamemChar"/>
    <w:uiPriority w:val="34"/>
    <w:qFormat/>
    <w:rsid w:val="0055577e"/>
    <w:pPr>
      <w:spacing w:before="0" w:after="16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19729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19729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1972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197290"/>
    <w:pPr/>
    <w:rPr>
      <w:b/>
      <w:bCs/>
    </w:rPr>
  </w:style>
  <w:style w:type="paragraph" w:styleId="Revision">
    <w:name w:val="Revision"/>
    <w:uiPriority w:val="99"/>
    <w:semiHidden/>
    <w:qFormat/>
    <w:rsid w:val="003546c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Zkladntext21" w:customStyle="1">
    <w:name w:val="Základní text 21"/>
    <w:basedOn w:val="Normal"/>
    <w:qFormat/>
    <w:rsid w:val="00de2987"/>
    <w:pPr>
      <w:suppressAutoHyphens w:val="true"/>
      <w:spacing w:lineRule="auto" w:line="240" w:before="0" w:after="0"/>
      <w:jc w:val="center"/>
    </w:pPr>
    <w:rPr>
      <w:rFonts w:ascii="Arial" w:hAnsi="Arial" w:eastAsia="Times New Roman" w:cs="Calibri"/>
      <w:b/>
      <w:sz w:val="20"/>
      <w:szCs w:val="28"/>
      <w:lang w:eastAsia="ar-SA"/>
    </w:rPr>
  </w:style>
  <w:style w:type="paragraph" w:styleId="Zkladntext41" w:customStyle="1">
    <w:name w:val="Základní text (4)"/>
    <w:basedOn w:val="Normal"/>
    <w:link w:val="Zkladntext4"/>
    <w:qFormat/>
    <w:rsid w:val="00c43fcd"/>
    <w:pPr>
      <w:widowControl w:val="false"/>
      <w:shd w:val="clear" w:color="auto" w:fill="FFFFFF"/>
      <w:spacing w:lineRule="exact" w:line="276" w:before="0" w:after="0"/>
      <w:ind w:hanging="500"/>
      <w:jc w:val="both"/>
    </w:pPr>
    <w:rPr>
      <w:rFonts w:ascii="Times New Roman" w:hAnsi="Times New Roman" w:eastAsia="Times New Roman" w:cs="Times New Roman"/>
    </w:rPr>
  </w:style>
  <w:style w:type="paragraph" w:styleId="Podpisdolozka" w:customStyle="1">
    <w:name w:val="Podpis_dolozka"/>
    <w:basedOn w:val="Podpis"/>
    <w:qFormat/>
    <w:rsid w:val="00ee7fe8"/>
    <w:pPr>
      <w:widowControl w:val="false"/>
      <w:tabs>
        <w:tab w:val="clear" w:pos="708"/>
        <w:tab w:val="center" w:pos="2361" w:leader="none"/>
        <w:tab w:val="center" w:pos="6998" w:leader="none"/>
      </w:tabs>
      <w:suppressAutoHyphens w:val="true"/>
      <w:ind w:left="0" w:hanging="0"/>
    </w:pPr>
    <w:rPr>
      <w:rFonts w:ascii="Trebuchet MS" w:hAnsi="Trebuchet MS" w:eastAsia="Times New Roman" w:cs="Times New Roman"/>
      <w:spacing w:val="-3"/>
      <w:sz w:val="20"/>
      <w:szCs w:val="20"/>
    </w:rPr>
  </w:style>
  <w:style w:type="paragraph" w:styleId="Podpis">
    <w:name w:val="Signature"/>
    <w:basedOn w:val="Normal"/>
    <w:link w:val="PodpisChar"/>
    <w:uiPriority w:val="99"/>
    <w:semiHidden/>
    <w:unhideWhenUsed/>
    <w:rsid w:val="00ee7fe8"/>
    <w:pPr>
      <w:spacing w:lineRule="auto" w:line="240" w:before="0" w:after="0"/>
      <w:ind w:left="4252" w:hanging="0"/>
    </w:pPr>
    <w:rPr/>
  </w:style>
  <w:style w:type="paragraph" w:styleId="BodyText21" w:customStyle="1">
    <w:name w:val="Body Text 21"/>
    <w:basedOn w:val="Normal"/>
    <w:qFormat/>
    <w:rsid w:val="00d2353e"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0"/>
      <w:sz w:val="20"/>
      <w:szCs w:val="20"/>
      <w:lang w:eastAsia="cs-CZ"/>
    </w:rPr>
  </w:style>
  <w:style w:type="paragraph" w:styleId="PlainText">
    <w:name w:val="Plain Text"/>
    <w:basedOn w:val="Normal"/>
    <w:link w:val="ProsttextChar"/>
    <w:uiPriority w:val="99"/>
    <w:qFormat/>
    <w:rsid w:val="00d2353e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3" ma:contentTypeDescription="Vytvoří nový dokument" ma:contentTypeScope="" ma:versionID="64014e21cd5df4b1e52c0bb9ba242a30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5ef3f0ed82b3f584e43308ccf499af59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1864E-6386-492A-B58E-0121C786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458C1-3BD1-4729-8F1A-142D884F69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AA0A8-92E6-49ED-9AE0-BAE8D04A1E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Application>LibreOffice/7.0.2.2$Windows_X86_64 LibreOffice_project/8349ace3c3162073abd90d81fd06dcfb6b36b994</Application>
  <Pages>2</Pages>
  <Words>610</Words>
  <Characters>3329</Characters>
  <CharactersWithSpaces>4080</CharactersWithSpaces>
  <Paragraphs>50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2020-11-18T13:03:00Z</dcterms:created>
  <dc:creator>Dratovska</dc:creator>
  <dc:description/>
  <dc:language>cs-CZ</dc:language>
  <cp:lastModifiedBy/>
  <cp:lastPrinted>2019-03-15T14:04:00Z</cp:lastPrinted>
  <dcterms:modified xsi:type="dcterms:W3CDTF">2021-01-11T14:45:08Z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0x01010062BDBA99EE9D134EA09DCE241DCC5BAE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