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EDD1" w14:textId="77777777" w:rsidR="000D647E" w:rsidRDefault="000D647E" w:rsidP="000D647E">
      <w:pPr>
        <w:jc w:val="center"/>
        <w:rPr>
          <w:b/>
          <w:bCs/>
          <w:sz w:val="28"/>
        </w:rPr>
      </w:pPr>
      <w:r>
        <w:rPr>
          <w:b/>
          <w:bCs/>
          <w:sz w:val="28"/>
        </w:rPr>
        <w:t>SMLOUVA   O   SPOLUPRÁCI</w:t>
      </w:r>
    </w:p>
    <w:p w14:paraId="48754CEF" w14:textId="77777777" w:rsidR="000D647E" w:rsidRDefault="000D647E" w:rsidP="000D647E">
      <w:pPr>
        <w:jc w:val="center"/>
        <w:rPr>
          <w:sz w:val="20"/>
          <w:szCs w:val="20"/>
        </w:rPr>
      </w:pPr>
      <w:r>
        <w:rPr>
          <w:sz w:val="20"/>
          <w:szCs w:val="20"/>
        </w:rPr>
        <w:t xml:space="preserve">uzavřená dle § 1746, odst.2 </w:t>
      </w:r>
      <w:proofErr w:type="spellStart"/>
      <w:proofErr w:type="gramStart"/>
      <w:r>
        <w:rPr>
          <w:sz w:val="20"/>
          <w:szCs w:val="20"/>
        </w:rPr>
        <w:t>zák.č</w:t>
      </w:r>
      <w:proofErr w:type="spellEnd"/>
      <w:r>
        <w:rPr>
          <w:sz w:val="20"/>
          <w:szCs w:val="20"/>
        </w:rPr>
        <w:t>.</w:t>
      </w:r>
      <w:proofErr w:type="gramEnd"/>
      <w:r>
        <w:rPr>
          <w:sz w:val="20"/>
          <w:szCs w:val="20"/>
        </w:rPr>
        <w:t xml:space="preserve"> 89/2012 Sb., občanský zákoník </w:t>
      </w:r>
    </w:p>
    <w:p w14:paraId="571536C7" w14:textId="77777777" w:rsidR="000D647E" w:rsidRDefault="000D647E" w:rsidP="000D647E">
      <w:pPr>
        <w:pStyle w:val="Nadpis3"/>
        <w:spacing w:before="0" w:after="0"/>
        <w:rPr>
          <w:rFonts w:ascii="Times New Roman" w:hAnsi="Times New Roman" w:cs="Times New Roman"/>
          <w:sz w:val="24"/>
        </w:rPr>
      </w:pPr>
    </w:p>
    <w:p w14:paraId="63E354D8" w14:textId="77777777" w:rsidR="000D647E" w:rsidRDefault="000D647E" w:rsidP="000D647E"/>
    <w:p w14:paraId="233AD988" w14:textId="77777777" w:rsidR="000D647E" w:rsidRDefault="000D647E" w:rsidP="000D647E"/>
    <w:p w14:paraId="23B801F0" w14:textId="77777777" w:rsidR="000D647E" w:rsidRDefault="000D647E" w:rsidP="000D647E">
      <w:pPr>
        <w:pStyle w:val="Nadpis3"/>
        <w:spacing w:before="0" w:after="0"/>
        <w:jc w:val="center"/>
        <w:rPr>
          <w:rFonts w:ascii="Times New Roman" w:hAnsi="Times New Roman" w:cs="Times New Roman"/>
          <w:sz w:val="24"/>
        </w:rPr>
      </w:pPr>
      <w:r>
        <w:rPr>
          <w:rFonts w:ascii="Times New Roman" w:hAnsi="Times New Roman" w:cs="Times New Roman"/>
          <w:sz w:val="24"/>
        </w:rPr>
        <w:t>I. Smluvní strany</w:t>
      </w:r>
    </w:p>
    <w:p w14:paraId="652F0B42" w14:textId="77777777" w:rsidR="000D647E" w:rsidRDefault="000D647E" w:rsidP="000D647E">
      <w:pPr>
        <w:pStyle w:val="Nadpis3"/>
        <w:spacing w:before="0" w:after="0"/>
        <w:rPr>
          <w:rFonts w:ascii="Times New Roman" w:hAnsi="Times New Roman" w:cs="Times New Roman"/>
          <w:sz w:val="24"/>
        </w:rPr>
      </w:pPr>
    </w:p>
    <w:p w14:paraId="58CFD039" w14:textId="77777777" w:rsidR="000D647E" w:rsidRDefault="000D647E" w:rsidP="000D647E">
      <w:pPr>
        <w:pStyle w:val="Nadpis4"/>
      </w:pPr>
      <w:r>
        <w:t>1.</w:t>
      </w:r>
      <w:r>
        <w:tab/>
        <w:t>Vysoká škola chemicko-technologická v Praze</w:t>
      </w:r>
    </w:p>
    <w:p w14:paraId="3773EE1A" w14:textId="77777777" w:rsidR="000D647E" w:rsidRPr="00332ED1" w:rsidRDefault="000D647E" w:rsidP="000D647E">
      <w:pPr>
        <w:keepNext/>
        <w:outlineLvl w:val="3"/>
        <w:rPr>
          <w:bCs/>
        </w:rPr>
      </w:pPr>
      <w:r>
        <w:tab/>
      </w:r>
      <w:r w:rsidRPr="00332ED1">
        <w:t xml:space="preserve">se sídlem: Technická 1905/5, </w:t>
      </w:r>
      <w:r w:rsidRPr="00332ED1">
        <w:rPr>
          <w:bCs/>
        </w:rPr>
        <w:t>166 28 Praha 6</w:t>
      </w:r>
    </w:p>
    <w:p w14:paraId="75823BA6" w14:textId="56614F22" w:rsidR="000D647E" w:rsidRPr="00332ED1" w:rsidRDefault="000D647E" w:rsidP="000D647E">
      <w:r w:rsidRPr="00332ED1">
        <w:tab/>
      </w:r>
      <w:r w:rsidR="00DB63AE">
        <w:t xml:space="preserve">zastoupená: </w:t>
      </w:r>
      <w:proofErr w:type="spellStart"/>
      <w:r w:rsidR="00DB63AE">
        <w:t>xxxxxxxxxxxxxxxx</w:t>
      </w:r>
      <w:proofErr w:type="spellEnd"/>
      <w:r w:rsidRPr="00332ED1">
        <w:t>, kvestorkou</w:t>
      </w:r>
    </w:p>
    <w:p w14:paraId="20375833" w14:textId="77777777" w:rsidR="000D647E" w:rsidRPr="00332ED1" w:rsidRDefault="000D647E" w:rsidP="000D647E">
      <w:r w:rsidRPr="00332ED1">
        <w:tab/>
        <w:t>IČ  604 613 73,  DIČ  CZ60461373</w:t>
      </w:r>
    </w:p>
    <w:p w14:paraId="063F70FA" w14:textId="1919F17F" w:rsidR="000D647E" w:rsidRPr="00332ED1" w:rsidRDefault="000D647E" w:rsidP="000D647E">
      <w:r w:rsidRPr="00332ED1">
        <w:tab/>
        <w:t>(dále jen VŠCHT Praha)</w:t>
      </w:r>
      <w:r w:rsidRPr="00332ED1">
        <w:tab/>
      </w:r>
    </w:p>
    <w:p w14:paraId="4ADDCF22" w14:textId="77777777" w:rsidR="000D647E" w:rsidRPr="00332ED1" w:rsidRDefault="000D647E" w:rsidP="000D647E">
      <w:pPr>
        <w:pStyle w:val="Nadpis3"/>
        <w:spacing w:before="0" w:after="0"/>
        <w:ind w:left="705" w:hanging="705"/>
        <w:rPr>
          <w:rFonts w:ascii="Times New Roman" w:hAnsi="Times New Roman" w:cs="Times New Roman"/>
          <w:sz w:val="24"/>
          <w:szCs w:val="24"/>
        </w:rPr>
      </w:pPr>
    </w:p>
    <w:p w14:paraId="3A601A8D" w14:textId="77777777" w:rsidR="000D647E" w:rsidRPr="000D647E" w:rsidRDefault="000D647E" w:rsidP="000D647E">
      <w:pPr>
        <w:pStyle w:val="Nadpis3"/>
        <w:spacing w:before="0" w:after="0"/>
        <w:rPr>
          <w:rFonts w:ascii="Times New Roman" w:hAnsi="Times New Roman" w:cs="Times New Roman"/>
          <w:sz w:val="24"/>
          <w:szCs w:val="24"/>
        </w:rPr>
      </w:pPr>
      <w:r>
        <w:rPr>
          <w:rFonts w:ascii="Times New Roman" w:hAnsi="Times New Roman" w:cs="Times New Roman"/>
          <w:sz w:val="24"/>
          <w:szCs w:val="24"/>
        </w:rPr>
        <w:t xml:space="preserve">2. </w:t>
      </w:r>
    </w:p>
    <w:p w14:paraId="13E76CD7" w14:textId="77777777" w:rsidR="00921F5B" w:rsidRPr="00921F5B" w:rsidRDefault="00921F5B" w:rsidP="00921F5B">
      <w:pPr>
        <w:pStyle w:val="Nadpis4"/>
        <w:ind w:firstLine="708"/>
      </w:pPr>
      <w:r w:rsidRPr="00921F5B">
        <w:t>Národní technická knihovna</w:t>
      </w:r>
    </w:p>
    <w:p w14:paraId="304730E0" w14:textId="77777777" w:rsidR="00921F5B" w:rsidRPr="00921F5B" w:rsidRDefault="00921F5B" w:rsidP="00921F5B">
      <w:pPr>
        <w:keepNext/>
        <w:ind w:firstLine="708"/>
        <w:outlineLvl w:val="3"/>
      </w:pPr>
      <w:r w:rsidRPr="00921F5B">
        <w:t>příspěvková organizace Ministerstva školství, mládeže a tělovýchovy</w:t>
      </w:r>
    </w:p>
    <w:p w14:paraId="362AC0C4" w14:textId="77777777" w:rsidR="00921F5B" w:rsidRPr="00921F5B" w:rsidRDefault="00921F5B" w:rsidP="00921F5B">
      <w:pPr>
        <w:keepNext/>
        <w:ind w:firstLine="708"/>
        <w:outlineLvl w:val="3"/>
      </w:pPr>
      <w:r w:rsidRPr="00921F5B">
        <w:t>se sídlem Technická 6/2710, 160 80 Praha 6</w:t>
      </w:r>
    </w:p>
    <w:p w14:paraId="2131EC4E" w14:textId="0C3EFB5F" w:rsidR="00921F5B" w:rsidRDefault="00921F5B" w:rsidP="00921F5B">
      <w:pPr>
        <w:keepNext/>
        <w:ind w:firstLine="708"/>
        <w:outlineLvl w:val="3"/>
      </w:pPr>
      <w:r w:rsidRPr="00921F5B">
        <w:t>z</w:t>
      </w:r>
      <w:r w:rsidR="00DB63AE">
        <w:t xml:space="preserve">astoupená </w:t>
      </w:r>
      <w:proofErr w:type="spellStart"/>
      <w:r w:rsidR="00DB63AE">
        <w:t>xxxxxxxxxxxxxx</w:t>
      </w:r>
      <w:proofErr w:type="spellEnd"/>
      <w:r w:rsidRPr="00921F5B">
        <w:t>, ředitelem</w:t>
      </w:r>
    </w:p>
    <w:p w14:paraId="134342A8" w14:textId="77777777" w:rsidR="00921F5B" w:rsidRPr="00921F5B" w:rsidRDefault="00921F5B" w:rsidP="00921F5B">
      <w:pPr>
        <w:keepNext/>
        <w:ind w:firstLine="708"/>
        <w:outlineLvl w:val="3"/>
      </w:pPr>
      <w:r w:rsidRPr="00921F5B">
        <w:t>IČ: 61387142</w:t>
      </w:r>
      <w:r>
        <w:t xml:space="preserve">, </w:t>
      </w:r>
      <w:r w:rsidRPr="00921F5B">
        <w:t>DIČ: CZ61387142</w:t>
      </w:r>
    </w:p>
    <w:p w14:paraId="1660E41A" w14:textId="1E02B6B6" w:rsidR="00921F5B" w:rsidRPr="00921F5B" w:rsidRDefault="00921F5B" w:rsidP="00921F5B">
      <w:pPr>
        <w:keepNext/>
        <w:ind w:firstLine="708"/>
        <w:outlineLvl w:val="3"/>
      </w:pPr>
      <w:r w:rsidRPr="00921F5B">
        <w:t>banko</w:t>
      </w:r>
      <w:r w:rsidR="00DB63AE">
        <w:t xml:space="preserve">vní spojení: </w:t>
      </w:r>
      <w:proofErr w:type="spellStart"/>
      <w:r w:rsidR="00DB63AE">
        <w:t>xxxxxxxx</w:t>
      </w:r>
      <w:proofErr w:type="spellEnd"/>
    </w:p>
    <w:p w14:paraId="1E1B6E59" w14:textId="7B971BBF" w:rsidR="00921F5B" w:rsidRPr="00921F5B" w:rsidRDefault="00DB63AE" w:rsidP="00921F5B">
      <w:pPr>
        <w:keepNext/>
        <w:ind w:firstLine="708"/>
        <w:outlineLvl w:val="3"/>
      </w:pPr>
      <w:r>
        <w:t xml:space="preserve">č. účtu: </w:t>
      </w:r>
      <w:proofErr w:type="spellStart"/>
      <w:r>
        <w:t>xxxxxxxxxxxx</w:t>
      </w:r>
      <w:proofErr w:type="spellEnd"/>
    </w:p>
    <w:p w14:paraId="1D6508F4" w14:textId="77777777" w:rsidR="00921F5B" w:rsidRPr="00921F5B" w:rsidRDefault="00921F5B" w:rsidP="00921F5B">
      <w:pPr>
        <w:keepNext/>
        <w:ind w:firstLine="708"/>
        <w:outlineLvl w:val="3"/>
      </w:pPr>
      <w:r w:rsidRPr="00921F5B">
        <w:t>ID DS: syd69w9</w:t>
      </w:r>
    </w:p>
    <w:p w14:paraId="6EFCB00F" w14:textId="7D7553BA" w:rsidR="000D647E" w:rsidRPr="00332ED1" w:rsidRDefault="000D647E" w:rsidP="00921F5B">
      <w:pPr>
        <w:keepNext/>
        <w:ind w:firstLine="708"/>
        <w:outlineLvl w:val="3"/>
      </w:pPr>
      <w:r w:rsidRPr="00921F5B">
        <w:t>(dále jen NTK)</w:t>
      </w:r>
    </w:p>
    <w:p w14:paraId="6EFB2B61" w14:textId="77777777" w:rsidR="000D647E" w:rsidRPr="00332ED1" w:rsidRDefault="000D647E" w:rsidP="000D647E">
      <w:pPr>
        <w:pStyle w:val="Nadpis4"/>
      </w:pPr>
    </w:p>
    <w:p w14:paraId="34BC12DD" w14:textId="77777777" w:rsidR="000D647E" w:rsidRPr="00332ED1" w:rsidRDefault="000D647E" w:rsidP="000D647E">
      <w:r w:rsidRPr="00332ED1">
        <w:tab/>
      </w:r>
      <w:r w:rsidRPr="00332ED1">
        <w:tab/>
      </w:r>
    </w:p>
    <w:p w14:paraId="2E2C6E0B" w14:textId="77777777" w:rsidR="000D647E" w:rsidRPr="00332ED1" w:rsidRDefault="000D647E" w:rsidP="000D647E">
      <w:pPr>
        <w:shd w:val="clear" w:color="auto" w:fill="FFFFFF"/>
        <w:spacing w:after="120"/>
        <w:ind w:left="29"/>
        <w:jc w:val="center"/>
        <w:rPr>
          <w:b/>
          <w:color w:val="000000"/>
          <w:spacing w:val="2"/>
        </w:rPr>
      </w:pPr>
      <w:r w:rsidRPr="00332ED1">
        <w:rPr>
          <w:b/>
          <w:color w:val="000000"/>
          <w:spacing w:val="2"/>
        </w:rPr>
        <w:t>II. Preambule</w:t>
      </w:r>
    </w:p>
    <w:p w14:paraId="798679F4" w14:textId="13525068" w:rsidR="000D647E" w:rsidRPr="00332ED1" w:rsidRDefault="000D647E" w:rsidP="000D647E">
      <w:pPr>
        <w:pStyle w:val="Odstavecseseznamem"/>
        <w:numPr>
          <w:ilvl w:val="0"/>
          <w:numId w:val="2"/>
        </w:numPr>
        <w:shd w:val="clear" w:color="auto" w:fill="FFFFFF"/>
        <w:spacing w:after="120"/>
        <w:jc w:val="both"/>
        <w:rPr>
          <w:color w:val="000000"/>
        </w:rPr>
      </w:pPr>
      <w:r w:rsidRPr="00332ED1">
        <w:rPr>
          <w:color w:val="000000"/>
        </w:rPr>
        <w:t xml:space="preserve">VŠCHT Praha je zřizovatelem a provozovatelem dětského koutku „Zkumavka“ (dále     jen Zařízení), ve kterém poskytuje službu hlídání a </w:t>
      </w:r>
      <w:r w:rsidR="00F6289D" w:rsidRPr="00332ED1">
        <w:rPr>
          <w:color w:val="000000"/>
        </w:rPr>
        <w:t>p</w:t>
      </w:r>
      <w:r w:rsidR="00F6289D">
        <w:rPr>
          <w:color w:val="000000"/>
        </w:rPr>
        <w:t>é</w:t>
      </w:r>
      <w:r w:rsidR="00F6289D" w:rsidRPr="00332ED1">
        <w:rPr>
          <w:color w:val="000000"/>
        </w:rPr>
        <w:t xml:space="preserve">če </w:t>
      </w:r>
      <w:r w:rsidRPr="00332ED1">
        <w:rPr>
          <w:color w:val="000000"/>
        </w:rPr>
        <w:t>o děti v dětské skupině (dále jen služby).</w:t>
      </w:r>
    </w:p>
    <w:p w14:paraId="37017D4D" w14:textId="22DE90E4" w:rsidR="000D647E" w:rsidRPr="00921F5B" w:rsidRDefault="000D647E" w:rsidP="00481763">
      <w:pPr>
        <w:pStyle w:val="Prosttext"/>
        <w:numPr>
          <w:ilvl w:val="0"/>
          <w:numId w:val="2"/>
        </w:numPr>
        <w:jc w:val="both"/>
        <w:rPr>
          <w:rFonts w:ascii="Times New Roman" w:hAnsi="Times New Roman" w:cs="Times New Roman"/>
          <w:sz w:val="24"/>
          <w:szCs w:val="24"/>
        </w:rPr>
      </w:pPr>
      <w:r w:rsidRPr="00921F5B">
        <w:rPr>
          <w:rFonts w:ascii="Times New Roman" w:hAnsi="Times New Roman" w:cs="Times New Roman"/>
          <w:sz w:val="24"/>
          <w:szCs w:val="24"/>
        </w:rPr>
        <w:t>NTK má zájem o využití 1 celodenního místa v tomto Zařízení</w:t>
      </w:r>
      <w:r w:rsidR="00A10867">
        <w:rPr>
          <w:rFonts w:ascii="Times New Roman" w:hAnsi="Times New Roman" w:cs="Times New Roman"/>
          <w:sz w:val="24"/>
          <w:szCs w:val="24"/>
        </w:rPr>
        <w:t xml:space="preserve"> nabídnutého ze strany VŠCHT</w:t>
      </w:r>
      <w:r w:rsidR="00F6289D">
        <w:rPr>
          <w:rFonts w:ascii="Times New Roman" w:hAnsi="Times New Roman" w:cs="Times New Roman"/>
          <w:sz w:val="24"/>
          <w:szCs w:val="24"/>
        </w:rPr>
        <w:t xml:space="preserve"> Praha</w:t>
      </w:r>
      <w:r w:rsidRPr="00921F5B">
        <w:rPr>
          <w:rFonts w:ascii="Times New Roman" w:hAnsi="Times New Roman" w:cs="Times New Roman"/>
          <w:sz w:val="24"/>
          <w:szCs w:val="24"/>
        </w:rPr>
        <w:t>. Toto místo může být využito i více dětmi, za předpokladu zachování dohodnuté kapacity.</w:t>
      </w:r>
    </w:p>
    <w:p w14:paraId="4F30CFF5" w14:textId="77777777" w:rsidR="000D647E" w:rsidRPr="00921F5B" w:rsidRDefault="000D647E" w:rsidP="000D647E">
      <w:pPr>
        <w:pStyle w:val="Odstavecseseznamem"/>
        <w:shd w:val="clear" w:color="auto" w:fill="FFFFFF"/>
        <w:spacing w:after="120"/>
        <w:ind w:left="749"/>
        <w:jc w:val="both"/>
        <w:rPr>
          <w:color w:val="000000"/>
        </w:rPr>
      </w:pPr>
    </w:p>
    <w:p w14:paraId="1EA6D3CE" w14:textId="77777777" w:rsidR="000D647E" w:rsidRPr="00921F5B" w:rsidRDefault="000D647E" w:rsidP="000D647E">
      <w:pPr>
        <w:pStyle w:val="Nadpis3"/>
        <w:jc w:val="center"/>
        <w:rPr>
          <w:rFonts w:ascii="Times New Roman" w:hAnsi="Times New Roman" w:cs="Times New Roman"/>
          <w:sz w:val="24"/>
          <w:szCs w:val="24"/>
        </w:rPr>
      </w:pPr>
      <w:r w:rsidRPr="00921F5B">
        <w:rPr>
          <w:rFonts w:ascii="Times New Roman" w:hAnsi="Times New Roman" w:cs="Times New Roman"/>
          <w:sz w:val="24"/>
          <w:szCs w:val="24"/>
        </w:rPr>
        <w:t>III. Předmět smlouvy</w:t>
      </w:r>
    </w:p>
    <w:p w14:paraId="01184B99" w14:textId="77777777" w:rsidR="000D647E" w:rsidRPr="00921F5B" w:rsidRDefault="000D647E" w:rsidP="000D647E"/>
    <w:p w14:paraId="1C18E42E" w14:textId="45F6D54A" w:rsidR="000D647E" w:rsidRPr="00921F5B" w:rsidRDefault="000D647E" w:rsidP="00481763">
      <w:pPr>
        <w:pStyle w:val="Odstavecseseznamem"/>
        <w:numPr>
          <w:ilvl w:val="0"/>
          <w:numId w:val="3"/>
        </w:numPr>
        <w:spacing w:after="120"/>
        <w:ind w:left="714" w:hanging="357"/>
        <w:contextualSpacing w:val="0"/>
        <w:jc w:val="both"/>
      </w:pPr>
      <w:r w:rsidRPr="00921F5B">
        <w:rPr>
          <w:color w:val="000000"/>
        </w:rPr>
        <w:t xml:space="preserve">VŠCHT Praha tímto prohlašuje, že, za podmínek uvedených v čl. III/2. této smlouvy, přijme do Zařízení </w:t>
      </w:r>
      <w:r w:rsidR="00A10867">
        <w:rPr>
          <w:color w:val="000000"/>
        </w:rPr>
        <w:t xml:space="preserve">děti </w:t>
      </w:r>
      <w:r w:rsidRPr="00921F5B">
        <w:rPr>
          <w:color w:val="000000"/>
        </w:rPr>
        <w:t xml:space="preserve">navržené </w:t>
      </w:r>
      <w:r w:rsidRPr="00921F5B">
        <w:t>NTK</w:t>
      </w:r>
      <w:r w:rsidR="00A10867">
        <w:t xml:space="preserve"> v max. kapacitě 1 </w:t>
      </w:r>
      <w:r w:rsidR="00F061D9">
        <w:t>celodenního místa</w:t>
      </w:r>
      <w:r w:rsidR="00A10867">
        <w:t xml:space="preserve"> </w:t>
      </w:r>
      <w:r w:rsidRPr="00921F5B">
        <w:t xml:space="preserve">a to na základě písemného návrhu </w:t>
      </w:r>
      <w:r w:rsidR="00F061D9">
        <w:t>p</w:t>
      </w:r>
      <w:r w:rsidRPr="00921F5B">
        <w:t xml:space="preserve">ersonálního odd. </w:t>
      </w:r>
      <w:r w:rsidR="00921F5B" w:rsidRPr="00921F5B">
        <w:t>NTK</w:t>
      </w:r>
      <w:r w:rsidRPr="00921F5B">
        <w:t xml:space="preserve">. </w:t>
      </w:r>
    </w:p>
    <w:p w14:paraId="01F68A03" w14:textId="29614223" w:rsidR="000D647E" w:rsidRPr="00332ED1" w:rsidRDefault="000D647E" w:rsidP="00481763">
      <w:pPr>
        <w:pStyle w:val="Odstavecseseznamem"/>
        <w:numPr>
          <w:ilvl w:val="0"/>
          <w:numId w:val="3"/>
        </w:numPr>
        <w:jc w:val="both"/>
      </w:pPr>
      <w:r w:rsidRPr="00921F5B">
        <w:t>NTK se zavazuje zajistit, aby před</w:t>
      </w:r>
      <w:r w:rsidRPr="00332ED1">
        <w:t xml:space="preserve"> přijetím dítěte do Zařízení byla zákonným zástupcem dítěte řádně podána platná a VŠCHT Praha připravená „Přihláška do dětského koutku Zkumavka“ a podepsána platná </w:t>
      </w:r>
      <w:r w:rsidRPr="00921F5B">
        <w:t>„Smlouva o svěření dítěte do péče dětského koutku Zkumavka“, a to za podmínek stanovených VŠCHT Praha a v souladu s příslušnými právními předpisy i vnitřními předpisy VŠCHT Praha. NTK a Zákonní zástupci dětí jsou povinni se seznámit s Provozním řádem Zařízení a</w:t>
      </w:r>
      <w:r w:rsidRPr="00332ED1">
        <w:t xml:space="preserve"> s Etickým kodexem Zařízení.</w:t>
      </w:r>
    </w:p>
    <w:p w14:paraId="6A195723" w14:textId="77777777" w:rsidR="000D647E" w:rsidRPr="00332ED1" w:rsidRDefault="000D647E" w:rsidP="000D647E"/>
    <w:p w14:paraId="6930CB32" w14:textId="77777777" w:rsidR="000D647E" w:rsidRPr="00332ED1" w:rsidRDefault="000D647E" w:rsidP="000D647E"/>
    <w:p w14:paraId="0FF01E6D" w14:textId="77777777" w:rsidR="000D647E" w:rsidRPr="00332ED1" w:rsidRDefault="000D647E" w:rsidP="00481763">
      <w:pPr>
        <w:pStyle w:val="Nadpis5"/>
      </w:pPr>
      <w:r w:rsidRPr="00332ED1">
        <w:lastRenderedPageBreak/>
        <w:t>IV. Platební podmínky</w:t>
      </w:r>
    </w:p>
    <w:p w14:paraId="09CBE63C" w14:textId="77777777" w:rsidR="000D647E" w:rsidRPr="00332ED1" w:rsidRDefault="000D647E" w:rsidP="00481763">
      <w:pPr>
        <w:keepNext/>
      </w:pPr>
    </w:p>
    <w:p w14:paraId="6E4C4CD5" w14:textId="025F8C34" w:rsidR="000D647E" w:rsidRPr="00F6289D" w:rsidRDefault="000D647E" w:rsidP="00481763">
      <w:pPr>
        <w:pStyle w:val="Odstavecseseznamem"/>
        <w:keepNext/>
        <w:numPr>
          <w:ilvl w:val="0"/>
          <w:numId w:val="4"/>
        </w:numPr>
        <w:spacing w:after="120"/>
        <w:ind w:left="714" w:hanging="357"/>
        <w:contextualSpacing w:val="0"/>
        <w:jc w:val="both"/>
        <w:rPr>
          <w:color w:val="000000"/>
        </w:rPr>
      </w:pPr>
      <w:r w:rsidRPr="00F6289D">
        <w:rPr>
          <w:color w:val="000000"/>
        </w:rPr>
        <w:t>NTK se zavazuje uhradit denní poplatek za pobyt každého dítěte ve výši 250,-</w:t>
      </w:r>
      <w:r w:rsidR="00A10867" w:rsidRPr="00F6289D">
        <w:rPr>
          <w:color w:val="000000"/>
        </w:rPr>
        <w:t xml:space="preserve"> Kč</w:t>
      </w:r>
      <w:r w:rsidRPr="00F6289D">
        <w:rPr>
          <w:color w:val="000000"/>
        </w:rPr>
        <w:t>/ dítě/den plus DPH 21%, resp. 126,-</w:t>
      </w:r>
      <w:r w:rsidR="00A10867" w:rsidRPr="00F6289D">
        <w:rPr>
          <w:color w:val="000000"/>
        </w:rPr>
        <w:t xml:space="preserve"> Kč</w:t>
      </w:r>
      <w:r w:rsidRPr="00F6289D">
        <w:rPr>
          <w:color w:val="000000"/>
        </w:rPr>
        <w:t xml:space="preserve">/dítě/půlden plus DPH 21% a stravné dětí ve výši: 26,09 Kč plus DPH 21% dítě/oběd, 8,70 Kč plus DPH 21%/dítě/svačina dopolední či odpolední.  Poplatek, resp. stravné bude účtováno i v případě, že dítě bude nahlášeno, ale do zařízení se nedostaví, resp. nebude odhlášeno nejdéle do 10 hodin předcházejícího pracovního dne. Platba proběhne na základě faktury VŠCHT Praha, která bude vystavena vždy na konci kalendářního měsíce a bude splatná do 14 kalendářních dnů ode dne doručení faktury NTK. </w:t>
      </w:r>
      <w:r w:rsidR="00506301" w:rsidRPr="00F6289D">
        <w:rPr>
          <w:color w:val="000000"/>
        </w:rPr>
        <w:t xml:space="preserve">Přílohou faktury bude rozpis čerpaných služeb za daný měsíc. </w:t>
      </w:r>
      <w:r w:rsidRPr="00F6289D">
        <w:rPr>
          <w:color w:val="000000"/>
        </w:rPr>
        <w:t>Faktura se bude vztahovat k předchozímu kalendářnímu měsíci poskytování služeb dle této smlouvy. Faktura musí mít náležitosti účetního dokladu podle zákona č. 563/1991 Sb., o účetnictví ve znění pozdějších předpisů a daňového dokladu podle zákona č. 235/2004 Sb., o dani z přidané hodnoty, v aktuálním znění. Faktura je proplacena až připsáním placené částky na účet VŠCHT Praha. Proplácení spotřebovaných služeb zákonnými zástupci dětí je plně v působnosti NTK.</w:t>
      </w:r>
    </w:p>
    <w:p w14:paraId="002C7AB3" w14:textId="5956862A" w:rsidR="000D647E" w:rsidRPr="00F6289D" w:rsidRDefault="000D647E" w:rsidP="00F6289D">
      <w:pPr>
        <w:pStyle w:val="Odstavecseseznamem"/>
        <w:numPr>
          <w:ilvl w:val="0"/>
          <w:numId w:val="4"/>
        </w:numPr>
        <w:jc w:val="both"/>
        <w:rPr>
          <w:color w:val="000000"/>
        </w:rPr>
      </w:pPr>
      <w:r w:rsidRPr="00F6289D">
        <w:rPr>
          <w:color w:val="000000"/>
        </w:rPr>
        <w:t>VŠCHT Praha má právo upravit cenu za pobyt dítěte dle nákladů spojených s provozem  Zařízení za uplynulý kalendářní rok či cenu za stravné v případě změny ceny dodavatele stravovacích služeb.</w:t>
      </w:r>
    </w:p>
    <w:p w14:paraId="456BC71F" w14:textId="77777777" w:rsidR="000D647E" w:rsidRPr="00332ED1" w:rsidRDefault="000D647E" w:rsidP="000D647E">
      <w:pPr>
        <w:pStyle w:val="Zkladntextodsazen"/>
        <w:ind w:left="708" w:hanging="282"/>
        <w:jc w:val="both"/>
        <w:rPr>
          <w:b/>
          <w:bCs/>
        </w:rPr>
      </w:pPr>
    </w:p>
    <w:p w14:paraId="52C2BC8A" w14:textId="77777777" w:rsidR="000D647E" w:rsidRPr="00332ED1" w:rsidRDefault="000D647E" w:rsidP="000D647E">
      <w:pPr>
        <w:pStyle w:val="Zkladntext"/>
        <w:ind w:left="426" w:hanging="426"/>
        <w:jc w:val="center"/>
        <w:rPr>
          <w:b/>
          <w:bCs/>
          <w:szCs w:val="24"/>
        </w:rPr>
      </w:pPr>
    </w:p>
    <w:p w14:paraId="13C7DEEA" w14:textId="77777777" w:rsidR="000D647E" w:rsidRPr="00332ED1" w:rsidRDefault="000D647E" w:rsidP="000D647E">
      <w:pPr>
        <w:pStyle w:val="Zkladntext"/>
        <w:ind w:left="426" w:hanging="426"/>
        <w:jc w:val="center"/>
        <w:rPr>
          <w:b/>
          <w:bCs/>
          <w:szCs w:val="24"/>
        </w:rPr>
      </w:pPr>
      <w:r w:rsidRPr="00332ED1">
        <w:rPr>
          <w:b/>
          <w:bCs/>
          <w:szCs w:val="24"/>
        </w:rPr>
        <w:t>V. Doba platnosti</w:t>
      </w:r>
    </w:p>
    <w:p w14:paraId="75BF763F" w14:textId="77777777" w:rsidR="000D647E" w:rsidRPr="00332ED1" w:rsidRDefault="000D647E" w:rsidP="000D647E">
      <w:pPr>
        <w:pStyle w:val="Zkladntext"/>
        <w:ind w:left="426" w:hanging="426"/>
        <w:rPr>
          <w:szCs w:val="24"/>
        </w:rPr>
      </w:pPr>
    </w:p>
    <w:p w14:paraId="4D28346A" w14:textId="3B949943" w:rsidR="000D647E" w:rsidRPr="00F6289D" w:rsidRDefault="000D647E" w:rsidP="00F6289D">
      <w:pPr>
        <w:pStyle w:val="Odstavecseseznamem"/>
        <w:numPr>
          <w:ilvl w:val="0"/>
          <w:numId w:val="5"/>
        </w:numPr>
        <w:jc w:val="both"/>
        <w:rPr>
          <w:color w:val="000000"/>
        </w:rPr>
      </w:pPr>
      <w:r w:rsidRPr="00F6289D">
        <w:rPr>
          <w:color w:val="000000"/>
        </w:rPr>
        <w:t xml:space="preserve">Smlouva se uzavírá na dobu neurčitou ode dne </w:t>
      </w:r>
      <w:r w:rsidR="00BE5E53">
        <w:rPr>
          <w:color w:val="000000"/>
        </w:rPr>
        <w:t>nabytí účinnosti smlouvy</w:t>
      </w:r>
      <w:r w:rsidRPr="00F6289D">
        <w:rPr>
          <w:color w:val="000000"/>
        </w:rPr>
        <w:t>.</w:t>
      </w:r>
    </w:p>
    <w:p w14:paraId="1A6FA525" w14:textId="77777777" w:rsidR="000D647E" w:rsidRPr="00F6289D" w:rsidRDefault="000D647E" w:rsidP="00F6289D">
      <w:pPr>
        <w:pStyle w:val="Odstavecseseznamem"/>
        <w:jc w:val="both"/>
        <w:rPr>
          <w:color w:val="000000"/>
        </w:rPr>
      </w:pPr>
    </w:p>
    <w:p w14:paraId="481F3FBA" w14:textId="57B76646" w:rsidR="000D647E" w:rsidRPr="00F6289D" w:rsidRDefault="000D647E" w:rsidP="00F6289D">
      <w:pPr>
        <w:pStyle w:val="Odstavecseseznamem"/>
        <w:numPr>
          <w:ilvl w:val="0"/>
          <w:numId w:val="5"/>
        </w:numPr>
        <w:jc w:val="both"/>
        <w:rPr>
          <w:color w:val="000000"/>
        </w:rPr>
      </w:pPr>
      <w:r w:rsidRPr="00F6289D">
        <w:rPr>
          <w:color w:val="000000"/>
        </w:rPr>
        <w:t xml:space="preserve">Tato smlouva může být ukončena před uplynutím sjednané doby dohodou stran nebo výpovědí kterékoliv ze smluvních stran, a to bez udání důvodu. Výpovědní lhůta je jeden měsíc a začíná běžet prvním dnem následujícího kalendářního měsíce po doručení písemné výpovědi druhé smluvní straně. </w:t>
      </w:r>
    </w:p>
    <w:p w14:paraId="71DCA0C1" w14:textId="77777777" w:rsidR="000D647E" w:rsidRPr="00332ED1" w:rsidRDefault="000D647E" w:rsidP="000D647E">
      <w:pPr>
        <w:pStyle w:val="Zkladntext"/>
        <w:jc w:val="center"/>
        <w:rPr>
          <w:b/>
          <w:bCs/>
          <w:szCs w:val="24"/>
        </w:rPr>
      </w:pPr>
    </w:p>
    <w:p w14:paraId="380FF251" w14:textId="77777777" w:rsidR="000D647E" w:rsidRPr="00332ED1" w:rsidRDefault="000D647E" w:rsidP="000D647E">
      <w:pPr>
        <w:pStyle w:val="Zkladntext"/>
        <w:jc w:val="center"/>
        <w:rPr>
          <w:b/>
          <w:bCs/>
          <w:szCs w:val="24"/>
        </w:rPr>
      </w:pPr>
      <w:r w:rsidRPr="00332ED1">
        <w:rPr>
          <w:b/>
          <w:bCs/>
          <w:szCs w:val="24"/>
        </w:rPr>
        <w:t>VI.  Závěrečná ustanovení</w:t>
      </w:r>
    </w:p>
    <w:p w14:paraId="56CFDDF9" w14:textId="77777777" w:rsidR="000D647E" w:rsidRPr="00332ED1" w:rsidRDefault="000D647E" w:rsidP="000D647E">
      <w:pPr>
        <w:pStyle w:val="Zkladntext"/>
        <w:jc w:val="center"/>
        <w:rPr>
          <w:b/>
          <w:bCs/>
          <w:szCs w:val="24"/>
        </w:rPr>
      </w:pPr>
    </w:p>
    <w:p w14:paraId="7F837D68" w14:textId="77777777" w:rsidR="000D647E" w:rsidRPr="00F6289D" w:rsidRDefault="000D647E" w:rsidP="00F6289D">
      <w:pPr>
        <w:pStyle w:val="Odstavecseseznamem"/>
        <w:numPr>
          <w:ilvl w:val="0"/>
          <w:numId w:val="6"/>
        </w:numPr>
        <w:jc w:val="both"/>
        <w:rPr>
          <w:color w:val="000000"/>
        </w:rPr>
      </w:pPr>
      <w:r w:rsidRPr="00F6289D">
        <w:rPr>
          <w:color w:val="000000"/>
        </w:rPr>
        <w:t>Ostatní vztahy mezi smluvními stranami, neupravené touto smlouvou, se řídí příslušnými ustanoveními občanského zákoníku a dalších právních předpisů ČR, odpovídajících obsahu a povaze vztahů dle této smlouvy a touto smlouvou založených.</w:t>
      </w:r>
    </w:p>
    <w:p w14:paraId="726F0AD2" w14:textId="77777777" w:rsidR="000D647E" w:rsidRPr="00F6289D" w:rsidRDefault="000D647E" w:rsidP="00F6289D">
      <w:pPr>
        <w:pStyle w:val="Odstavecseseznamem"/>
        <w:jc w:val="both"/>
        <w:rPr>
          <w:color w:val="000000"/>
        </w:rPr>
      </w:pPr>
    </w:p>
    <w:p w14:paraId="28FF06DD" w14:textId="77777777" w:rsidR="000D647E" w:rsidRPr="00F6289D" w:rsidRDefault="000D647E" w:rsidP="00F6289D">
      <w:pPr>
        <w:pStyle w:val="Odstavecseseznamem"/>
        <w:numPr>
          <w:ilvl w:val="0"/>
          <w:numId w:val="6"/>
        </w:numPr>
        <w:jc w:val="both"/>
        <w:rPr>
          <w:color w:val="000000"/>
        </w:rPr>
      </w:pPr>
      <w:r w:rsidRPr="00F6289D">
        <w:rPr>
          <w:color w:val="000000"/>
        </w:rPr>
        <w:t>Odpověď smluvní strany této smlouvy, podle § 1740 odst. 3 občanského zákoníku, s dodatkem nebo odchylkou, není přijetím nabídky na uzavření této smlouvy, ani když podstatně nemění podmínky nabídky.</w:t>
      </w:r>
    </w:p>
    <w:p w14:paraId="5AB70767" w14:textId="77777777" w:rsidR="000D647E" w:rsidRPr="00F6289D" w:rsidRDefault="000D647E" w:rsidP="00F6289D">
      <w:pPr>
        <w:pStyle w:val="Odstavecseseznamem"/>
        <w:jc w:val="both"/>
        <w:rPr>
          <w:color w:val="000000"/>
        </w:rPr>
      </w:pPr>
    </w:p>
    <w:p w14:paraId="3AA3E052" w14:textId="77777777" w:rsidR="000D647E" w:rsidRPr="00F6289D" w:rsidRDefault="000D647E" w:rsidP="00F6289D">
      <w:pPr>
        <w:pStyle w:val="Odstavecseseznamem"/>
        <w:numPr>
          <w:ilvl w:val="0"/>
          <w:numId w:val="6"/>
        </w:numPr>
        <w:jc w:val="both"/>
        <w:rPr>
          <w:color w:val="000000"/>
        </w:rPr>
      </w:pPr>
      <w:r w:rsidRPr="00F6289D">
        <w:rPr>
          <w:color w:val="000000"/>
        </w:rPr>
        <w:t>Žádný závazek dle této smlouvy není fixním závazkem podle § 1980 občanského zákoníku.</w:t>
      </w:r>
    </w:p>
    <w:p w14:paraId="3BE184D4" w14:textId="77777777" w:rsidR="000D647E" w:rsidRPr="00F6289D" w:rsidRDefault="000D647E" w:rsidP="00F6289D">
      <w:pPr>
        <w:pStyle w:val="Odstavecseseznamem"/>
        <w:jc w:val="both"/>
        <w:rPr>
          <w:color w:val="000000"/>
        </w:rPr>
      </w:pPr>
      <w:r w:rsidRPr="00F6289D">
        <w:rPr>
          <w:color w:val="000000"/>
        </w:rPr>
        <w:t xml:space="preserve"> </w:t>
      </w:r>
    </w:p>
    <w:p w14:paraId="55B18717" w14:textId="4EC86193" w:rsidR="000D647E" w:rsidRPr="00F6289D" w:rsidRDefault="000D647E" w:rsidP="00F6289D">
      <w:pPr>
        <w:pStyle w:val="Odstavecseseznamem"/>
        <w:numPr>
          <w:ilvl w:val="0"/>
          <w:numId w:val="6"/>
        </w:numPr>
        <w:jc w:val="both"/>
        <w:rPr>
          <w:color w:val="000000"/>
        </w:rPr>
      </w:pPr>
      <w:r w:rsidRPr="00F6289D">
        <w:rPr>
          <w:color w:val="000000"/>
        </w:rPr>
        <w:t>V záležitostech plnění této smlouvy, jejího sledování a vyhodnocování, včetně zajištění a  její realizace v navazujících smlouvách jsou odpovědnými osobami:</w:t>
      </w:r>
    </w:p>
    <w:p w14:paraId="6EE298FD" w14:textId="38764B54" w:rsidR="000D647E" w:rsidRDefault="000D647E" w:rsidP="00F6289D">
      <w:pPr>
        <w:pStyle w:val="Odstavecseseznamem"/>
        <w:jc w:val="both"/>
      </w:pPr>
      <w:r w:rsidRPr="00974CAA">
        <w:rPr>
          <w:color w:val="000000"/>
        </w:rPr>
        <w:t>- za VŠCHT Praha:</w:t>
      </w:r>
      <w:r w:rsidRPr="00F6289D">
        <w:tab/>
      </w:r>
      <w:r w:rsidR="00DB63AE">
        <w:t xml:space="preserve"> </w:t>
      </w:r>
      <w:proofErr w:type="spellStart"/>
      <w:r w:rsidR="00DB63AE">
        <w:t>xxxxxxxxxxx</w:t>
      </w:r>
      <w:proofErr w:type="spellEnd"/>
      <w:r w:rsidR="00974CAA">
        <w:t>, vedoucí dětského koutku Zkumavka</w:t>
      </w:r>
    </w:p>
    <w:p w14:paraId="18BAE2D3" w14:textId="73CFD464" w:rsidR="00974CAA" w:rsidRPr="00F6289D" w:rsidRDefault="00974CAA" w:rsidP="00F6289D">
      <w:pPr>
        <w:pStyle w:val="Odstavecseseznamem"/>
        <w:jc w:val="both"/>
      </w:pPr>
      <w:r>
        <w:tab/>
      </w:r>
      <w:r>
        <w:tab/>
      </w:r>
      <w:r>
        <w:tab/>
        <w:t xml:space="preserve"> e-mail: </w:t>
      </w:r>
      <w:proofErr w:type="spellStart"/>
      <w:r w:rsidR="00DB63AE">
        <w:t>xxxxxxxxxxxxxxxxx</w:t>
      </w:r>
      <w:proofErr w:type="spellEnd"/>
    </w:p>
    <w:p w14:paraId="0614020C" w14:textId="065B3515" w:rsidR="000D647E" w:rsidRDefault="000D647E" w:rsidP="00506301">
      <w:pPr>
        <w:pStyle w:val="Zkladntext"/>
        <w:keepNext/>
        <w:keepLines/>
        <w:ind w:left="425"/>
        <w:rPr>
          <w:szCs w:val="24"/>
        </w:rPr>
      </w:pPr>
      <w:r w:rsidRPr="00332ED1">
        <w:rPr>
          <w:szCs w:val="24"/>
        </w:rPr>
        <w:lastRenderedPageBreak/>
        <w:t xml:space="preserve">- </w:t>
      </w:r>
      <w:r w:rsidRPr="00990E99">
        <w:rPr>
          <w:szCs w:val="24"/>
        </w:rPr>
        <w:t>za NTK:</w:t>
      </w:r>
      <w:r w:rsidR="00990E99">
        <w:rPr>
          <w:szCs w:val="24"/>
        </w:rPr>
        <w:t xml:space="preserve"> </w:t>
      </w:r>
      <w:r w:rsidR="00506301">
        <w:rPr>
          <w:szCs w:val="24"/>
        </w:rPr>
        <w:tab/>
      </w:r>
      <w:proofErr w:type="spellStart"/>
      <w:r w:rsidR="00DB63AE">
        <w:rPr>
          <w:szCs w:val="24"/>
        </w:rPr>
        <w:t>xxxxxxxxxxxxxxx</w:t>
      </w:r>
      <w:proofErr w:type="spellEnd"/>
      <w:r w:rsidR="00990E99">
        <w:rPr>
          <w:szCs w:val="24"/>
        </w:rPr>
        <w:t>, vedoucí ekonomického oddělení</w:t>
      </w:r>
    </w:p>
    <w:p w14:paraId="39BF5436" w14:textId="220E7D77" w:rsidR="00990E99" w:rsidRDefault="00990E99" w:rsidP="00506301">
      <w:pPr>
        <w:pStyle w:val="Zkladntext"/>
        <w:keepNext/>
        <w:keepLines/>
        <w:ind w:left="425"/>
        <w:rPr>
          <w:szCs w:val="24"/>
        </w:rPr>
      </w:pPr>
      <w:r>
        <w:rPr>
          <w:szCs w:val="24"/>
        </w:rPr>
        <w:tab/>
      </w:r>
      <w:r>
        <w:rPr>
          <w:szCs w:val="24"/>
        </w:rPr>
        <w:tab/>
      </w:r>
      <w:r w:rsidR="00506301">
        <w:rPr>
          <w:szCs w:val="24"/>
        </w:rPr>
        <w:tab/>
        <w:t xml:space="preserve">e-mail: </w:t>
      </w:r>
      <w:r w:rsidR="00DB63AE">
        <w:rPr>
          <w:szCs w:val="24"/>
        </w:rPr>
        <w:t>xxxxxxxxxxxxxxxx</w:t>
      </w:r>
      <w:bookmarkStart w:id="0" w:name="_GoBack"/>
      <w:bookmarkEnd w:id="0"/>
    </w:p>
    <w:p w14:paraId="7DCF7EA9" w14:textId="77777777" w:rsidR="00990E99" w:rsidRPr="00332ED1" w:rsidRDefault="00990E99" w:rsidP="000D647E">
      <w:pPr>
        <w:pStyle w:val="Zkladntext"/>
        <w:ind w:left="426"/>
        <w:rPr>
          <w:szCs w:val="24"/>
        </w:rPr>
      </w:pPr>
    </w:p>
    <w:p w14:paraId="489F3BA2" w14:textId="6F10366C" w:rsidR="000D647E" w:rsidRPr="004C4828" w:rsidRDefault="000D647E" w:rsidP="004C4828">
      <w:pPr>
        <w:jc w:val="both"/>
        <w:rPr>
          <w:color w:val="000000"/>
        </w:rPr>
      </w:pPr>
    </w:p>
    <w:p w14:paraId="1FBF9550" w14:textId="0C49C729" w:rsidR="000D647E" w:rsidRPr="00F6289D" w:rsidRDefault="000D647E" w:rsidP="00F6289D">
      <w:pPr>
        <w:pStyle w:val="Odstavecseseznamem"/>
        <w:numPr>
          <w:ilvl w:val="0"/>
          <w:numId w:val="6"/>
        </w:numPr>
        <w:jc w:val="both"/>
        <w:rPr>
          <w:color w:val="000000"/>
        </w:rPr>
      </w:pPr>
      <w:r w:rsidRPr="00F6289D">
        <w:rPr>
          <w:color w:val="000000"/>
        </w:rPr>
        <w:t>Veškeré změny nebo doplňky této smlouvu lze provést pouze formou písemných dodatků odsouhlasených oběma smluvními stranami.</w:t>
      </w:r>
    </w:p>
    <w:p w14:paraId="13CFE147" w14:textId="7854341E" w:rsidR="000D647E" w:rsidRPr="00F6289D" w:rsidRDefault="000D647E" w:rsidP="00F6289D">
      <w:pPr>
        <w:pStyle w:val="Odstavecseseznamem"/>
        <w:jc w:val="both"/>
        <w:rPr>
          <w:color w:val="000000"/>
        </w:rPr>
      </w:pPr>
    </w:p>
    <w:p w14:paraId="2A97EB70" w14:textId="7F9D7DC2" w:rsidR="00F6289D" w:rsidRPr="00F6289D" w:rsidRDefault="000D647E" w:rsidP="00F6289D">
      <w:pPr>
        <w:pStyle w:val="Odstavecseseznamem"/>
        <w:numPr>
          <w:ilvl w:val="0"/>
          <w:numId w:val="6"/>
        </w:numPr>
        <w:jc w:val="both"/>
        <w:rPr>
          <w:color w:val="000000"/>
        </w:rPr>
      </w:pPr>
      <w:r w:rsidRPr="00F6289D">
        <w:rPr>
          <w:color w:val="000000"/>
        </w:rPr>
        <w:t>Tato smlouva nabývá platnosti dnem jejího podpisu smluvními stranami</w:t>
      </w:r>
      <w:r w:rsidR="00F6289D" w:rsidRPr="00F6289D">
        <w:rPr>
          <w:color w:val="000000"/>
        </w:rPr>
        <w:t xml:space="preserve"> a účinnosti dnem jejího uveřejnění v registru smluv v souladu s příslušnými ustanoveními zákona č. 340/2015 Sb., v platném znění</w:t>
      </w:r>
      <w:r w:rsidRPr="00F6289D">
        <w:rPr>
          <w:color w:val="000000"/>
        </w:rPr>
        <w:t>.</w:t>
      </w:r>
    </w:p>
    <w:p w14:paraId="27AA5CBF" w14:textId="77777777" w:rsidR="00F6289D" w:rsidRPr="00F6289D" w:rsidRDefault="00F6289D" w:rsidP="00F6289D">
      <w:pPr>
        <w:ind w:left="360"/>
        <w:jc w:val="both"/>
        <w:rPr>
          <w:color w:val="000000"/>
        </w:rPr>
      </w:pPr>
    </w:p>
    <w:p w14:paraId="1350CCB8" w14:textId="1B1EAE95" w:rsidR="004C4828" w:rsidRPr="004C4828" w:rsidRDefault="004C4828" w:rsidP="00F6289D">
      <w:pPr>
        <w:pStyle w:val="Odstavecseseznamem"/>
        <w:numPr>
          <w:ilvl w:val="0"/>
          <w:numId w:val="6"/>
        </w:numPr>
        <w:jc w:val="both"/>
        <w:rPr>
          <w:color w:val="000000"/>
        </w:rPr>
      </w:pPr>
      <w:r>
        <w:rPr>
          <w:color w:val="000000"/>
        </w:rPr>
        <w:t xml:space="preserve">Bez ohledu na výše uvedené, smluvní strany sjednávají, že na obsahu této smlouvy se dohodly již před uzavřením této smlouvy a </w:t>
      </w:r>
      <w:r w:rsidRPr="004C4828">
        <w:rPr>
          <w:color w:val="000000"/>
        </w:rPr>
        <w:t xml:space="preserve">řídily se ustanovením této smlouvy již od </w:t>
      </w:r>
      <w:r w:rsidR="00035A04">
        <w:rPr>
          <w:color w:val="000000"/>
        </w:rPr>
        <w:t>7.</w:t>
      </w:r>
      <w:r w:rsidR="00481763">
        <w:rPr>
          <w:color w:val="000000"/>
        </w:rPr>
        <w:t> </w:t>
      </w:r>
      <w:r w:rsidR="00035A04">
        <w:rPr>
          <w:color w:val="000000"/>
        </w:rPr>
        <w:t>9. 2020</w:t>
      </w:r>
      <w:r w:rsidR="00481763">
        <w:rPr>
          <w:color w:val="000000"/>
        </w:rPr>
        <w:t xml:space="preserve">. </w:t>
      </w:r>
      <w:r w:rsidRPr="00481763">
        <w:rPr>
          <w:color w:val="000000"/>
        </w:rPr>
        <w:t xml:space="preserve">Z tohoto důvodu vzniklo na straně NTK bezdůvodné obohacení rovnající se </w:t>
      </w:r>
      <w:r>
        <w:rPr>
          <w:color w:val="000000"/>
        </w:rPr>
        <w:t xml:space="preserve">poskytnutému plnění v cenách definovaných v čl. IV. odst. 2 </w:t>
      </w:r>
      <w:proofErr w:type="gramStart"/>
      <w:r>
        <w:rPr>
          <w:color w:val="000000"/>
        </w:rPr>
        <w:t>této</w:t>
      </w:r>
      <w:proofErr w:type="gramEnd"/>
      <w:r>
        <w:rPr>
          <w:color w:val="000000"/>
        </w:rPr>
        <w:t xml:space="preserve"> smlouvy za období </w:t>
      </w:r>
      <w:r w:rsidR="00F34A81">
        <w:rPr>
          <w:color w:val="000000"/>
        </w:rPr>
        <w:t>počínaje termínem uvedeným v první větě tohoto odstavce</w:t>
      </w:r>
      <w:r>
        <w:rPr>
          <w:color w:val="000000"/>
        </w:rPr>
        <w:t xml:space="preserve"> do nabytí účinnosti této smlouvy. VŠCHT Praha tuto částku po nabytí účinnosti smlouvy vyčíslí a doručí NTK daňový doklad bez zbytečného odkladu. NTK daňový doklad uhradí </w:t>
      </w:r>
      <w:r w:rsidR="00F34A81">
        <w:rPr>
          <w:color w:val="000000"/>
        </w:rPr>
        <w:t>v termínu splatnosti</w:t>
      </w:r>
      <w:r>
        <w:rPr>
          <w:color w:val="000000"/>
        </w:rPr>
        <w:t>.</w:t>
      </w:r>
    </w:p>
    <w:p w14:paraId="1DCA5B5B" w14:textId="77777777" w:rsidR="004C4828" w:rsidRPr="00481763" w:rsidRDefault="004C4828" w:rsidP="00481763">
      <w:pPr>
        <w:pStyle w:val="Odstavecseseznamem"/>
        <w:rPr>
          <w:color w:val="000000"/>
        </w:rPr>
      </w:pPr>
    </w:p>
    <w:p w14:paraId="290211A6" w14:textId="0B31DF51" w:rsidR="000D647E" w:rsidRDefault="000D647E" w:rsidP="00F6289D">
      <w:pPr>
        <w:pStyle w:val="Odstavecseseznamem"/>
        <w:numPr>
          <w:ilvl w:val="0"/>
          <w:numId w:val="6"/>
        </w:numPr>
        <w:jc w:val="both"/>
        <w:rPr>
          <w:color w:val="000000"/>
        </w:rPr>
      </w:pPr>
      <w:r w:rsidRPr="00F6289D">
        <w:rPr>
          <w:color w:val="000000"/>
        </w:rPr>
        <w:t>Je vyhotovena ve dvou stejnopisech, které mají platnost originálu. Každá smluvní strana obdrží po jednom vyhotovení.</w:t>
      </w:r>
    </w:p>
    <w:p w14:paraId="3C72B0BE" w14:textId="77F34266" w:rsidR="004C4828" w:rsidRDefault="004C4828" w:rsidP="00481763">
      <w:pPr>
        <w:jc w:val="both"/>
        <w:rPr>
          <w:color w:val="000000"/>
        </w:rPr>
      </w:pPr>
    </w:p>
    <w:p w14:paraId="4A474701" w14:textId="2B7BC642" w:rsidR="00481763" w:rsidRDefault="00481763" w:rsidP="00481763">
      <w:pPr>
        <w:jc w:val="both"/>
        <w:rPr>
          <w:color w:val="000000"/>
        </w:rPr>
      </w:pPr>
    </w:p>
    <w:p w14:paraId="4671A419" w14:textId="77777777" w:rsidR="00481763" w:rsidRPr="00481763" w:rsidRDefault="00481763" w:rsidP="00481763">
      <w:pPr>
        <w:jc w:val="both"/>
        <w:rPr>
          <w:color w:val="000000"/>
        </w:rPr>
      </w:pPr>
    </w:p>
    <w:p w14:paraId="4F6BD144" w14:textId="77777777" w:rsidR="000D647E" w:rsidRPr="00F6289D" w:rsidRDefault="000D647E" w:rsidP="00F6289D">
      <w:pPr>
        <w:pStyle w:val="Odstavecseseznamem"/>
        <w:jc w:val="both"/>
        <w:rPr>
          <w:color w:val="000000"/>
        </w:rPr>
      </w:pPr>
    </w:p>
    <w:p w14:paraId="7647EDE0" w14:textId="77777777" w:rsidR="000D647E" w:rsidRPr="00F6289D" w:rsidRDefault="000D647E" w:rsidP="00F6289D">
      <w:pPr>
        <w:pStyle w:val="Odstavecseseznamem"/>
        <w:jc w:val="both"/>
        <w:rPr>
          <w:color w:val="000000"/>
        </w:rPr>
      </w:pPr>
    </w:p>
    <w:tbl>
      <w:tblPr>
        <w:tblW w:w="0" w:type="auto"/>
        <w:tblLook w:val="04A0" w:firstRow="1" w:lastRow="0" w:firstColumn="1" w:lastColumn="0" w:noHBand="0" w:noVBand="1"/>
      </w:tblPr>
      <w:tblGrid>
        <w:gridCol w:w="4496"/>
        <w:gridCol w:w="4576"/>
      </w:tblGrid>
      <w:tr w:rsidR="000D647E" w:rsidRPr="00332ED1" w14:paraId="41191F07" w14:textId="77777777" w:rsidTr="00921F5B">
        <w:trPr>
          <w:trHeight w:val="962"/>
        </w:trPr>
        <w:tc>
          <w:tcPr>
            <w:tcW w:w="4643" w:type="dxa"/>
            <w:shd w:val="clear" w:color="auto" w:fill="auto"/>
            <w:hideMark/>
          </w:tcPr>
          <w:p w14:paraId="407D91DA" w14:textId="77777777" w:rsidR="000D647E" w:rsidRPr="00921F5B" w:rsidRDefault="000D647E" w:rsidP="00C94577">
            <w:pPr>
              <w:pStyle w:val="Zkladntext"/>
              <w:rPr>
                <w:szCs w:val="24"/>
              </w:rPr>
            </w:pPr>
            <w:r w:rsidRPr="00921F5B">
              <w:rPr>
                <w:szCs w:val="24"/>
              </w:rPr>
              <w:t>za VŠCHT Praha</w:t>
            </w:r>
          </w:p>
        </w:tc>
        <w:tc>
          <w:tcPr>
            <w:tcW w:w="4643" w:type="dxa"/>
            <w:shd w:val="clear" w:color="auto" w:fill="auto"/>
            <w:hideMark/>
          </w:tcPr>
          <w:p w14:paraId="2C512C31" w14:textId="77777777" w:rsidR="000D647E" w:rsidRPr="00921F5B" w:rsidRDefault="000D647E" w:rsidP="000D647E">
            <w:pPr>
              <w:pStyle w:val="Zkladntext"/>
              <w:rPr>
                <w:szCs w:val="24"/>
              </w:rPr>
            </w:pPr>
            <w:r w:rsidRPr="00921F5B">
              <w:rPr>
                <w:szCs w:val="24"/>
              </w:rPr>
              <w:t>za NTK</w:t>
            </w:r>
          </w:p>
        </w:tc>
      </w:tr>
      <w:tr w:rsidR="000D647E" w:rsidRPr="00332ED1" w14:paraId="125E286B" w14:textId="77777777" w:rsidTr="00C94577">
        <w:trPr>
          <w:trHeight w:val="1274"/>
        </w:trPr>
        <w:tc>
          <w:tcPr>
            <w:tcW w:w="4643" w:type="dxa"/>
            <w:hideMark/>
          </w:tcPr>
          <w:p w14:paraId="7BC83777" w14:textId="77777777" w:rsidR="000D647E" w:rsidRPr="00332ED1" w:rsidRDefault="000D647E" w:rsidP="00C94577">
            <w:pPr>
              <w:pStyle w:val="Zkladntext"/>
              <w:rPr>
                <w:szCs w:val="24"/>
              </w:rPr>
            </w:pPr>
            <w:r w:rsidRPr="00332ED1">
              <w:rPr>
                <w:szCs w:val="24"/>
              </w:rPr>
              <w:t>V Praze   dne ………………………</w:t>
            </w:r>
          </w:p>
        </w:tc>
        <w:tc>
          <w:tcPr>
            <w:tcW w:w="4643" w:type="dxa"/>
            <w:hideMark/>
          </w:tcPr>
          <w:p w14:paraId="4B04CDF6" w14:textId="77777777" w:rsidR="000D647E" w:rsidRPr="00332ED1" w:rsidRDefault="000D647E" w:rsidP="00C94577">
            <w:pPr>
              <w:pStyle w:val="Zkladntext"/>
              <w:rPr>
                <w:szCs w:val="24"/>
              </w:rPr>
            </w:pPr>
            <w:r w:rsidRPr="00332ED1">
              <w:rPr>
                <w:szCs w:val="24"/>
              </w:rPr>
              <w:t>V  Praze  dne ………………..</w:t>
            </w:r>
          </w:p>
        </w:tc>
      </w:tr>
      <w:tr w:rsidR="000D647E" w:rsidRPr="00332ED1" w14:paraId="285BFF8D" w14:textId="77777777" w:rsidTr="00C94577">
        <w:tc>
          <w:tcPr>
            <w:tcW w:w="4643" w:type="dxa"/>
            <w:hideMark/>
          </w:tcPr>
          <w:p w14:paraId="41414060" w14:textId="77777777" w:rsidR="000D647E" w:rsidRPr="00332ED1" w:rsidRDefault="000D647E" w:rsidP="00C94577">
            <w:pPr>
              <w:pStyle w:val="Zkladntext"/>
              <w:rPr>
                <w:szCs w:val="24"/>
              </w:rPr>
            </w:pPr>
            <w:r w:rsidRPr="00332ED1">
              <w:rPr>
                <w:szCs w:val="24"/>
              </w:rPr>
              <w:t>……………………………………….</w:t>
            </w:r>
          </w:p>
        </w:tc>
        <w:tc>
          <w:tcPr>
            <w:tcW w:w="4643" w:type="dxa"/>
            <w:hideMark/>
          </w:tcPr>
          <w:p w14:paraId="7F4F82DB" w14:textId="77777777" w:rsidR="000D647E" w:rsidRPr="00332ED1" w:rsidRDefault="000D647E" w:rsidP="00C94577">
            <w:pPr>
              <w:pStyle w:val="Zkladntext"/>
              <w:rPr>
                <w:szCs w:val="24"/>
              </w:rPr>
            </w:pPr>
            <w:r w:rsidRPr="00332ED1">
              <w:rPr>
                <w:szCs w:val="24"/>
              </w:rPr>
              <w:t>……………………………………………</w:t>
            </w:r>
          </w:p>
        </w:tc>
      </w:tr>
      <w:tr w:rsidR="000D647E" w:rsidRPr="00332ED1" w14:paraId="05B1FC7F" w14:textId="77777777" w:rsidTr="00C94577">
        <w:tc>
          <w:tcPr>
            <w:tcW w:w="4643" w:type="dxa"/>
            <w:hideMark/>
          </w:tcPr>
          <w:p w14:paraId="6C677E97" w14:textId="77777777" w:rsidR="000D647E" w:rsidRPr="00332ED1" w:rsidRDefault="000D647E" w:rsidP="00C94577">
            <w:pPr>
              <w:pStyle w:val="Zkladntext"/>
              <w:rPr>
                <w:szCs w:val="24"/>
              </w:rPr>
            </w:pPr>
          </w:p>
          <w:p w14:paraId="597053CD" w14:textId="77777777" w:rsidR="000D647E" w:rsidRPr="00332ED1" w:rsidRDefault="000D647E" w:rsidP="00C94577">
            <w:pPr>
              <w:pStyle w:val="Zkladntext"/>
              <w:rPr>
                <w:szCs w:val="24"/>
              </w:rPr>
            </w:pPr>
          </w:p>
        </w:tc>
        <w:tc>
          <w:tcPr>
            <w:tcW w:w="4643" w:type="dxa"/>
            <w:hideMark/>
          </w:tcPr>
          <w:p w14:paraId="454BBD82" w14:textId="77777777" w:rsidR="000D647E" w:rsidRPr="00332ED1" w:rsidRDefault="000D647E" w:rsidP="00C94577">
            <w:pPr>
              <w:pStyle w:val="Zkladntext"/>
              <w:rPr>
                <w:szCs w:val="24"/>
              </w:rPr>
            </w:pPr>
          </w:p>
        </w:tc>
      </w:tr>
      <w:tr w:rsidR="000D647E" w:rsidRPr="00332ED1" w14:paraId="6FE4E5AC" w14:textId="77777777" w:rsidTr="00C94577">
        <w:tc>
          <w:tcPr>
            <w:tcW w:w="4643" w:type="dxa"/>
          </w:tcPr>
          <w:p w14:paraId="18304691" w14:textId="77777777" w:rsidR="000D647E" w:rsidRPr="00332ED1" w:rsidRDefault="000D647E" w:rsidP="00C94577">
            <w:pPr>
              <w:pStyle w:val="Zkladntext"/>
              <w:rPr>
                <w:szCs w:val="24"/>
              </w:rPr>
            </w:pPr>
          </w:p>
        </w:tc>
        <w:tc>
          <w:tcPr>
            <w:tcW w:w="4643" w:type="dxa"/>
          </w:tcPr>
          <w:p w14:paraId="0F0FE585" w14:textId="77777777" w:rsidR="000D647E" w:rsidRPr="00332ED1" w:rsidRDefault="000D647E" w:rsidP="00C94577">
            <w:pPr>
              <w:pStyle w:val="Zkladntext"/>
              <w:rPr>
                <w:szCs w:val="24"/>
              </w:rPr>
            </w:pPr>
          </w:p>
        </w:tc>
      </w:tr>
      <w:tr w:rsidR="000D647E" w:rsidRPr="00332ED1" w14:paraId="4AC9A467" w14:textId="77777777" w:rsidTr="00C94577">
        <w:tc>
          <w:tcPr>
            <w:tcW w:w="4643" w:type="dxa"/>
          </w:tcPr>
          <w:p w14:paraId="3B4BE6D4" w14:textId="77777777" w:rsidR="000D647E" w:rsidRPr="00332ED1" w:rsidRDefault="000D647E" w:rsidP="00C94577">
            <w:pPr>
              <w:pStyle w:val="Zkladntext"/>
              <w:rPr>
                <w:szCs w:val="24"/>
              </w:rPr>
            </w:pPr>
          </w:p>
        </w:tc>
        <w:tc>
          <w:tcPr>
            <w:tcW w:w="4643" w:type="dxa"/>
          </w:tcPr>
          <w:p w14:paraId="69E329DB" w14:textId="77777777" w:rsidR="000D647E" w:rsidRPr="00332ED1" w:rsidRDefault="000D647E" w:rsidP="00C94577">
            <w:pPr>
              <w:pStyle w:val="Zkladntext"/>
              <w:rPr>
                <w:szCs w:val="24"/>
              </w:rPr>
            </w:pPr>
          </w:p>
        </w:tc>
      </w:tr>
    </w:tbl>
    <w:p w14:paraId="34B4E833" w14:textId="77777777" w:rsidR="000D647E" w:rsidRPr="00332ED1" w:rsidRDefault="000D647E" w:rsidP="000D647E">
      <w:pPr>
        <w:pStyle w:val="Zkladntext"/>
        <w:rPr>
          <w:szCs w:val="24"/>
        </w:rPr>
      </w:pPr>
    </w:p>
    <w:p w14:paraId="1B3CABC5" w14:textId="77777777" w:rsidR="000D647E" w:rsidRPr="00332ED1" w:rsidRDefault="000D647E" w:rsidP="000D647E"/>
    <w:p w14:paraId="019663BC" w14:textId="77777777" w:rsidR="00B83947" w:rsidRDefault="00DB63AE"/>
    <w:sectPr w:rsidR="00B83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743A"/>
    <w:multiLevelType w:val="hybridMultilevel"/>
    <w:tmpl w:val="A8007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A26D37"/>
    <w:multiLevelType w:val="hybridMultilevel"/>
    <w:tmpl w:val="093207C2"/>
    <w:lvl w:ilvl="0" w:tplc="0405000F">
      <w:start w:val="1"/>
      <w:numFmt w:val="decimal"/>
      <w:lvlText w:val="%1."/>
      <w:lvlJc w:val="left"/>
      <w:pPr>
        <w:ind w:left="2424" w:hanging="360"/>
      </w:pPr>
    </w:lvl>
    <w:lvl w:ilvl="1" w:tplc="04050019">
      <w:start w:val="1"/>
      <w:numFmt w:val="lowerLetter"/>
      <w:lvlText w:val="%2."/>
      <w:lvlJc w:val="left"/>
      <w:pPr>
        <w:ind w:left="3144" w:hanging="360"/>
      </w:pPr>
    </w:lvl>
    <w:lvl w:ilvl="2" w:tplc="0405001B">
      <w:start w:val="1"/>
      <w:numFmt w:val="lowerRoman"/>
      <w:lvlText w:val="%3."/>
      <w:lvlJc w:val="right"/>
      <w:pPr>
        <w:ind w:left="3864" w:hanging="180"/>
      </w:pPr>
    </w:lvl>
    <w:lvl w:ilvl="3" w:tplc="0405000F">
      <w:start w:val="1"/>
      <w:numFmt w:val="decimal"/>
      <w:lvlText w:val="%4."/>
      <w:lvlJc w:val="left"/>
      <w:pPr>
        <w:ind w:left="4584" w:hanging="360"/>
      </w:pPr>
    </w:lvl>
    <w:lvl w:ilvl="4" w:tplc="04050019">
      <w:start w:val="1"/>
      <w:numFmt w:val="lowerLetter"/>
      <w:lvlText w:val="%5."/>
      <w:lvlJc w:val="left"/>
      <w:pPr>
        <w:ind w:left="5304" w:hanging="360"/>
      </w:pPr>
    </w:lvl>
    <w:lvl w:ilvl="5" w:tplc="0405001B">
      <w:start w:val="1"/>
      <w:numFmt w:val="lowerRoman"/>
      <w:lvlText w:val="%6."/>
      <w:lvlJc w:val="right"/>
      <w:pPr>
        <w:ind w:left="6024" w:hanging="180"/>
      </w:pPr>
    </w:lvl>
    <w:lvl w:ilvl="6" w:tplc="0405000F">
      <w:start w:val="1"/>
      <w:numFmt w:val="decimal"/>
      <w:lvlText w:val="%7."/>
      <w:lvlJc w:val="left"/>
      <w:pPr>
        <w:ind w:left="6744" w:hanging="360"/>
      </w:pPr>
    </w:lvl>
    <w:lvl w:ilvl="7" w:tplc="04050019">
      <w:start w:val="1"/>
      <w:numFmt w:val="lowerLetter"/>
      <w:lvlText w:val="%8."/>
      <w:lvlJc w:val="left"/>
      <w:pPr>
        <w:ind w:left="7464" w:hanging="360"/>
      </w:pPr>
    </w:lvl>
    <w:lvl w:ilvl="8" w:tplc="0405001B">
      <w:start w:val="1"/>
      <w:numFmt w:val="lowerRoman"/>
      <w:lvlText w:val="%9."/>
      <w:lvlJc w:val="right"/>
      <w:pPr>
        <w:ind w:left="8184" w:hanging="180"/>
      </w:pPr>
    </w:lvl>
  </w:abstractNum>
  <w:abstractNum w:abstractNumId="2" w15:restartNumberingAfterBreak="0">
    <w:nsid w:val="301E30A1"/>
    <w:multiLevelType w:val="hybridMultilevel"/>
    <w:tmpl w:val="A8007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3F6E45"/>
    <w:multiLevelType w:val="hybridMultilevel"/>
    <w:tmpl w:val="A8007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DD1153"/>
    <w:multiLevelType w:val="hybridMultilevel"/>
    <w:tmpl w:val="E7ECDFA6"/>
    <w:lvl w:ilvl="0" w:tplc="6722F5A2">
      <w:start w:val="1"/>
      <w:numFmt w:val="decimal"/>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5" w15:restartNumberingAfterBreak="0">
    <w:nsid w:val="7C1D2D90"/>
    <w:multiLevelType w:val="hybridMultilevel"/>
    <w:tmpl w:val="A8007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7E"/>
    <w:rsid w:val="00035A04"/>
    <w:rsid w:val="000D647E"/>
    <w:rsid w:val="000F31EB"/>
    <w:rsid w:val="003C1B63"/>
    <w:rsid w:val="004357E2"/>
    <w:rsid w:val="00481763"/>
    <w:rsid w:val="004C4828"/>
    <w:rsid w:val="00506301"/>
    <w:rsid w:val="00545BBD"/>
    <w:rsid w:val="007030BB"/>
    <w:rsid w:val="00921F5B"/>
    <w:rsid w:val="00974CAA"/>
    <w:rsid w:val="00990E99"/>
    <w:rsid w:val="009E31F2"/>
    <w:rsid w:val="00A06E26"/>
    <w:rsid w:val="00A10867"/>
    <w:rsid w:val="00B70DF8"/>
    <w:rsid w:val="00BE5E53"/>
    <w:rsid w:val="00CA7542"/>
    <w:rsid w:val="00DB63AE"/>
    <w:rsid w:val="00F061D9"/>
    <w:rsid w:val="00F34A81"/>
    <w:rsid w:val="00F6289D"/>
    <w:rsid w:val="00FC2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EE38"/>
  <w15:chartTrackingRefBased/>
  <w15:docId w15:val="{980E78A5-E857-4C06-BB76-A98DA413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47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nhideWhenUsed/>
    <w:qFormat/>
    <w:rsid w:val="000D647E"/>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647E"/>
    <w:pPr>
      <w:keepNext/>
      <w:outlineLvl w:val="3"/>
    </w:pPr>
    <w:rPr>
      <w:b/>
      <w:bCs/>
    </w:rPr>
  </w:style>
  <w:style w:type="paragraph" w:styleId="Nadpis5">
    <w:name w:val="heading 5"/>
    <w:basedOn w:val="Normln"/>
    <w:next w:val="Normln"/>
    <w:link w:val="Nadpis5Char"/>
    <w:semiHidden/>
    <w:unhideWhenUsed/>
    <w:qFormat/>
    <w:rsid w:val="000D647E"/>
    <w:pPr>
      <w:keepNext/>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D647E"/>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647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semiHidden/>
    <w:rsid w:val="000D647E"/>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0D647E"/>
    <w:pPr>
      <w:jc w:val="both"/>
    </w:pPr>
    <w:rPr>
      <w:szCs w:val="20"/>
    </w:rPr>
  </w:style>
  <w:style w:type="character" w:customStyle="1" w:styleId="ZkladntextChar">
    <w:name w:val="Základní text Char"/>
    <w:basedOn w:val="Standardnpsmoodstavce"/>
    <w:link w:val="Zkladntext"/>
    <w:rsid w:val="000D647E"/>
    <w:rPr>
      <w:rFonts w:ascii="Times New Roman" w:eastAsia="Times New Roman" w:hAnsi="Times New Roman" w:cs="Times New Roman"/>
      <w:sz w:val="24"/>
      <w:szCs w:val="20"/>
      <w:lang w:eastAsia="cs-CZ"/>
    </w:rPr>
  </w:style>
  <w:style w:type="paragraph" w:customStyle="1" w:styleId="Default">
    <w:name w:val="Default"/>
    <w:rsid w:val="000D647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uiPriority w:val="34"/>
    <w:qFormat/>
    <w:rsid w:val="000D647E"/>
    <w:pPr>
      <w:ind w:left="720"/>
      <w:contextualSpacing/>
    </w:pPr>
  </w:style>
  <w:style w:type="paragraph" w:styleId="Zkladntextodsazen">
    <w:name w:val="Body Text Indent"/>
    <w:basedOn w:val="Normln"/>
    <w:link w:val="ZkladntextodsazenChar"/>
    <w:uiPriority w:val="99"/>
    <w:unhideWhenUsed/>
    <w:rsid w:val="000D647E"/>
    <w:pPr>
      <w:spacing w:after="120"/>
      <w:ind w:left="283"/>
    </w:pPr>
  </w:style>
  <w:style w:type="character" w:customStyle="1" w:styleId="ZkladntextodsazenChar">
    <w:name w:val="Základní text odsazený Char"/>
    <w:basedOn w:val="Standardnpsmoodstavce"/>
    <w:link w:val="Zkladntextodsazen"/>
    <w:uiPriority w:val="99"/>
    <w:rsid w:val="000D647E"/>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0D6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0D647E"/>
    <w:rPr>
      <w:rFonts w:ascii="Courier New" w:eastAsia="Times New Roman" w:hAnsi="Courier New" w:cs="Courier New"/>
      <w:sz w:val="20"/>
      <w:szCs w:val="20"/>
      <w:lang w:eastAsia="cs-CZ"/>
    </w:rPr>
  </w:style>
  <w:style w:type="paragraph" w:styleId="Prosttext">
    <w:name w:val="Plain Text"/>
    <w:basedOn w:val="Normln"/>
    <w:link w:val="ProsttextChar"/>
    <w:uiPriority w:val="99"/>
    <w:semiHidden/>
    <w:unhideWhenUsed/>
    <w:rsid w:val="000D647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0D647E"/>
    <w:rPr>
      <w:rFonts w:ascii="Calibri" w:hAnsi="Calibri"/>
      <w:szCs w:val="21"/>
    </w:rPr>
  </w:style>
  <w:style w:type="character" w:styleId="Odkaznakoment">
    <w:name w:val="annotation reference"/>
    <w:basedOn w:val="Standardnpsmoodstavce"/>
    <w:uiPriority w:val="99"/>
    <w:semiHidden/>
    <w:unhideWhenUsed/>
    <w:rsid w:val="00A10867"/>
    <w:rPr>
      <w:sz w:val="16"/>
      <w:szCs w:val="16"/>
    </w:rPr>
  </w:style>
  <w:style w:type="paragraph" w:styleId="Textkomente">
    <w:name w:val="annotation text"/>
    <w:basedOn w:val="Normln"/>
    <w:link w:val="TextkomenteChar"/>
    <w:uiPriority w:val="99"/>
    <w:semiHidden/>
    <w:unhideWhenUsed/>
    <w:rsid w:val="00A10867"/>
    <w:rPr>
      <w:sz w:val="20"/>
      <w:szCs w:val="20"/>
    </w:rPr>
  </w:style>
  <w:style w:type="character" w:customStyle="1" w:styleId="TextkomenteChar">
    <w:name w:val="Text komentáře Char"/>
    <w:basedOn w:val="Standardnpsmoodstavce"/>
    <w:link w:val="Textkomente"/>
    <w:uiPriority w:val="99"/>
    <w:semiHidden/>
    <w:rsid w:val="00A1086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0867"/>
    <w:rPr>
      <w:b/>
      <w:bCs/>
    </w:rPr>
  </w:style>
  <w:style w:type="character" w:customStyle="1" w:styleId="PedmtkomenteChar">
    <w:name w:val="Předmět komentáře Char"/>
    <w:basedOn w:val="TextkomenteChar"/>
    <w:link w:val="Pedmtkomente"/>
    <w:uiPriority w:val="99"/>
    <w:semiHidden/>
    <w:rsid w:val="00A1086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108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0867"/>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990E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4682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Jakovcova Jitka</dc:creator>
  <cp:keywords/>
  <dc:description/>
  <cp:lastModifiedBy>Dagmar Kovacova</cp:lastModifiedBy>
  <cp:revision>3</cp:revision>
  <dcterms:created xsi:type="dcterms:W3CDTF">2021-01-11T07:51:00Z</dcterms:created>
  <dcterms:modified xsi:type="dcterms:W3CDTF">2021-01-11T07:53:00Z</dcterms:modified>
</cp:coreProperties>
</file>