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Smlouva o smlouvě budoucí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o připojení lokality na napěťové hladině NN</w:t>
      </w:r>
    </w:p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6"/>
      </w:tblGrid>
      <w:tr w:rsidR="00E43B90">
        <w:trPr>
          <w:trHeight w:hRule="exact" w:val="113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7F7DAB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170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59981" distL="0" distR="0" simplePos="0" relativeHeight="251658240" behindDoc="0" locked="0" layoutInCell="1" allowOverlap="1">
                      <wp:simplePos x="0" y="0"/>
                      <wp:positionH relativeFrom="page">
                        <wp:posOffset>17780</wp:posOffset>
                      </wp:positionH>
                      <wp:positionV relativeFrom="page">
                        <wp:posOffset>18415</wp:posOffset>
                      </wp:positionV>
                      <wp:extent cx="3923665" cy="68389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665" cy="683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5998">
                                <a:solidFill>
                                  <a:srgbClr val="BEBEB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0F856" id="AutoShape 2" o:spid="_x0000_s1026" style="position:absolute;margin-left:1.4pt;margin-top:1.45pt;width:308.95pt;height:53.85pt;z-index:251658240;visibility:visible;mso-wrap-style:square;mso-width-percent:0;mso-height-percent:0;mso-wrap-distance-left:0;mso-wrap-distance-top:0;mso-wrap-distance-right:0;mso-wrap-distance-bottom:9.99947mm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" strokecolor="#bebebe" strokeweight=".99994mm">
                      <v:fill opacity="0"/>
                      <w10:wrap anchorx="page" anchory="page"/>
                    </v:roundrect>
                  </w:pict>
                </mc:Fallback>
              </mc:AlternateContent>
            </w:r>
            <w:r w:rsidR="00DF49A6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="00DF49A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8832003273</w:t>
            </w:r>
          </w:p>
          <w:p w:rsidR="00E43B90" w:rsidRDefault="00DF49A6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SPP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S-148278</w:t>
            </w:r>
          </w:p>
          <w:p w:rsidR="00E43B90" w:rsidRDefault="00DF49A6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Žádosti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25146311</w:t>
            </w:r>
          </w:p>
        </w:tc>
      </w:tr>
    </w:tbl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Provozovatel distribuční soustavy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(na straně jedné): PREdistribuce, a.s.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Svornosti 3199/19a, Praha 5. PSČ 150 00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OR Městského soudu v Praze, spisová značka B 10158 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 Praha 10, Na Hroudě 1492/4, PSČ 100 05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Josefem Krejčím, vedoucím oddělení Projektová příprava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273 76 516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273 76 516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17494043/0300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pověřené k jednání ve věcech plnění smlouvy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osoba pověřená přípravou):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Milena Benešová, oddělení Projektová příprava, tel: 267052623, email: milena.benesova@predistribuce.cz 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datové schránky: vgsfsr3 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"</w:t>
      </w:r>
    </w:p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 (na straně druhé): 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Základní škola a Mateřská škola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J.A.</w:t>
      </w:r>
      <w:proofErr w:type="gramEnd"/>
      <w:r>
        <w:rPr>
          <w:rFonts w:ascii="Arial" w:hAnsi="Arial" w:cs="Arial"/>
          <w:b/>
          <w:bCs/>
          <w:sz w:val="20"/>
          <w:szCs w:val="20"/>
        </w:rPr>
        <w:t>Komenského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Praha 6,</w:t>
      </w:r>
      <w:r w:rsidR="001E6FE8">
        <w:rPr>
          <w:rFonts w:ascii="Arial" w:hAnsi="Arial" w:cs="Arial"/>
          <w:b/>
          <w:bCs/>
          <w:sz w:val="20"/>
          <w:szCs w:val="20"/>
        </w:rPr>
        <w:t xml:space="preserve"> U dělnického cvičiště 1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U dělnického cvičiště 1100/1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169 00  Praha</w:t>
      </w:r>
      <w:proofErr w:type="gramEnd"/>
      <w:r>
        <w:rPr>
          <w:rFonts w:ascii="Arial" w:hAnsi="Arial" w:cs="Arial"/>
          <w:sz w:val="20"/>
          <w:szCs w:val="20"/>
        </w:rPr>
        <w:t xml:space="preserve"> 6 - Břevnov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Ing. Ivana Koubková, ředitelka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481 33 817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481 33 817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.: 000000</w:t>
      </w:r>
      <w:proofErr w:type="gramEnd"/>
      <w:r>
        <w:rPr>
          <w:rFonts w:ascii="Arial" w:hAnsi="Arial" w:cs="Arial"/>
          <w:sz w:val="20"/>
          <w:szCs w:val="20"/>
        </w:rPr>
        <w:t>-0004236061/0100</w:t>
      </w: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"Žadatel"</w:t>
      </w:r>
    </w:p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3B90" w:rsidRDefault="00DF4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tuto</w:t>
      </w:r>
    </w:p>
    <w:p w:rsidR="00E43B90" w:rsidRDefault="00DF49A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 O SMLOUVĚ BUDOUCÍ O PŘIPOJENÍ LOKALITY</w:t>
      </w:r>
      <w:r>
        <w:rPr>
          <w:rFonts w:ascii="Arial" w:hAnsi="Arial" w:cs="Arial"/>
          <w:sz w:val="20"/>
          <w:szCs w:val="20"/>
        </w:rPr>
        <w:t xml:space="preserve"> (dále jen „Smlouva“)</w:t>
      </w:r>
    </w:p>
    <w:p w:rsidR="00E43B90" w:rsidRDefault="00DF49A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zák. č. 458/2000 Sb., energetický zákon (dále jen „Zákon“), a jeho prováděcích právních předpisů (dále jen „příslušné prováděcí předpisy“), jak následuje:</w:t>
      </w:r>
    </w:p>
    <w:p w:rsidR="00E43B90" w:rsidRDefault="00DF49A6">
      <w:pPr>
        <w:tabs>
          <w:tab w:val="left" w:pos="340"/>
        </w:tabs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:rsidR="00E43B90" w:rsidRDefault="00DF49A6">
      <w:pPr>
        <w:tabs>
          <w:tab w:val="left" w:pos="283"/>
        </w:tabs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 níže dohodnutých podmínek:</w:t>
      </w:r>
    </w:p>
    <w:p w:rsidR="00E43B90" w:rsidRDefault="00DF49A6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 xml:space="preserve">závazek Žadatele 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uzavřít v budoucnu smlouvu o připojení jednotlivých odběrných míst Žadatele v rámci lokality specifikované v čl. 3. této Smlouvy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 Lokalitou se rozumí odběrné elektrické zařízení Žadatele, v rámci kterého dojde k následnému připojení jednoho či více odběrných míst Žadatele uvedených v čl. 3. této Smlouvy,</w:t>
      </w:r>
    </w:p>
    <w:p w:rsidR="00E43B90" w:rsidRDefault="00DF49A6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závazek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provést v kvalitě a způsobem stanoveným v této Smlouvě potřebná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, která umožní připojení lokality,</w:t>
      </w:r>
    </w:p>
    <w:p w:rsidR="00E43B90" w:rsidRDefault="00DF49A6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závazek Žadatele uhradit zálohu na podíl na oprávněných nákladech v souladu s čl. 6. Smlouvy.</w:t>
      </w:r>
    </w:p>
    <w:p w:rsidR="00E43B90" w:rsidRDefault="00DF49A6">
      <w:pPr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Podmínky připojení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Podmínky a způsob provedení potřebných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souvislosti s plněním této Smlouvy se řídí Zákonem, příslušnými prováděcími předpisy a Pravidly provozování distribuční soustavy schválenými Energetickým regulačním úřadem (dále jen "PPDS").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Žadatel se zavazují uzavřít spolu po splnění této Smlouvy Smlouvu o připojení, jejímž předmětem bude připojení jednotlivých odběrných míst v rámci lokality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kvalitě a způsobem podle Zákona, příslušných prováděcích předpisů a PPDS a zároveň závazek Žadatele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nákladech spojených s připojením jednotlivých odběrných míst k distribuční soustavě a se zajištěním požadovaného </w:t>
      </w:r>
      <w:r>
        <w:rPr>
          <w:rFonts w:ascii="Arial" w:hAnsi="Arial" w:cs="Arial"/>
          <w:sz w:val="20"/>
          <w:szCs w:val="20"/>
        </w:rPr>
        <w:lastRenderedPageBreak/>
        <w:t>rezervovaného příkonu dle této Smlouvy. Smlouvy o připojení budou uzavírány po zprovoznění energetického díla uvedeného v čl. 3. této Smlouvy ve lhůtě 30 dní od doručení výzvy kterékoli ze smluvních stran.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Způsob připojení dle této Smlouvy bude proveden jako standardní a umožní zajistit pro Žadatele v místě připojení dle této Smlouvy standardní kvalitu dodávky elektřiny stanovenou příslušným prováděcím předpisem. 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Místo a způsob připojení zařízení Žadatele jsou blíže specifikovány v článku 3. a Příloze č. 1 této Smlouvy. 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Specifikace místa a způsobu připojení zařízení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Místo připojení lokality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následující: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připojení: U dělnického cvičiště 1100/1, parcela 207, Praha 6 - Břevnov, 169 00  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Napěťová úroveň: NN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84"/>
        <w:gridCol w:w="1984"/>
        <w:gridCol w:w="1984"/>
      </w:tblGrid>
      <w:tr w:rsidR="00E43B90"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E43B90" w:rsidRDefault="00DF49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Rezervovaný příkon ve výši jmenovité hodnoty hlavního jističe před elektroměrem:</w:t>
            </w:r>
          </w:p>
        </w:tc>
      </w:tr>
      <w:tr w:rsidR="00E43B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jističů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fází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Velikost jističe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odběru</w:t>
            </w:r>
          </w:p>
        </w:tc>
      </w:tr>
      <w:tr w:rsidR="00E43B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3B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3B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 vlastnictví: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Zařízení Žadatele začíná na horních svorkách pojistek v přípojkové kabelové skříni 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Distribuční soustava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končí na dolních svorkách pojistek v přípojkové kabelové skříni 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rozhraní jsou zároveň předávacími místy pro dodávku elektřiny.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provést ve své distribuční soustavě za účelem připojení zařízení Žadatele v místě připojení dle této Smlouvy opatření, která spočívají v projektové přípravě a ve vybudování: Stávající skříň ZŠ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>1100 ve fasádě SS201 bude nahrazena na stejném místě skříní SD722- OT. Z TS 3815 se položí dva nové kabely AYKY-OT 3x240+120 mm2 do nové SD722, každý do jedné rozdělené půlky skříně. Vývody pro nové odběry se dle zátěže rovnoměrně rozdělí do SD. Do SD se opět připojí stávající kabel NN z původní SS201 směr RIS 138/2457. Jeden z kabelů je náhrada stávajícího starého kab</w:t>
      </w:r>
      <w:r w:rsidR="001E6FE8">
        <w:rPr>
          <w:rFonts w:ascii="Arial" w:hAnsi="Arial" w:cs="Arial"/>
          <w:sz w:val="20"/>
          <w:szCs w:val="20"/>
        </w:rPr>
        <w:t>elu NN z TS 3815 do SS201 školy</w:t>
      </w:r>
      <w:r>
        <w:rPr>
          <w:rFonts w:ascii="Arial" w:hAnsi="Arial" w:cs="Arial"/>
          <w:sz w:val="20"/>
          <w:szCs w:val="20"/>
        </w:rPr>
        <w:t xml:space="preserve"> (dále jen "energetické dílo"). Schéma způsobu připojení je specifikováno v Příloze č. 1. této Smlouvy.</w:t>
      </w:r>
    </w:p>
    <w:p w:rsidR="00E43B90" w:rsidRDefault="00DF49A6">
      <w:pPr>
        <w:autoSpaceDE w:val="0"/>
        <w:autoSpaceDN w:val="0"/>
        <w:adjustRightInd w:val="0"/>
        <w:spacing w:after="0" w:line="259" w:lineRule="atLeast"/>
        <w:ind w:left="680" w:hanging="3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zejména: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zajistit na základě žádosti Žadatele a pravomocného územního rozhodnutí popř. územního souhlasu nebo společného povolení poskytnutého Žadatelem v souladu s čl. 4 odst. 1 této Smlouvy vypracování projektové dokumentace místa připojení, a to ve stupni prováděcí dokumentace. Dále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zajistí pro realizaci místa připojení dle této Smlouvy uzavření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Konečná smlouva</w:t>
      </w:r>
      <w:r>
        <w:rPr>
          <w:rFonts w:ascii="Arial" w:hAnsi="Arial" w:cs="Arial"/>
          <w:sz w:val="20"/>
          <w:szCs w:val="20"/>
        </w:rPr>
        <w:t>“), anebo budoucích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Smlouva o smlouvě budoucí</w:t>
      </w:r>
      <w:r>
        <w:rPr>
          <w:rFonts w:ascii="Arial" w:hAnsi="Arial" w:cs="Arial"/>
          <w:sz w:val="20"/>
          <w:szCs w:val="20"/>
        </w:rPr>
        <w:t xml:space="preserve">“) na umístění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 xml:space="preserve">od obdržení pravomocného územního rozhodnutí dle č. 4.1. Za porušení této Smlouvy nepovažují smluvní strany situaci, kdy z důvodů nezávislých na vůli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bez jejího zavinění nebude s vlastníky nemovitostí dotčených stavbou energetického díla uzavřena Konečná smlouva nebo Smlouva o smlouvě budoucí nebo vydán jiný právní titul, který by opravňoval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ke vstupu na nemovitost za účelem realizace místa připojení. V takovém případě se lhůta prodlužuje do dne uzavření v tomto odstavci uvedených smluv nebo vydání jiného právního titulu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vyzvat písemně Žadatele do 10 dnů od termínu dle odst. 3.2.1 k převzetí schválené projektové dokumentace k zajištění stavební připravenosti.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Stavební připraveností pro pokládku kabelového vedení se rozumí předání volné trasy na stavebním pozemku Žadatele (polohopisné a výškopisné zaměření, osazení obrubníků) včetně dosypání terénu na nulovou úroveň a založení chrániček pro kabely pod budoucí komunikace a vjezdy, zajištění dopravní obslužnosti při výstavbě, dále výstavba </w:t>
      </w:r>
      <w:proofErr w:type="spellStart"/>
      <w:r>
        <w:rPr>
          <w:rFonts w:ascii="Arial" w:hAnsi="Arial" w:cs="Arial"/>
          <w:sz w:val="20"/>
          <w:szCs w:val="20"/>
        </w:rPr>
        <w:t>pilířků</w:t>
      </w:r>
      <w:proofErr w:type="spellEnd"/>
      <w:r>
        <w:rPr>
          <w:rFonts w:ascii="Arial" w:hAnsi="Arial" w:cs="Arial"/>
          <w:sz w:val="20"/>
          <w:szCs w:val="20"/>
        </w:rPr>
        <w:t xml:space="preserve"> pro osazení rozvodných skříní nebo příprava pro jejich osazení do obvodové zdi budovy, vše v souladu s projektovou dokumentací.</w:t>
      </w:r>
    </w:p>
    <w:p w:rsidR="00E43B90" w:rsidRDefault="00E43B90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</w:p>
    <w:p w:rsidR="00E43B90" w:rsidRDefault="00E43B90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  <w:t xml:space="preserve">zajistit realizaci a zprovoznění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 xml:space="preserve">ode dne předání a převzetí staveniště po dokončení stavební připravenosti Žadatele dle odst. 3.2.2. Termín realizace a zprovoznění může být prodloužen o dobu nepříznivých klimatických podmínek, které neumožnily provádění prací v souladu s technologickými předpisy. 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Povinnosti Žadatele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se zavazuje zejména: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Předat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ověřenou kopii pravomocného územního rozhodnutí, popř. územního souhlasu nebo společného povolení nebo stavebního povolení v souladu se zákonem č. 183/2006 Sb., stavebním zákonem (dále jen „Rozhodnutí o povolení stavby“) včetně situace potvrzené stavebním úřadem na realizaci svého záměru zahrnujícího i energetické </w:t>
      </w:r>
      <w:r>
        <w:rPr>
          <w:rFonts w:ascii="Arial" w:hAnsi="Arial" w:cs="Arial"/>
          <w:sz w:val="20"/>
          <w:szCs w:val="20"/>
        </w:rPr>
        <w:lastRenderedPageBreak/>
        <w:t xml:space="preserve">dílo v termínu do 6 měsíců od podpisu této Smlouvy. Pokud se Žadatel dostane do prodlení s předložením Rozhodnutí o povolení stavby, prodlouží se o dobu prodlení automaticky termín uvedený v odst. 3.2.1. Žadatel se rovněž zavazuje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dohodu o převodu práv a povinností vztahujících se k energetickému dílu z Rozhodnutí o povolení stavby, a to nejpozději do termínu uvedeného v odstavci 3.2.1 této Smlouvy.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DF49A6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 na umístění energetického díla v dotčené nemovité věci ve vlastnictví Žadatele do termínu uvedeného v odst. 3.2.1. Pokud není splnění této povinnosti objektivně možné,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tomto termínu Smlouvu o smlouvě budoucí.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Rozsah věcného břemene pro účely Konečné smlouvy bude vyznačen v příslušném geometrickém plánu, který bude její nedílnou součástí a bude vyhotoven na náklady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. Pokud po zápisu věcného břemene do katastru nemovitostí na základě Konečné smlouvy dojde z důvodů na straně Žadatele ke změně umístění energetického díla, Žadatel se zavazuje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novou Konečnou smlouvu dle skutečného umístění energetického díla. Smluvní strany si poskytnou vzájemnou součinnost.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Poskytnout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vyžádání potřebná vyjádření z dokumentace pro územní řízení za účelem vypracování prováděcí projektové dokumentace energetického díla.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Převzít prováděcí projektovou dokumentaci od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, zajistit stavební připravenost v souladu se schválenou prováděcí projektovou dokumentací na energetické dílo a předat připravené staveniště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nejpozději do 1 roku od předání projektové dokumentace. Stavební připravenost je definována v odst. 3.2.2.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Písemně oznámit 1 měsíc předem na e-mail adresu zdena.kudzbelova@pre.cz předpokládaný termín dokončení stavební připravenosti.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Pokud byla uzavřena Smlouva o smlouvě budoucí v souladu s odst. </w:t>
      </w:r>
      <w:proofErr w:type="gramStart"/>
      <w:r>
        <w:rPr>
          <w:rFonts w:ascii="Arial" w:hAnsi="Arial" w:cs="Arial"/>
          <w:sz w:val="20"/>
          <w:szCs w:val="20"/>
        </w:rPr>
        <w:t>4.2. této</w:t>
      </w:r>
      <w:proofErr w:type="gramEnd"/>
      <w:r>
        <w:rPr>
          <w:rFonts w:ascii="Arial" w:hAnsi="Arial" w:cs="Arial"/>
          <w:sz w:val="20"/>
          <w:szCs w:val="20"/>
        </w:rPr>
        <w:t xml:space="preserve"> Smlouvy, uzavřít na základě výzvy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smlouvu, a to po dokončení energetického díla a jeho geodetickém a geometrickém zaměření. Podklady pro uzavření smlouvy Žadatel předá na výzvu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Pokud Žadatel zajišťuje vydání kolaudačního souhlasu nebo kolaudačního rozhodnutí na celý soubor staveb, jejichž součástí je energetické dílo, zajistí, aby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byla v kolaudačním souhlasu nebo kolaudačním rozhodnutí uvedena jako stavebník energetického díla a tedy i vlastník zařízení uvedeného v odst. 5.1, a to takto: PREdistribuce, a.s., se sídlem Praha 5, Svornosti 3199/19a, PSČ150 00.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Pokud je Žadatel povinnou osobou ke zveřejnění Smlouvy v registru smluv dle zákona č. 340/2015 Sb., Žadatel se zavazuje, že neprodleně po uzavření Smlouvy provede zaslání této Smlouvy správci registru smluv k uveřejnění prostřednictvím registru smluv. Žadatel se dále zavazuje, že při vyplňování formuláře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této Smlouvy uvede také adresu datové schránky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číslo této smlouvy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V případě, že Žadatel nesplní povinnost uveřejnění Smlouvy prostřednictvím registru smluv ani do 15 dnů ode dne uzavření této Smlouvy, pak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Smlouvu zaslat správci registru smluv sama. 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Vlastnická a další práva</w:t>
      </w:r>
    </w:p>
    <w:p w:rsidR="00E43B90" w:rsidRDefault="00DF49A6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investorem a bude vlastnit kabelové vedení a rozpojovací skříň.</w:t>
      </w:r>
    </w:p>
    <w:p w:rsidR="00E43B90" w:rsidRDefault="00DF49A6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E43B90" w:rsidRDefault="00DF49A6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Vybudováním energetického díla vznikne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podle Zákona ve veřejném zájmu právo vstupovat oprávněnými osobami bez časového omezení na/do nemovitosti Žadatele či třetích osob v souvislosti se zřizováním, obnovou a provozováním v nich umístěného zařízení distribuční soustavy a Žadatel nebude oprávněn toto právo omezit způsobem, který poškozuje veřejný zájem. Způsob zajištění přístupu a podmínky provozování a údržby zařízení distribuční soustavy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umístěné na/v nemovitosti Žadatele či třetích osob jsou specifikovány v Zákoně.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Podíl Žadatele na nákladech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</w:t>
      </w:r>
      <w:proofErr w:type="spellEnd"/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Žadatel je povinen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oprávněných nákladech spojených s připojením zařízení do distribuční soustavy a se zajištěním požadovaného rezervovaného příkonu ve výši stanovené v souladu s příslušným ustanovením vyhlášky ERÚ č. 16/2016 Sb., o podmínkách připojení k elektrizační soustavě v platném znění. Výše podílu Žadatele se vypočte jako součin rezervovaného příkonu a částky za jednotku příkonu uvedené v příloze předmětné vyhlášky.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 Žadatele: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435A x 500,- Kč/A = 217.500,- Kč</w:t>
      </w:r>
    </w:p>
    <w:p w:rsidR="00E43B90" w:rsidRDefault="00E43B90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E43B90" w:rsidRDefault="00DF49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přípojném objektu je platný příkon MS 8110146562 3x100, MS 8110146542 3x 80, MS 8110146576 3x 80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MS 8110333306 3x25. V případě ukončení odběrů (demontáž elektroměrů)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ejdéle však do 48 ti měsíců 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od data ukončení odběrů. Úprava celkového podílu za příkon bude zohledněna při vystavení SOP k příslušné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SoSB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žádosti</w:t>
      </w:r>
      <w:r>
        <w:rPr>
          <w:rFonts w:ascii="Arial" w:hAnsi="Arial" w:cs="Arial"/>
          <w:b/>
          <w:bCs/>
          <w:color w:val="1F497D"/>
          <w:sz w:val="20"/>
          <w:szCs w:val="20"/>
        </w:rPr>
        <w:t>.</w:t>
      </w:r>
    </w:p>
    <w:p w:rsidR="00E43B90" w:rsidRDefault="00DF49A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povinen na základě této Smlouvy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souladu s ustanovením příslušné vyhlášky ERÚ zálohu na podíl na oprávněných nákladech ve výši 50% z hodnoty podílu, tj. </w:t>
      </w:r>
      <w:r>
        <w:rPr>
          <w:rFonts w:ascii="Arial" w:hAnsi="Arial" w:cs="Arial"/>
          <w:b/>
          <w:bCs/>
          <w:sz w:val="20"/>
          <w:szCs w:val="20"/>
        </w:rPr>
        <w:t>108.750 Kč</w:t>
      </w:r>
      <w:r>
        <w:rPr>
          <w:rFonts w:ascii="Arial" w:hAnsi="Arial" w:cs="Arial"/>
          <w:sz w:val="20"/>
          <w:szCs w:val="20"/>
        </w:rPr>
        <w:t xml:space="preserve">. Záloha bude uhrazena do 30 dnů ode dne uzavření této Smlouvy. </w:t>
      </w:r>
      <w:r>
        <w:rPr>
          <w:rFonts w:ascii="Arial" w:hAnsi="Arial" w:cs="Arial"/>
          <w:b/>
          <w:bCs/>
          <w:sz w:val="20"/>
          <w:szCs w:val="20"/>
        </w:rPr>
        <w:t xml:space="preserve">Všechny platby budou Žadatelem uhrazeny na účet č. 17494043/0300,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v.s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8832003273. </w:t>
      </w:r>
      <w:r>
        <w:rPr>
          <w:rFonts w:ascii="Arial" w:hAnsi="Arial" w:cs="Arial"/>
          <w:sz w:val="20"/>
          <w:szCs w:val="20"/>
        </w:rPr>
        <w:t xml:space="preserve">Zbývající část podílu ve výši </w:t>
      </w:r>
      <w:r>
        <w:rPr>
          <w:rFonts w:ascii="Arial" w:hAnsi="Arial" w:cs="Arial"/>
          <w:b/>
          <w:bCs/>
          <w:sz w:val="20"/>
          <w:szCs w:val="20"/>
        </w:rPr>
        <w:t xml:space="preserve">108.750 Kč </w:t>
      </w:r>
      <w:r>
        <w:rPr>
          <w:rFonts w:ascii="Arial" w:hAnsi="Arial" w:cs="Arial"/>
          <w:sz w:val="20"/>
          <w:szCs w:val="20"/>
        </w:rPr>
        <w:t>bude Žadatelem uhrazena k termínu uzavření Smlouvy o připojení dle odst. 2.2 této Smlouvy.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Výše podílu Žadatele dle této Smlouvy může být změněna v souladu s ustanovením čl. 6.1 této Smlouvy v případě, že dojde v průběhu realizace připojení ke změně rezervovaného příkonu. O změně rezervovaného příkonu a výše podílu Žadatele uzavřou smluvní strany Dodatek k této Smlouvě.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Neuhrazení zálohy na podíl na oprávněných nákladech Žadatelem v termínu uvedeném v odst. 6.2 a ani v dodatečné přiměřené lhůtě poskytnuté mu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důvodem odstoupení od smlouvy dle odst. 7.2 Smlouvy.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Smluvní strany se dohodly, že dojde-li z důvodů na straně Žadatele ke změně způsobu připojení zařízení Žadatele a/nebo ke změně umístění energetického díla dle odst. 3.1 a 3.2, zavazuje se Žadatel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dodatek k této Smlouvě a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vícenáklady, které tím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vzniknou v souvislosti s přípravou a realizací energetického díla.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Smluvní strany se dohodly, že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jednostranně započíst náklady, které v souvislosti s realizací Smlouvy do okamžiku odstoupení vynaložila, proti uhrazené záloze dle odst. 6.2. 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Další ujednání</w:t>
      </w:r>
    </w:p>
    <w:p w:rsidR="00E43B90" w:rsidRDefault="00DF49A6">
      <w:pPr>
        <w:keepLines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V případě, že nedojde k uzavření Konečné smlouvy dle čl. 4.2 a 4.3 a Žadatel provede převod nemovité věci Žadatele dotčené Smlouvou o budoucí smlouvě, pak se Žadatel zavazuje ve smlouvě o převodu převést závazek zřízení věcného břemene na nového vlastníka. Před provedením převodu, případně před rozdělením objektu na bytové či nebytové jednotky, je Žadatel povinen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takovou změnu upozornit a vyzvat ji k uzavření Konečné smlouvy, a to bez zbytečného odkladu tak, aby bylo uzavření smlouvy a podání návrhu na vklad technicky možné. Za nedodržení některé z výše uvedených povinností uhradí Žadatel smluvní pokutu ve výši znaleckého ocenění věcného břemene. Zaplacením smluvní pokuty není dotčeno právo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náhradu případně vzniklé škody.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Kterákoliv ze smluvních stran může od Smlouvy odstoupit, jestliže dojde k prodlení s plněním smluvních povinností druhé smluvní strany. V písemném odstoupení od Smlouvy musí odstupující smluvní strana uvést konkrétní důvod odstoupení od smlouvy. Účinky odstoupení nastávají dnem doručení písemného oznámení o odstoupení od smlouvy druhé smluvní straně. V pochybnostech se má za to, že odstoupení od smlouvy bylo doručeno třetím dnem po odeslání.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Pokud dojde k odstoupení od této Smlouvy, má smluvní strana, která odstoupení od Smlouvy nezavinila, právo požadovat po druhé smluvní straně úhradu již prokazatelně vynaložených nákladů a to i způsobem uvedeným v odst. 6.6, případně náhradu škody dle platných právních předpisů.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Dojde-li dohodou smluvních stran ke zrušení Smlouvy, má smluvní strana, která již vynaložila náklady na splnění svého závazku, nárok na jejich úhradu nebo vrácení.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Každá smluvní strana odpovídá za škodu způsobenou druhé smluvní straně porušením povinnosti vyplývající z této Smlouvy.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Povinnosti k náhradě se škůdce zprostí, prokáže-li, že mu ve splnění povinnosti ze Smlouvy dočasně nebo trvale zabránila mimořádná překážka vzniklá nezávisle na jeho vůli, jako například válka, teroristické akce, blokáda, sabotáž, požár velkého rozsahu, živelná pohroma, rozhodnutí státních orgánů s dopadem na plnění dle této Smlouvy či stavy nouze dle Zákona. Překážka vzniklá ze škůdcových osobních poměrů nebo vzniklá v době, kdy byl škůdce s plněním smluvené povinnosti v prodlení, ho však povinnosti k náhradě nezprostí.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Strana dotčená výše uvedenou překážkou je povinna o těchto okolnostech druhou stranu neprodleně písemně informovat. Na požádání předloží smluvní strana druhé smluvní straně důvěryhodný důkaz o takové skutečnosti.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Pokud se smluvní strany nedohodnou jinak, pokračují po vzniku výše uvedené překážky v plnění svých závazků podle Smlouvy, dokud je to rozumné a v dané době technicky možné.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Žadatel na sebe bere nebezpečí změny okolností ve smyslu § 1765 zákona č. 89/2012 Sb., občanského zákoníku.</w:t>
      </w:r>
    </w:p>
    <w:p w:rsidR="00E43B90" w:rsidRDefault="00E43B90">
      <w:pPr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E43B90" w:rsidRDefault="00DF49A6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8.</w:t>
      </w:r>
      <w:r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Tato smlouva nabývá platnosti a účinnosti dnem jejího podpisu oběma smluvními stranami a je uzavřena do doby jejího splnění. Pro případ, že tato Smlouva není uzavírána za přítomnosti obou smluvních stran, platí, že Smlouva není uzavřena, pokud ji Žadatel či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podepíší s jakoukoliv změnou či odchylkou, byť nepodstatnou, nebo dodatkem, ledaže druhá smluvní strana takovou změnu či odchylku nebo dodatek následně písemně schválí.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Pokud tato Smlouva podléhá registraci dle zákona č. 340/2015 Sb., pak nabývá platnosti okamžikem jejího podpisu poslední Smluvní stranou a účinnosti dnem jejího uveřejnění v registru smluv.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Vztahuje-li se na druhou smluvní stranu ochrana osobních údajů dle zvláštních právních předpisů, pak pro účely plnění této smlouvy je společnost PREdistribuce, a.s.,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E43B90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připojení k 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Pro účely této Smlouvy jsou používány odborné pojmy a terminologie v souladu se Zákonem a jeho prováděcími a souvisejícími předpisy.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Tuto Smlouvu lze měnit pouze písemnými dodatky, číslovanými vzestupně a podepsanými oběma smluvními stranami.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Tato Smlouva je vyhotovena ve dvou (2) stejnopisech, z nichž každý má platnost originálu. Žadatel obdrží jeden (1) stejnopis,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obdrží jeden (1) stejnopis.</w:t>
      </w:r>
    </w:p>
    <w:p w:rsidR="00E43B90" w:rsidRDefault="00DF49A6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Smluvní strany potvrzují, že si Smlouvu před podpisem přečetly, její ustanovení jsou jim jasná a vyjadřují jejich svobodnou vůli.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Nedílnou součástí této Smlouvy jsou její přílohy specifikující obsah Smlouvy: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1: Schéma způsobu připojení</w:t>
      </w:r>
    </w:p>
    <w:p w:rsidR="00E43B90" w:rsidRDefault="00DF49A6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2: Prohlášení podle zákona o registru smluv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6"/>
        <w:gridCol w:w="5103"/>
      </w:tblGrid>
      <w:tr w:rsidR="00E43B90">
        <w:trPr>
          <w:trHeight w:val="22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PREdi</w:t>
            </w:r>
            <w:proofErr w:type="spellEnd"/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Josef Krejčí</w:t>
            </w: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oddělení Projektová příprava</w:t>
            </w: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</w:t>
            </w: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</w:t>
            </w: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Ivana Koubková</w:t>
            </w:r>
          </w:p>
          <w:p w:rsidR="00E43B90" w:rsidRDefault="00DF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</w:t>
            </w:r>
          </w:p>
          <w:p w:rsidR="00E43B90" w:rsidRDefault="00E4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90" w:rsidRDefault="00E43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3B90">
          <w:pgSz w:w="11905" w:h="16837"/>
          <w:pgMar w:top="566" w:right="566" w:bottom="1566" w:left="566" w:header="708" w:footer="708" w:gutter="0"/>
          <w:cols w:space="708"/>
          <w:noEndnote/>
        </w:sectPr>
      </w:pPr>
    </w:p>
    <w:p w:rsidR="00DF49A6" w:rsidRDefault="00DF49A6" w:rsidP="00156413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sectPr w:rsidR="00DF49A6">
      <w:pgSz w:w="11905" w:h="16837"/>
      <w:pgMar w:top="623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E8"/>
    <w:rsid w:val="00156413"/>
    <w:rsid w:val="001E6FE8"/>
    <w:rsid w:val="007F7DAB"/>
    <w:rsid w:val="009C1659"/>
    <w:rsid w:val="00BE68F3"/>
    <w:rsid w:val="00DF49A6"/>
    <w:rsid w:val="00E4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F444C"/>
  <w14:defaultImageDpi w14:val="0"/>
  <w15:docId w15:val="{AC7A9FB4-FB04-4CCD-AD67-A64D7EB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2762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Milena</dc:creator>
  <cp:lastModifiedBy>Benešová Milena</cp:lastModifiedBy>
  <cp:revision>3</cp:revision>
  <dcterms:created xsi:type="dcterms:W3CDTF">2021-01-08T06:50:00Z</dcterms:created>
  <dcterms:modified xsi:type="dcterms:W3CDTF">2021-01-08T06:52:00Z</dcterms:modified>
</cp:coreProperties>
</file>