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332" w:rsidRDefault="00F84128">
      <w:pPr>
        <w:spacing w:before="80"/>
        <w:ind w:left="3143" w:right="3148"/>
        <w:jc w:val="center"/>
        <w:rPr>
          <w:sz w:val="32"/>
        </w:rPr>
      </w:pPr>
      <w:r>
        <w:rPr>
          <w:color w:val="808080"/>
          <w:sz w:val="32"/>
        </w:rPr>
        <w:t>Smlouva č. 1190500017 o poskytnutí podpory</w:t>
      </w:r>
    </w:p>
    <w:p w:rsidR="00A94332" w:rsidRDefault="00F84128">
      <w:pPr>
        <w:spacing w:before="1"/>
        <w:ind w:left="1003" w:right="1016"/>
        <w:jc w:val="center"/>
        <w:rPr>
          <w:sz w:val="32"/>
        </w:rPr>
      </w:pPr>
      <w:r>
        <w:rPr>
          <w:color w:val="808080"/>
          <w:sz w:val="32"/>
        </w:rPr>
        <w:t>ze Státního fondu životního prostředí České republiky</w:t>
      </w:r>
    </w:p>
    <w:p w:rsidR="00A94332" w:rsidRDefault="00A94332">
      <w:pPr>
        <w:pStyle w:val="Zkladntext"/>
        <w:spacing w:before="11"/>
        <w:ind w:left="0"/>
        <w:rPr>
          <w:sz w:val="59"/>
        </w:rPr>
      </w:pPr>
    </w:p>
    <w:p w:rsidR="00A94332" w:rsidRDefault="00F84128">
      <w:pPr>
        <w:pStyle w:val="Zkladntext"/>
        <w:spacing w:before="0"/>
        <w:ind w:left="102"/>
      </w:pPr>
      <w:r>
        <w:t>Smluvní strany</w:t>
      </w:r>
    </w:p>
    <w:p w:rsidR="00A94332" w:rsidRDefault="00A94332">
      <w:pPr>
        <w:pStyle w:val="Zkladntext"/>
        <w:spacing w:before="0"/>
        <w:ind w:left="0"/>
        <w:rPr>
          <w:sz w:val="26"/>
        </w:rPr>
      </w:pPr>
    </w:p>
    <w:p w:rsidR="00A94332" w:rsidRDefault="00F84128">
      <w:pPr>
        <w:pStyle w:val="Nadpis1"/>
        <w:spacing w:before="187"/>
        <w:ind w:left="102" w:right="0"/>
        <w:jc w:val="left"/>
      </w:pPr>
      <w:r>
        <w:t>Státní fond životního prostředí České republiky</w:t>
      </w:r>
    </w:p>
    <w:p w:rsidR="00A94332" w:rsidRDefault="00F84128">
      <w:pPr>
        <w:pStyle w:val="Zkladntext"/>
        <w:tabs>
          <w:tab w:val="left" w:pos="2982"/>
        </w:tabs>
        <w:spacing w:before="0" w:line="265" w:lineRule="exact"/>
        <w:ind w:left="102"/>
      </w:pPr>
      <w:r>
        <w:t>se</w:t>
      </w:r>
      <w:r>
        <w:rPr>
          <w:spacing w:val="-3"/>
        </w:rPr>
        <w:t xml:space="preserve"> </w:t>
      </w:r>
      <w:r>
        <w:t>sídlem:</w:t>
      </w:r>
      <w:r>
        <w:tab/>
        <w:t>Kaplanova 1931/1, 148 00 Praha</w:t>
      </w:r>
      <w:r>
        <w:rPr>
          <w:spacing w:val="-15"/>
        </w:rPr>
        <w:t xml:space="preserve"> </w:t>
      </w:r>
      <w:r>
        <w:t>11</w:t>
      </w:r>
    </w:p>
    <w:p w:rsidR="00A94332" w:rsidRDefault="00F84128">
      <w:pPr>
        <w:pStyle w:val="Zkladntext"/>
        <w:tabs>
          <w:tab w:val="left" w:pos="2982"/>
        </w:tabs>
        <w:spacing w:before="0" w:line="265" w:lineRule="exact"/>
        <w:ind w:left="102"/>
      </w:pPr>
      <w:r>
        <w:t>korespondenční</w:t>
      </w:r>
      <w:r>
        <w:rPr>
          <w:spacing w:val="-3"/>
        </w:rPr>
        <w:t xml:space="preserve"> </w:t>
      </w:r>
      <w:r>
        <w:t>adresa:</w:t>
      </w:r>
      <w:r>
        <w:tab/>
      </w:r>
      <w:r>
        <w:t>Olbrachtova 2006/9, 140 00 Praha</w:t>
      </w:r>
      <w:r>
        <w:rPr>
          <w:spacing w:val="-19"/>
        </w:rPr>
        <w:t xml:space="preserve"> </w:t>
      </w:r>
      <w:r>
        <w:t>4</w:t>
      </w:r>
    </w:p>
    <w:p w:rsidR="00A94332" w:rsidRDefault="00F84128">
      <w:pPr>
        <w:pStyle w:val="Zkladntext"/>
        <w:tabs>
          <w:tab w:val="left" w:pos="2982"/>
        </w:tabs>
        <w:spacing w:before="1"/>
        <w:ind w:left="102"/>
      </w:pPr>
      <w:r>
        <w:t>IČO:</w:t>
      </w:r>
      <w:r>
        <w:tab/>
        <w:t>00020729</w:t>
      </w:r>
    </w:p>
    <w:p w:rsidR="00A94332" w:rsidRDefault="00F84128">
      <w:pPr>
        <w:pStyle w:val="Zkladntext"/>
        <w:tabs>
          <w:tab w:val="left" w:pos="2982"/>
        </w:tabs>
        <w:spacing w:before="0"/>
        <w:ind w:left="102"/>
      </w:pPr>
      <w:r>
        <w:t>zastoupený:</w:t>
      </w:r>
      <w:r>
        <w:tab/>
        <w:t>Ing.</w:t>
      </w:r>
      <w:r>
        <w:rPr>
          <w:spacing w:val="-2"/>
        </w:rPr>
        <w:t xml:space="preserve"> </w:t>
      </w:r>
      <w:r>
        <w:t>Petrem</w:t>
      </w:r>
      <w:r>
        <w:rPr>
          <w:spacing w:val="-3"/>
        </w:rPr>
        <w:t xml:space="preserve"> </w:t>
      </w:r>
      <w:r>
        <w:t>V</w:t>
      </w:r>
      <w:r>
        <w:rPr>
          <w:spacing w:val="-15"/>
        </w:rPr>
        <w:t xml:space="preserve"> </w:t>
      </w:r>
      <w:r>
        <w:t>a</w:t>
      </w:r>
      <w:r>
        <w:rPr>
          <w:spacing w:val="-16"/>
        </w:rPr>
        <w:t xml:space="preserve"> </w:t>
      </w:r>
      <w:r>
        <w:t>l</w:t>
      </w:r>
      <w:r>
        <w:rPr>
          <w:spacing w:val="-16"/>
        </w:rPr>
        <w:t xml:space="preserve"> </w:t>
      </w:r>
      <w:r>
        <w:t>d</w:t>
      </w:r>
      <w:r>
        <w:rPr>
          <w:spacing w:val="-15"/>
        </w:rPr>
        <w:t xml:space="preserve"> </w:t>
      </w:r>
      <w:r>
        <w:t>m</w:t>
      </w:r>
      <w:r>
        <w:rPr>
          <w:spacing w:val="-17"/>
        </w:rPr>
        <w:t xml:space="preserve"> </w:t>
      </w:r>
      <w:r>
        <w:t>a</w:t>
      </w:r>
      <w:r>
        <w:rPr>
          <w:spacing w:val="-16"/>
        </w:rPr>
        <w:t xml:space="preserve"> </w:t>
      </w:r>
      <w:r>
        <w:t>n</w:t>
      </w:r>
      <w:r>
        <w:rPr>
          <w:spacing w:val="-14"/>
        </w:rPr>
        <w:t xml:space="preserve"> </w:t>
      </w:r>
      <w:r>
        <w:t>e</w:t>
      </w:r>
      <w:r>
        <w:rPr>
          <w:spacing w:val="-16"/>
        </w:rPr>
        <w:t xml:space="preserve"> </w:t>
      </w:r>
      <w:r>
        <w:t>m,</w:t>
      </w:r>
      <w:r>
        <w:rPr>
          <w:spacing w:val="-2"/>
        </w:rPr>
        <w:t xml:space="preserve"> </w:t>
      </w:r>
      <w:r>
        <w:t>ředitelem</w:t>
      </w:r>
    </w:p>
    <w:p w:rsidR="00A94332" w:rsidRDefault="00F84128">
      <w:pPr>
        <w:pStyle w:val="Zkladntext"/>
        <w:tabs>
          <w:tab w:val="left" w:pos="2982"/>
        </w:tabs>
        <w:spacing w:before="0"/>
        <w:ind w:left="102"/>
      </w:pPr>
      <w:r>
        <w:t>bankovní</w:t>
      </w:r>
      <w:r>
        <w:rPr>
          <w:spacing w:val="-3"/>
        </w:rPr>
        <w:t xml:space="preserve"> </w:t>
      </w:r>
      <w:r>
        <w:t>spojení:</w:t>
      </w:r>
      <w:r>
        <w:tab/>
        <w:t>Česká národní</w:t>
      </w:r>
      <w:r>
        <w:rPr>
          <w:spacing w:val="-8"/>
        </w:rPr>
        <w:t xml:space="preserve"> </w:t>
      </w:r>
      <w:r>
        <w:t>banka</w:t>
      </w:r>
    </w:p>
    <w:p w:rsidR="00A94332" w:rsidRDefault="00F84128">
      <w:pPr>
        <w:pStyle w:val="Zkladntext"/>
        <w:tabs>
          <w:tab w:val="left" w:pos="2982"/>
        </w:tabs>
        <w:spacing w:before="0"/>
        <w:ind w:left="102" w:right="4751"/>
      </w:pPr>
      <w:r>
        <w:t>číslo</w:t>
      </w:r>
      <w:r>
        <w:rPr>
          <w:spacing w:val="-2"/>
        </w:rPr>
        <w:t xml:space="preserve"> </w:t>
      </w:r>
      <w:r>
        <w:t>účtu:</w:t>
      </w:r>
      <w:r>
        <w:tab/>
      </w:r>
      <w:r>
        <w:rPr>
          <w:w w:val="95"/>
        </w:rPr>
        <w:t xml:space="preserve">40002-9025001/0710 </w:t>
      </w:r>
      <w:r>
        <w:t>(dále jen</w:t>
      </w:r>
      <w:r>
        <w:rPr>
          <w:spacing w:val="-7"/>
        </w:rPr>
        <w:t xml:space="preserve"> </w:t>
      </w:r>
      <w:r>
        <w:t>„Fond")</w:t>
      </w:r>
    </w:p>
    <w:p w:rsidR="00A94332" w:rsidRDefault="00A94332">
      <w:pPr>
        <w:pStyle w:val="Zkladntext"/>
        <w:spacing w:before="11"/>
        <w:ind w:left="0"/>
        <w:rPr>
          <w:sz w:val="19"/>
        </w:rPr>
      </w:pPr>
    </w:p>
    <w:p w:rsidR="00A94332" w:rsidRDefault="00F84128">
      <w:pPr>
        <w:pStyle w:val="Zkladntext"/>
        <w:spacing w:before="0"/>
        <w:ind w:left="102"/>
      </w:pPr>
      <w:r>
        <w:rPr>
          <w:w w:val="99"/>
        </w:rPr>
        <w:t>a</w:t>
      </w:r>
    </w:p>
    <w:p w:rsidR="00A94332" w:rsidRDefault="00A94332">
      <w:pPr>
        <w:pStyle w:val="Zkladntext"/>
        <w:spacing w:before="0"/>
        <w:ind w:left="0"/>
      </w:pPr>
    </w:p>
    <w:p w:rsidR="00A94332" w:rsidRDefault="00F84128">
      <w:pPr>
        <w:pStyle w:val="Nadpis1"/>
        <w:ind w:left="102" w:right="0"/>
        <w:jc w:val="left"/>
      </w:pPr>
      <w:r>
        <w:t>obec Vrábče</w:t>
      </w:r>
    </w:p>
    <w:p w:rsidR="00A94332" w:rsidRDefault="00F84128">
      <w:pPr>
        <w:pStyle w:val="Zkladntext"/>
        <w:tabs>
          <w:tab w:val="left" w:pos="2982"/>
        </w:tabs>
        <w:spacing w:before="0"/>
        <w:ind w:left="102" w:right="1062"/>
      </w:pPr>
      <w:r>
        <w:t>kontaktní</w:t>
      </w:r>
      <w:r>
        <w:rPr>
          <w:spacing w:val="-3"/>
        </w:rPr>
        <w:t xml:space="preserve"> </w:t>
      </w:r>
      <w:r>
        <w:t>adresa:</w:t>
      </w:r>
      <w:r>
        <w:tab/>
      </w:r>
      <w:r>
        <w:t>Obecní úřad Vrábče, Ves-Na Návsi 33, 370 01</w:t>
      </w:r>
      <w:r>
        <w:rPr>
          <w:spacing w:val="-13"/>
        </w:rPr>
        <w:t xml:space="preserve"> </w:t>
      </w:r>
      <w:r>
        <w:t>České</w:t>
      </w:r>
      <w:r>
        <w:rPr>
          <w:spacing w:val="-3"/>
        </w:rPr>
        <w:t xml:space="preserve"> </w:t>
      </w:r>
      <w:r>
        <w:t>Budějovice</w:t>
      </w:r>
      <w:r>
        <w:rPr>
          <w:w w:val="99"/>
        </w:rPr>
        <w:t xml:space="preserve"> </w:t>
      </w:r>
      <w:r>
        <w:t>IČO:</w:t>
      </w:r>
      <w:r>
        <w:tab/>
        <w:t>00581941</w:t>
      </w:r>
    </w:p>
    <w:p w:rsidR="00A94332" w:rsidRDefault="00F84128">
      <w:pPr>
        <w:pStyle w:val="Zkladntext"/>
        <w:tabs>
          <w:tab w:val="left" w:pos="2982"/>
        </w:tabs>
        <w:spacing w:before="0" w:line="265" w:lineRule="exact"/>
        <w:ind w:left="102"/>
      </w:pPr>
      <w:r>
        <w:t>zastoupená:</w:t>
      </w:r>
      <w:r>
        <w:tab/>
        <w:t>Františkem O h r a z d o u,</w:t>
      </w:r>
      <w:r>
        <w:rPr>
          <w:spacing w:val="-9"/>
        </w:rPr>
        <w:t xml:space="preserve"> </w:t>
      </w:r>
      <w:r>
        <w:t>starostou</w:t>
      </w:r>
    </w:p>
    <w:p w:rsidR="00A94332" w:rsidRDefault="00F84128">
      <w:pPr>
        <w:pStyle w:val="Zkladntext"/>
        <w:tabs>
          <w:tab w:val="left" w:pos="2982"/>
        </w:tabs>
        <w:spacing w:before="0" w:line="265" w:lineRule="exact"/>
        <w:ind w:left="102"/>
      </w:pPr>
      <w:r>
        <w:t>bankovní</w:t>
      </w:r>
      <w:r>
        <w:rPr>
          <w:spacing w:val="-3"/>
        </w:rPr>
        <w:t xml:space="preserve"> </w:t>
      </w:r>
      <w:r>
        <w:t>spojení:</w:t>
      </w:r>
      <w:r>
        <w:tab/>
      </w:r>
      <w:r w:rsidR="00826305">
        <w:t>xxxxxxxxxxxxxxxxxxx</w:t>
      </w:r>
    </w:p>
    <w:p w:rsidR="00A94332" w:rsidRDefault="00F84128">
      <w:pPr>
        <w:pStyle w:val="Zkladntext"/>
        <w:tabs>
          <w:tab w:val="left" w:pos="2982"/>
        </w:tabs>
        <w:spacing w:before="0"/>
        <w:ind w:left="102" w:right="5075"/>
      </w:pPr>
      <w:r>
        <w:t>číslo</w:t>
      </w:r>
      <w:r>
        <w:rPr>
          <w:spacing w:val="-2"/>
        </w:rPr>
        <w:t xml:space="preserve"> </w:t>
      </w:r>
      <w:r>
        <w:t>účtu:</w:t>
      </w:r>
      <w:r>
        <w:tab/>
      </w:r>
      <w:r w:rsidR="00826305">
        <w:t>xxxxxxxxxxxxxxx</w:t>
      </w:r>
      <w:bookmarkStart w:id="0" w:name="_GoBack"/>
      <w:bookmarkEnd w:id="0"/>
      <w:r>
        <w:rPr>
          <w:w w:val="95"/>
        </w:rPr>
        <w:t xml:space="preserve"> </w:t>
      </w:r>
      <w:r>
        <w:t>(dále jen „příjemce</w:t>
      </w:r>
      <w:r>
        <w:rPr>
          <w:spacing w:val="-6"/>
        </w:rPr>
        <w:t xml:space="preserve"> </w:t>
      </w:r>
      <w:r>
        <w:t>podpory")</w:t>
      </w:r>
    </w:p>
    <w:p w:rsidR="00A94332" w:rsidRDefault="00A94332">
      <w:pPr>
        <w:pStyle w:val="Zkladntext"/>
        <w:spacing w:before="0"/>
        <w:ind w:left="0"/>
        <w:rPr>
          <w:sz w:val="26"/>
        </w:rPr>
      </w:pPr>
    </w:p>
    <w:p w:rsidR="00A94332" w:rsidRDefault="00F84128">
      <w:pPr>
        <w:pStyle w:val="Zkladntext"/>
        <w:spacing w:before="187"/>
        <w:ind w:left="102"/>
      </w:pPr>
      <w:r>
        <w:t>se dohodly takto:</w:t>
      </w:r>
    </w:p>
    <w:p w:rsidR="00A94332" w:rsidRDefault="00A94332">
      <w:pPr>
        <w:pStyle w:val="Zkladntext"/>
        <w:spacing w:before="12"/>
        <w:ind w:left="0"/>
        <w:rPr>
          <w:sz w:val="35"/>
        </w:rPr>
      </w:pPr>
    </w:p>
    <w:p w:rsidR="00A94332" w:rsidRDefault="00F84128">
      <w:pPr>
        <w:pStyle w:val="Nadpis1"/>
        <w:ind w:left="3139"/>
      </w:pPr>
      <w:r>
        <w:t>I.</w:t>
      </w:r>
    </w:p>
    <w:p w:rsidR="00A94332" w:rsidRDefault="00F84128">
      <w:pPr>
        <w:ind w:left="3135" w:right="3148"/>
        <w:jc w:val="center"/>
        <w:rPr>
          <w:b/>
          <w:sz w:val="20"/>
        </w:rPr>
      </w:pPr>
      <w:r>
        <w:rPr>
          <w:b/>
          <w:sz w:val="20"/>
        </w:rPr>
        <w:t>Předmět a účel smlouvy</w:t>
      </w:r>
    </w:p>
    <w:p w:rsidR="00A94332" w:rsidRDefault="00A94332">
      <w:pPr>
        <w:pStyle w:val="Zkladntext"/>
        <w:spacing w:before="0"/>
        <w:ind w:left="0"/>
        <w:rPr>
          <w:b/>
          <w:sz w:val="18"/>
        </w:rPr>
      </w:pPr>
    </w:p>
    <w:p w:rsidR="00A94332" w:rsidRDefault="00F84128">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A94332" w:rsidRDefault="00F84128">
      <w:pPr>
        <w:pStyle w:val="Zkladntext"/>
        <w:spacing w:before="0"/>
        <w:ind w:right="111"/>
        <w:jc w:val="both"/>
      </w:pPr>
      <w:r>
        <w:t>„Smlouva“) se uzavírá na základě Rozhodnutí ministra životního prostředí č. 1190500017 o poskytnutí finančních</w:t>
      </w:r>
      <w:r>
        <w:rPr>
          <w:spacing w:val="-12"/>
        </w:rPr>
        <w:t xml:space="preserve"> </w:t>
      </w:r>
      <w:r>
        <w:t>prostředků</w:t>
      </w:r>
      <w:r>
        <w:rPr>
          <w:spacing w:val="-10"/>
        </w:rPr>
        <w:t xml:space="preserve"> </w:t>
      </w:r>
      <w:r>
        <w:t>ze</w:t>
      </w:r>
      <w:r>
        <w:rPr>
          <w:spacing w:val="-13"/>
        </w:rPr>
        <w:t xml:space="preserve"> </w:t>
      </w:r>
      <w:r>
        <w:t>Státního</w:t>
      </w:r>
      <w:r>
        <w:rPr>
          <w:spacing w:val="-11"/>
        </w:rPr>
        <w:t xml:space="preserve"> </w:t>
      </w:r>
      <w:r>
        <w:t>fondu</w:t>
      </w:r>
      <w:r>
        <w:rPr>
          <w:spacing w:val="-12"/>
        </w:rPr>
        <w:t xml:space="preserve"> </w:t>
      </w:r>
      <w:r>
        <w:t>životního</w:t>
      </w:r>
      <w:r>
        <w:rPr>
          <w:spacing w:val="-11"/>
        </w:rPr>
        <w:t xml:space="preserve"> </w:t>
      </w:r>
      <w:r>
        <w:t>prostředí</w:t>
      </w:r>
      <w:r>
        <w:rPr>
          <w:spacing w:val="-9"/>
        </w:rPr>
        <w:t xml:space="preserve"> </w:t>
      </w:r>
      <w:r>
        <w:t>ČR</w:t>
      </w:r>
      <w:r>
        <w:rPr>
          <w:spacing w:val="-11"/>
        </w:rPr>
        <w:t xml:space="preserve"> </w:t>
      </w:r>
      <w:r>
        <w:t>ze</w:t>
      </w:r>
      <w:r>
        <w:rPr>
          <w:spacing w:val="-10"/>
        </w:rPr>
        <w:t xml:space="preserve"> </w:t>
      </w:r>
      <w:r>
        <w:t>dne</w:t>
      </w:r>
      <w:r>
        <w:rPr>
          <w:spacing w:val="-5"/>
        </w:rPr>
        <w:t xml:space="preserve"> </w:t>
      </w:r>
      <w:r>
        <w:t>9.</w:t>
      </w:r>
      <w:r>
        <w:rPr>
          <w:spacing w:val="-2"/>
        </w:rPr>
        <w:t xml:space="preserve"> </w:t>
      </w:r>
      <w:r>
        <w:t>4.</w:t>
      </w:r>
      <w:r>
        <w:rPr>
          <w:spacing w:val="-2"/>
        </w:rPr>
        <w:t xml:space="preserve"> </w:t>
      </w:r>
      <w:r>
        <w:t>2020</w:t>
      </w:r>
      <w:r>
        <w:rPr>
          <w:spacing w:val="-11"/>
        </w:rPr>
        <w:t xml:space="preserve"> </w:t>
      </w:r>
      <w:r>
        <w:t>a</w:t>
      </w:r>
      <w:r>
        <w:rPr>
          <w:spacing w:val="-10"/>
        </w:rPr>
        <w:t xml:space="preserve"> </w:t>
      </w:r>
      <w:r>
        <w:t>Směrnice</w:t>
      </w:r>
      <w:r>
        <w:rPr>
          <w:spacing w:val="-13"/>
        </w:rPr>
        <w:t xml:space="preserve"> </w:t>
      </w:r>
      <w:r>
        <w:t>Ministerstva životního prostředí č. 4/2015 o poskytování finančních prostředků ze Státního fondu životního prostředí České republiky prostřednictvím Národního programu Životní prostředí (dále jen „S</w:t>
      </w:r>
      <w:r>
        <w:t>měrnice MŽP“), platné ke dni podání</w:t>
      </w:r>
      <w:r>
        <w:rPr>
          <w:spacing w:val="-8"/>
        </w:rPr>
        <w:t xml:space="preserve"> </w:t>
      </w:r>
      <w:r>
        <w:t>žádosti.</w:t>
      </w:r>
    </w:p>
    <w:p w:rsidR="00A94332" w:rsidRDefault="00F84128">
      <w:pPr>
        <w:pStyle w:val="Odstavecseseznamem"/>
        <w:numPr>
          <w:ilvl w:val="0"/>
          <w:numId w:val="6"/>
        </w:numPr>
        <w:tabs>
          <w:tab w:val="left" w:pos="386"/>
        </w:tabs>
        <w:ind w:right="111" w:hanging="283"/>
        <w:jc w:val="both"/>
        <w:rPr>
          <w:sz w:val="20"/>
        </w:rPr>
      </w:pPr>
      <w:r>
        <w:rPr>
          <w:sz w:val="20"/>
        </w:rPr>
        <w:t>Příjemce podpory potvrzuje, že se seznámil se Směrnicí MŽP (včetně jejích příloh) a Výzvou č. 5/2019    k předkládání žádostí o poskytnutí podpory v rámci Národního programu Životní prostředí, vydanou podle</w:t>
      </w:r>
      <w:r>
        <w:rPr>
          <w:spacing w:val="-14"/>
          <w:sz w:val="20"/>
        </w:rPr>
        <w:t xml:space="preserve"> </w:t>
      </w:r>
      <w:r>
        <w:rPr>
          <w:sz w:val="20"/>
        </w:rPr>
        <w:t>článku</w:t>
      </w:r>
      <w:r>
        <w:rPr>
          <w:spacing w:val="-13"/>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4"/>
          <w:sz w:val="20"/>
        </w:rPr>
        <w:t xml:space="preserve"> </w:t>
      </w:r>
      <w:r>
        <w:rPr>
          <w:sz w:val="20"/>
        </w:rPr>
        <w:t>jen</w:t>
      </w:r>
      <w:r>
        <w:rPr>
          <w:spacing w:val="-12"/>
          <w:sz w:val="20"/>
        </w:rPr>
        <w:t xml:space="preserve"> </w:t>
      </w:r>
      <w:r>
        <w:rPr>
          <w:sz w:val="20"/>
        </w:rPr>
        <w:t>„Výzva“),</w:t>
      </w:r>
      <w:r>
        <w:rPr>
          <w:spacing w:val="-13"/>
          <w:sz w:val="20"/>
        </w:rPr>
        <w:t xml:space="preserve"> </w:t>
      </w:r>
      <w:r>
        <w:rPr>
          <w:sz w:val="20"/>
        </w:rPr>
        <w:t>a</w:t>
      </w:r>
      <w:r>
        <w:rPr>
          <w:spacing w:val="-12"/>
          <w:sz w:val="20"/>
        </w:rPr>
        <w:t xml:space="preserve"> </w:t>
      </w:r>
      <w:r>
        <w:rPr>
          <w:sz w:val="20"/>
        </w:rPr>
        <w:t>že</w:t>
      </w:r>
      <w:r>
        <w:rPr>
          <w:spacing w:val="-14"/>
          <w:sz w:val="20"/>
        </w:rPr>
        <w:t xml:space="preserve"> </w:t>
      </w:r>
      <w:r>
        <w:rPr>
          <w:sz w:val="20"/>
        </w:rPr>
        <w:t>náležitosti</w:t>
      </w:r>
      <w:r>
        <w:rPr>
          <w:spacing w:val="-12"/>
          <w:sz w:val="20"/>
        </w:rPr>
        <w:t xml:space="preserve"> </w:t>
      </w:r>
      <w:r>
        <w:rPr>
          <w:sz w:val="20"/>
        </w:rPr>
        <w:t>akce</w:t>
      </w:r>
      <w:r>
        <w:rPr>
          <w:spacing w:val="-14"/>
          <w:sz w:val="20"/>
        </w:rPr>
        <w:t xml:space="preserve"> </w:t>
      </w:r>
      <w:r>
        <w:rPr>
          <w:sz w:val="20"/>
        </w:rPr>
        <w:t>odpovídají</w:t>
      </w:r>
      <w:r>
        <w:rPr>
          <w:spacing w:val="-13"/>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A94332" w:rsidRDefault="00A94332">
      <w:pPr>
        <w:jc w:val="both"/>
        <w:rPr>
          <w:sz w:val="20"/>
        </w:rPr>
        <w:sectPr w:rsidR="00A94332">
          <w:footerReference w:type="even" r:id="rId7"/>
          <w:footerReference w:type="default" r:id="rId8"/>
          <w:type w:val="continuous"/>
          <w:pgSz w:w="12240" w:h="15840"/>
          <w:pgMar w:top="1480" w:right="1020" w:bottom="1660" w:left="1600" w:header="708" w:footer="1460" w:gutter="0"/>
          <w:pgNumType w:start="1"/>
          <w:cols w:space="708"/>
        </w:sectPr>
      </w:pPr>
    </w:p>
    <w:p w:rsidR="00A94332" w:rsidRDefault="00F84128">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A94332" w:rsidRDefault="00F84128">
      <w:pPr>
        <w:pStyle w:val="Nadpis1"/>
        <w:spacing w:before="120"/>
      </w:pPr>
      <w:r>
        <w:t>„VO Vrábče - NPŽP 2020“</w:t>
      </w:r>
    </w:p>
    <w:p w:rsidR="00A94332" w:rsidRDefault="00F84128">
      <w:pPr>
        <w:pStyle w:val="Zkladntext"/>
      </w:pPr>
      <w:r>
        <w:t>(dále jen „projekt“ nebo „akce“) realizovanouv letech 2019 až 2020. Akce je kombinovaná.</w:t>
      </w:r>
    </w:p>
    <w:p w:rsidR="00A94332" w:rsidRDefault="00A94332">
      <w:pPr>
        <w:pStyle w:val="Zkladntext"/>
        <w:spacing w:before="1"/>
        <w:ind w:left="0"/>
        <w:rPr>
          <w:sz w:val="36"/>
        </w:rPr>
      </w:pPr>
    </w:p>
    <w:p w:rsidR="00A94332" w:rsidRDefault="00F84128">
      <w:pPr>
        <w:pStyle w:val="Nadpis1"/>
        <w:ind w:left="3139"/>
      </w:pPr>
      <w:r>
        <w:t>II.</w:t>
      </w:r>
    </w:p>
    <w:p w:rsidR="00A94332" w:rsidRDefault="00F84128">
      <w:pPr>
        <w:ind w:left="3136" w:right="3148"/>
        <w:jc w:val="center"/>
        <w:rPr>
          <w:b/>
          <w:sz w:val="20"/>
        </w:rPr>
      </w:pPr>
      <w:r>
        <w:rPr>
          <w:b/>
          <w:sz w:val="20"/>
        </w:rPr>
        <w:t>Výše dotace</w:t>
      </w:r>
    </w:p>
    <w:p w:rsidR="00A94332" w:rsidRDefault="00A94332">
      <w:pPr>
        <w:pStyle w:val="Zkladntext"/>
        <w:spacing w:before="5"/>
        <w:ind w:left="0"/>
        <w:rPr>
          <w:b/>
          <w:sz w:val="18"/>
        </w:rPr>
      </w:pPr>
    </w:p>
    <w:p w:rsidR="00A94332" w:rsidRDefault="00F84128">
      <w:pPr>
        <w:pStyle w:val="Odstavecseseznamem"/>
        <w:numPr>
          <w:ilvl w:val="0"/>
          <w:numId w:val="5"/>
        </w:numPr>
        <w:tabs>
          <w:tab w:val="left" w:pos="386"/>
        </w:tabs>
        <w:spacing w:before="0" w:line="264" w:lineRule="exact"/>
        <w:ind w:right="111" w:hanging="283"/>
        <w:jc w:val="both"/>
        <w:rPr>
          <w:sz w:val="20"/>
        </w:rPr>
      </w:pPr>
      <w:r>
        <w:rPr>
          <w:sz w:val="20"/>
        </w:rPr>
        <w:t>Fond</w:t>
      </w:r>
      <w:r>
        <w:rPr>
          <w:spacing w:val="-11"/>
          <w:sz w:val="20"/>
        </w:rPr>
        <w:t xml:space="preserve"> </w:t>
      </w:r>
      <w:r>
        <w:rPr>
          <w:sz w:val="20"/>
        </w:rPr>
        <w:t>se</w:t>
      </w:r>
      <w:r>
        <w:rPr>
          <w:spacing w:val="-13"/>
          <w:sz w:val="20"/>
        </w:rPr>
        <w:t xml:space="preserve"> </w:t>
      </w:r>
      <w:r>
        <w:rPr>
          <w:sz w:val="20"/>
        </w:rPr>
        <w:t>zavazuje</w:t>
      </w:r>
      <w:r>
        <w:rPr>
          <w:spacing w:val="-11"/>
          <w:sz w:val="20"/>
        </w:rPr>
        <w:t xml:space="preserve"> </w:t>
      </w:r>
      <w:r>
        <w:rPr>
          <w:sz w:val="20"/>
        </w:rPr>
        <w:t>poskytnout</w:t>
      </w:r>
      <w:r>
        <w:rPr>
          <w:spacing w:val="-12"/>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podporu</w:t>
      </w:r>
      <w:r>
        <w:rPr>
          <w:spacing w:val="-9"/>
          <w:sz w:val="20"/>
        </w:rPr>
        <w:t xml:space="preserve"> </w:t>
      </w:r>
      <w:r>
        <w:rPr>
          <w:sz w:val="20"/>
        </w:rPr>
        <w:t>formou</w:t>
      </w:r>
      <w:r>
        <w:rPr>
          <w:spacing w:val="-12"/>
          <w:sz w:val="20"/>
        </w:rPr>
        <w:t xml:space="preserve"> </w:t>
      </w:r>
      <w:r>
        <w:rPr>
          <w:sz w:val="20"/>
        </w:rPr>
        <w:t>dotace</w:t>
      </w:r>
      <w:r>
        <w:rPr>
          <w:spacing w:val="-13"/>
          <w:sz w:val="20"/>
        </w:rPr>
        <w:t xml:space="preserve"> </w:t>
      </w:r>
      <w:r>
        <w:rPr>
          <w:sz w:val="20"/>
        </w:rPr>
        <w:t>ve</w:t>
      </w:r>
      <w:r>
        <w:rPr>
          <w:spacing w:val="-13"/>
          <w:sz w:val="20"/>
        </w:rPr>
        <w:t xml:space="preserve"> </w:t>
      </w:r>
      <w:r>
        <w:rPr>
          <w:sz w:val="20"/>
        </w:rPr>
        <w:t>výši</w:t>
      </w:r>
      <w:r>
        <w:rPr>
          <w:spacing w:val="-6"/>
          <w:sz w:val="20"/>
        </w:rPr>
        <w:t xml:space="preserve"> </w:t>
      </w:r>
      <w:r>
        <w:rPr>
          <w:b/>
          <w:sz w:val="20"/>
        </w:rPr>
        <w:t>520</w:t>
      </w:r>
      <w:r>
        <w:rPr>
          <w:b/>
          <w:spacing w:val="1"/>
          <w:sz w:val="20"/>
        </w:rPr>
        <w:t xml:space="preserve"> </w:t>
      </w:r>
      <w:r>
        <w:rPr>
          <w:b/>
          <w:sz w:val="20"/>
        </w:rPr>
        <w:t>388,66</w:t>
      </w:r>
      <w:r>
        <w:rPr>
          <w:b/>
          <w:spacing w:val="-10"/>
          <w:sz w:val="20"/>
        </w:rPr>
        <w:t xml:space="preserve"> </w:t>
      </w:r>
      <w:r>
        <w:rPr>
          <w:b/>
          <w:sz w:val="20"/>
        </w:rPr>
        <w:t>Kč</w:t>
      </w:r>
      <w:r>
        <w:rPr>
          <w:b/>
          <w:spacing w:val="-12"/>
          <w:sz w:val="20"/>
        </w:rPr>
        <w:t xml:space="preserve"> </w:t>
      </w:r>
      <w:r>
        <w:rPr>
          <w:sz w:val="20"/>
        </w:rPr>
        <w:t>(slovy:</w:t>
      </w:r>
      <w:r>
        <w:rPr>
          <w:spacing w:val="-11"/>
          <w:sz w:val="20"/>
        </w:rPr>
        <w:t xml:space="preserve"> </w:t>
      </w:r>
      <w:r>
        <w:rPr>
          <w:sz w:val="20"/>
        </w:rPr>
        <w:t>pět set dvacet tisíc tři sta osmdesát osm korun českých a šedesát šest</w:t>
      </w:r>
      <w:r>
        <w:rPr>
          <w:spacing w:val="-25"/>
          <w:sz w:val="20"/>
        </w:rPr>
        <w:t xml:space="preserve"> </w:t>
      </w:r>
      <w:r>
        <w:rPr>
          <w:sz w:val="20"/>
        </w:rPr>
        <w:t>haléřů).</w:t>
      </w:r>
    </w:p>
    <w:p w:rsidR="00A94332" w:rsidRDefault="00F84128">
      <w:pPr>
        <w:pStyle w:val="Odstavecseseznamem"/>
        <w:numPr>
          <w:ilvl w:val="0"/>
          <w:numId w:val="5"/>
        </w:numPr>
        <w:tabs>
          <w:tab w:val="left" w:pos="386"/>
        </w:tabs>
        <w:spacing w:before="117"/>
        <w:ind w:right="110" w:hanging="283"/>
        <w:jc w:val="both"/>
        <w:rPr>
          <w:sz w:val="20"/>
        </w:rPr>
      </w:pPr>
      <w:r>
        <w:rPr>
          <w:sz w:val="20"/>
        </w:rPr>
        <w:t>Základ pro stanovení podpory odpovídá způsobilým výdajům stanoveným Fondem dle žádosti a jejích příloh a činí 1 040 777,33 Kč (z toho 971 686,33 Kč odpovídá investičním</w:t>
      </w:r>
      <w:r>
        <w:rPr>
          <w:sz w:val="20"/>
        </w:rPr>
        <w:t xml:space="preserve"> výdajům a 69 091,00 Kč odpovídá neinvestičním</w:t>
      </w:r>
      <w:r>
        <w:rPr>
          <w:spacing w:val="-11"/>
          <w:sz w:val="20"/>
        </w:rPr>
        <w:t xml:space="preserve"> </w:t>
      </w:r>
      <w:r>
        <w:rPr>
          <w:sz w:val="20"/>
        </w:rPr>
        <w:t>výdajům).</w:t>
      </w:r>
    </w:p>
    <w:p w:rsidR="00A94332" w:rsidRDefault="00F84128">
      <w:pPr>
        <w:pStyle w:val="Odstavecseseznamem"/>
        <w:numPr>
          <w:ilvl w:val="0"/>
          <w:numId w:val="5"/>
        </w:numPr>
        <w:tabs>
          <w:tab w:val="left" w:pos="386"/>
        </w:tabs>
        <w:ind w:hanging="283"/>
        <w:rPr>
          <w:sz w:val="20"/>
        </w:rPr>
      </w:pPr>
      <w:r>
        <w:rPr>
          <w:sz w:val="20"/>
        </w:rPr>
        <w:t>Podpora představuje 50,00 % základu pro stanovení</w:t>
      </w:r>
      <w:r>
        <w:rPr>
          <w:spacing w:val="-18"/>
          <w:sz w:val="20"/>
        </w:rPr>
        <w:t xml:space="preserve"> </w:t>
      </w:r>
      <w:r>
        <w:rPr>
          <w:sz w:val="20"/>
        </w:rPr>
        <w:t>podpory.</w:t>
      </w:r>
    </w:p>
    <w:p w:rsidR="00A94332" w:rsidRDefault="00F84128">
      <w:pPr>
        <w:pStyle w:val="Odstavecseseznamem"/>
        <w:numPr>
          <w:ilvl w:val="0"/>
          <w:numId w:val="5"/>
        </w:numPr>
        <w:tabs>
          <w:tab w:val="left" w:pos="386"/>
        </w:tabs>
        <w:spacing w:before="121"/>
        <w:ind w:right="114"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w:t>
      </w:r>
      <w:r>
        <w:rPr>
          <w:sz w:val="20"/>
        </w:rPr>
        <w:t>pory částku tohoto překročení z vlastních zdrojů.</w:t>
      </w:r>
    </w:p>
    <w:p w:rsidR="00A94332" w:rsidRDefault="00F84128">
      <w:pPr>
        <w:pStyle w:val="Odstavecseseznamem"/>
        <w:numPr>
          <w:ilvl w:val="0"/>
          <w:numId w:val="5"/>
        </w:numPr>
        <w:tabs>
          <w:tab w:val="left" w:pos="386"/>
        </w:tabs>
        <w:ind w:right="112" w:hanging="283"/>
        <w:jc w:val="both"/>
        <w:rPr>
          <w:sz w:val="20"/>
        </w:rPr>
      </w:pPr>
      <w:r>
        <w:rPr>
          <w:sz w:val="20"/>
        </w:rPr>
        <w:t>Podporu je možno použít pouze na úhradu skutečných, účelných, efektivních, oprávněně a nezbytně vynaložených výdajů v přímé souvislosti s realizací projektu a které vznikly a byly uhrazeny v období realizac</w:t>
      </w:r>
      <w:r>
        <w:rPr>
          <w:sz w:val="20"/>
        </w:rPr>
        <w:t>e projektu (tj. po zahájení projektu a před dokončením projektu), nejdříve však po dni podání žádosti o poskytnutí dotace, s výjimkou výdajů na projektovou přípravu, které mohou být uznány jako způsobilé i v případě, že vznikly a byly uhrazeny před tímto</w:t>
      </w:r>
      <w:r>
        <w:rPr>
          <w:spacing w:val="-17"/>
          <w:sz w:val="20"/>
        </w:rPr>
        <w:t xml:space="preserve"> </w:t>
      </w:r>
      <w:r>
        <w:rPr>
          <w:sz w:val="20"/>
        </w:rPr>
        <w:t>d</w:t>
      </w:r>
      <w:r>
        <w:rPr>
          <w:sz w:val="20"/>
        </w:rPr>
        <w:t>atem.</w:t>
      </w:r>
    </w:p>
    <w:p w:rsidR="00A94332" w:rsidRDefault="00F84128">
      <w:pPr>
        <w:pStyle w:val="Odstavecseseznamem"/>
        <w:numPr>
          <w:ilvl w:val="0"/>
          <w:numId w:val="5"/>
        </w:numPr>
        <w:tabs>
          <w:tab w:val="left" w:pos="386"/>
        </w:tabs>
        <w:ind w:right="111" w:hanging="283"/>
        <w:jc w:val="both"/>
        <w:rPr>
          <w:sz w:val="20"/>
        </w:rPr>
      </w:pPr>
      <w:r>
        <w:rPr>
          <w:sz w:val="20"/>
        </w:rPr>
        <w:t>Platby  dodavatelům  lze  z podpory  poskytované  Fondem  hradit  pouze  za  stavební  práce,  služby  a  dodávky na realizaci</w:t>
      </w:r>
      <w:r>
        <w:rPr>
          <w:spacing w:val="-7"/>
          <w:sz w:val="20"/>
        </w:rPr>
        <w:t xml:space="preserve"> </w:t>
      </w:r>
      <w:r>
        <w:rPr>
          <w:sz w:val="20"/>
        </w:rPr>
        <w:t>akce.</w:t>
      </w:r>
    </w:p>
    <w:p w:rsidR="00A94332" w:rsidRDefault="00F84128">
      <w:pPr>
        <w:pStyle w:val="Odstavecseseznamem"/>
        <w:numPr>
          <w:ilvl w:val="0"/>
          <w:numId w:val="5"/>
        </w:numPr>
        <w:tabs>
          <w:tab w:val="left" w:pos="386"/>
        </w:tabs>
        <w:ind w:right="111" w:hanging="283"/>
        <w:jc w:val="both"/>
        <w:rPr>
          <w:sz w:val="20"/>
        </w:rPr>
      </w:pPr>
      <w:r>
        <w:rPr>
          <w:sz w:val="20"/>
        </w:rPr>
        <w:t>Při</w:t>
      </w:r>
      <w:r>
        <w:rPr>
          <w:spacing w:val="-8"/>
          <w:sz w:val="20"/>
        </w:rPr>
        <w:t xml:space="preserve"> </w:t>
      </w:r>
      <w:r>
        <w:rPr>
          <w:sz w:val="20"/>
        </w:rPr>
        <w:t>určování</w:t>
      </w:r>
      <w:r>
        <w:rPr>
          <w:spacing w:val="-8"/>
          <w:sz w:val="20"/>
        </w:rPr>
        <w:t xml:space="preserve"> </w:t>
      </w:r>
      <w:r>
        <w:rPr>
          <w:sz w:val="20"/>
        </w:rPr>
        <w:t>způsobilých</w:t>
      </w:r>
      <w:r>
        <w:rPr>
          <w:spacing w:val="-8"/>
          <w:sz w:val="20"/>
        </w:rPr>
        <w:t xml:space="preserve"> </w:t>
      </w:r>
      <w:r>
        <w:rPr>
          <w:sz w:val="20"/>
        </w:rPr>
        <w:t>výdajů</w:t>
      </w:r>
      <w:r>
        <w:rPr>
          <w:spacing w:val="-9"/>
          <w:sz w:val="20"/>
        </w:rPr>
        <w:t xml:space="preserve"> </w:t>
      </w:r>
      <w:r>
        <w:rPr>
          <w:sz w:val="20"/>
        </w:rPr>
        <w:t>akce</w:t>
      </w:r>
      <w:r>
        <w:rPr>
          <w:spacing w:val="-9"/>
          <w:sz w:val="20"/>
        </w:rPr>
        <w:t xml:space="preserve"> </w:t>
      </w:r>
      <w:r>
        <w:rPr>
          <w:sz w:val="20"/>
        </w:rPr>
        <w:t>a</w:t>
      </w:r>
      <w:r>
        <w:rPr>
          <w:spacing w:val="-9"/>
          <w:sz w:val="20"/>
        </w:rPr>
        <w:t xml:space="preserve"> </w:t>
      </w:r>
      <w:r>
        <w:rPr>
          <w:sz w:val="20"/>
        </w:rPr>
        <w:t>z</w:t>
      </w:r>
      <w:r>
        <w:rPr>
          <w:spacing w:val="-7"/>
          <w:sz w:val="20"/>
        </w:rPr>
        <w:t xml:space="preserve"> </w:t>
      </w:r>
      <w:r>
        <w:rPr>
          <w:sz w:val="20"/>
        </w:rPr>
        <w:t>nich</w:t>
      </w:r>
      <w:r>
        <w:rPr>
          <w:spacing w:val="-8"/>
          <w:sz w:val="20"/>
        </w:rPr>
        <w:t xml:space="preserve"> </w:t>
      </w:r>
      <w:r>
        <w:rPr>
          <w:sz w:val="20"/>
        </w:rPr>
        <w:t>odvozené</w:t>
      </w:r>
      <w:r>
        <w:rPr>
          <w:spacing w:val="-7"/>
          <w:sz w:val="20"/>
        </w:rPr>
        <w:t xml:space="preserve"> </w:t>
      </w:r>
      <w:r>
        <w:rPr>
          <w:sz w:val="20"/>
        </w:rPr>
        <w:t>výše</w:t>
      </w:r>
      <w:r>
        <w:rPr>
          <w:spacing w:val="-9"/>
          <w:sz w:val="20"/>
        </w:rPr>
        <w:t xml:space="preserve"> </w:t>
      </w:r>
      <w:r>
        <w:rPr>
          <w:sz w:val="20"/>
        </w:rPr>
        <w:t>podpory</w:t>
      </w:r>
      <w:r>
        <w:rPr>
          <w:spacing w:val="-6"/>
          <w:sz w:val="20"/>
        </w:rPr>
        <w:t xml:space="preserve"> </w:t>
      </w:r>
      <w:r>
        <w:rPr>
          <w:sz w:val="20"/>
        </w:rPr>
        <w:t>se</w:t>
      </w:r>
      <w:r>
        <w:rPr>
          <w:spacing w:val="-10"/>
          <w:sz w:val="20"/>
        </w:rPr>
        <w:t xml:space="preserve"> </w:t>
      </w:r>
      <w:r>
        <w:rPr>
          <w:sz w:val="20"/>
        </w:rPr>
        <w:t>bude</w:t>
      </w:r>
      <w:r>
        <w:rPr>
          <w:spacing w:val="-9"/>
          <w:sz w:val="20"/>
        </w:rPr>
        <w:t xml:space="preserve"> </w:t>
      </w:r>
      <w:r>
        <w:rPr>
          <w:sz w:val="20"/>
        </w:rPr>
        <w:t>vycházet</w:t>
      </w:r>
      <w:r>
        <w:rPr>
          <w:spacing w:val="-9"/>
          <w:sz w:val="20"/>
        </w:rPr>
        <w:t xml:space="preserve"> </w:t>
      </w:r>
      <w:r>
        <w:rPr>
          <w:sz w:val="20"/>
        </w:rPr>
        <w:t>ze</w:t>
      </w:r>
      <w:r>
        <w:rPr>
          <w:spacing w:val="-9"/>
          <w:sz w:val="20"/>
        </w:rPr>
        <w:t xml:space="preserve"> </w:t>
      </w:r>
      <w:r>
        <w:rPr>
          <w:sz w:val="20"/>
        </w:rPr>
        <w:t>znění</w:t>
      </w:r>
      <w:r>
        <w:rPr>
          <w:spacing w:val="-6"/>
          <w:sz w:val="20"/>
        </w:rPr>
        <w:t xml:space="preserve"> </w:t>
      </w:r>
      <w:r>
        <w:rPr>
          <w:sz w:val="20"/>
        </w:rPr>
        <w:t>článku</w:t>
      </w:r>
      <w:r>
        <w:rPr>
          <w:spacing w:val="1"/>
          <w:sz w:val="20"/>
        </w:rPr>
        <w:t xml:space="preserve"> </w:t>
      </w:r>
      <w:r>
        <w:rPr>
          <w:sz w:val="20"/>
        </w:rPr>
        <w:t>9 Výzvy.</w:t>
      </w:r>
    </w:p>
    <w:p w:rsidR="00A94332" w:rsidRDefault="00A94332">
      <w:pPr>
        <w:pStyle w:val="Zkladntext"/>
        <w:spacing w:before="12"/>
        <w:ind w:left="0"/>
        <w:rPr>
          <w:sz w:val="35"/>
        </w:rPr>
      </w:pPr>
    </w:p>
    <w:p w:rsidR="00A94332" w:rsidRDefault="00F84128">
      <w:pPr>
        <w:pStyle w:val="Nadpis1"/>
        <w:ind w:left="3138"/>
      </w:pPr>
      <w:r>
        <w:t>III.</w:t>
      </w:r>
    </w:p>
    <w:p w:rsidR="00A94332" w:rsidRDefault="00F84128">
      <w:pPr>
        <w:ind w:left="3135" w:right="3148"/>
        <w:jc w:val="center"/>
        <w:rPr>
          <w:b/>
          <w:sz w:val="20"/>
        </w:rPr>
      </w:pPr>
      <w:r>
        <w:rPr>
          <w:b/>
          <w:sz w:val="20"/>
        </w:rPr>
        <w:t>Platební podmínky</w:t>
      </w:r>
    </w:p>
    <w:p w:rsidR="00A94332" w:rsidRDefault="00A94332">
      <w:pPr>
        <w:pStyle w:val="Zkladntext"/>
        <w:spacing w:before="0"/>
        <w:ind w:left="0"/>
        <w:rPr>
          <w:b/>
          <w:sz w:val="18"/>
        </w:rPr>
      </w:pPr>
    </w:p>
    <w:p w:rsidR="00A94332" w:rsidRDefault="00F84128">
      <w:pPr>
        <w:pStyle w:val="Odstavecseseznamem"/>
        <w:numPr>
          <w:ilvl w:val="0"/>
          <w:numId w:val="4"/>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A94332" w:rsidRDefault="00F84128">
      <w:pPr>
        <w:pStyle w:val="Odstavecseseznamem"/>
        <w:numPr>
          <w:ilvl w:val="0"/>
          <w:numId w:val="4"/>
        </w:numPr>
        <w:tabs>
          <w:tab w:val="left" w:pos="386"/>
        </w:tabs>
        <w:ind w:right="108" w:hanging="283"/>
        <w:jc w:val="both"/>
        <w:rPr>
          <w:sz w:val="20"/>
        </w:rPr>
      </w:pPr>
      <w:r>
        <w:rPr>
          <w:sz w:val="20"/>
        </w:rPr>
        <w:t>Fond</w:t>
      </w:r>
      <w:r>
        <w:rPr>
          <w:spacing w:val="-6"/>
          <w:sz w:val="20"/>
        </w:rPr>
        <w:t xml:space="preserve"> </w:t>
      </w:r>
      <w:r>
        <w:rPr>
          <w:sz w:val="20"/>
        </w:rPr>
        <w:t>bude</w:t>
      </w:r>
      <w:r>
        <w:rPr>
          <w:spacing w:val="-8"/>
          <w:sz w:val="20"/>
        </w:rPr>
        <w:t xml:space="preserve"> </w:t>
      </w:r>
      <w:r>
        <w:rPr>
          <w:sz w:val="20"/>
        </w:rPr>
        <w:t>poskytovat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průběžně</w:t>
      </w:r>
      <w:r>
        <w:rPr>
          <w:spacing w:val="-5"/>
          <w:sz w:val="20"/>
        </w:rPr>
        <w:t xml:space="preserve"> </w:t>
      </w:r>
      <w:r>
        <w:rPr>
          <w:sz w:val="20"/>
        </w:rPr>
        <w:t>postupem</w:t>
      </w:r>
      <w:r>
        <w:rPr>
          <w:spacing w:val="-8"/>
          <w:sz w:val="20"/>
        </w:rPr>
        <w:t xml:space="preserve"> </w:t>
      </w:r>
      <w:r>
        <w:rPr>
          <w:sz w:val="20"/>
        </w:rPr>
        <w:t>stanoveným</w:t>
      </w:r>
      <w:r>
        <w:rPr>
          <w:spacing w:val="-8"/>
          <w:sz w:val="20"/>
        </w:rPr>
        <w:t xml:space="preserve"> </w:t>
      </w:r>
      <w:r>
        <w:rPr>
          <w:sz w:val="20"/>
        </w:rPr>
        <w:t>v</w:t>
      </w:r>
      <w:r>
        <w:rPr>
          <w:spacing w:val="-1"/>
          <w:sz w:val="20"/>
        </w:rPr>
        <w:t xml:space="preserve"> </w:t>
      </w:r>
      <w:r>
        <w:rPr>
          <w:sz w:val="20"/>
        </w:rPr>
        <w:t>bodech</w:t>
      </w:r>
      <w:r>
        <w:rPr>
          <w:spacing w:val="-7"/>
          <w:sz w:val="20"/>
        </w:rPr>
        <w:t xml:space="preserve"> </w:t>
      </w:r>
      <w:r>
        <w:rPr>
          <w:sz w:val="20"/>
        </w:rPr>
        <w:t>10–15</w:t>
      </w:r>
      <w:r>
        <w:rPr>
          <w:spacing w:val="-6"/>
          <w:sz w:val="20"/>
        </w:rPr>
        <w:t xml:space="preserve"> </w:t>
      </w:r>
      <w:r>
        <w:rPr>
          <w:sz w:val="20"/>
        </w:rPr>
        <w:t>tak,</w:t>
      </w:r>
      <w:r>
        <w:rPr>
          <w:spacing w:val="-7"/>
          <w:sz w:val="20"/>
        </w:rPr>
        <w:t xml:space="preserve"> </w:t>
      </w:r>
      <w:r>
        <w:rPr>
          <w:sz w:val="20"/>
        </w:rPr>
        <w:t>aby</w:t>
      </w:r>
      <w:r>
        <w:rPr>
          <w:spacing w:val="-8"/>
          <w:sz w:val="20"/>
        </w:rPr>
        <w:t xml:space="preserve"> </w:t>
      </w:r>
      <w:r>
        <w:rPr>
          <w:sz w:val="20"/>
        </w:rPr>
        <w:t>byl dodržen poměr podpory a vlastních zdrojů vyplývající z níže uvedených</w:t>
      </w:r>
      <w:r>
        <w:rPr>
          <w:spacing w:val="-20"/>
          <w:sz w:val="20"/>
        </w:rPr>
        <w:t xml:space="preserve"> </w:t>
      </w:r>
      <w:r>
        <w:rPr>
          <w:sz w:val="20"/>
        </w:rPr>
        <w:t>částek.</w:t>
      </w:r>
    </w:p>
    <w:p w:rsidR="00A94332" w:rsidRDefault="00F84128">
      <w:pPr>
        <w:pStyle w:val="Odstavecseseznamem"/>
        <w:numPr>
          <w:ilvl w:val="0"/>
          <w:numId w:val="4"/>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A94332" w:rsidRDefault="00A94332">
      <w:pPr>
        <w:pStyle w:val="Zkladntext"/>
        <w:spacing w:before="0"/>
        <w:ind w:left="0"/>
        <w:rPr>
          <w:sz w:val="9"/>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4"/>
        <w:gridCol w:w="4884"/>
      </w:tblGrid>
      <w:tr w:rsidR="00A94332">
        <w:trPr>
          <w:trHeight w:hRule="exact" w:val="517"/>
        </w:trPr>
        <w:tc>
          <w:tcPr>
            <w:tcW w:w="4514" w:type="dxa"/>
          </w:tcPr>
          <w:p w:rsidR="00A94332" w:rsidRDefault="00F84128">
            <w:pPr>
              <w:pStyle w:val="TableParagraph"/>
              <w:spacing w:before="120"/>
              <w:ind w:left="103"/>
              <w:rPr>
                <w:sz w:val="20"/>
              </w:rPr>
            </w:pPr>
            <w:r>
              <w:rPr>
                <w:sz w:val="20"/>
              </w:rPr>
              <w:t>v roce</w:t>
            </w:r>
          </w:p>
        </w:tc>
        <w:tc>
          <w:tcPr>
            <w:tcW w:w="4884" w:type="dxa"/>
          </w:tcPr>
          <w:p w:rsidR="00A94332" w:rsidRDefault="00F84128">
            <w:pPr>
              <w:pStyle w:val="TableParagraph"/>
              <w:spacing w:before="120"/>
              <w:ind w:left="121"/>
              <w:rPr>
                <w:sz w:val="20"/>
              </w:rPr>
            </w:pPr>
            <w:r>
              <w:rPr>
                <w:sz w:val="20"/>
              </w:rPr>
              <w:t>ve výši (Kč)</w:t>
            </w:r>
          </w:p>
        </w:tc>
      </w:tr>
      <w:tr w:rsidR="00A94332">
        <w:trPr>
          <w:trHeight w:hRule="exact" w:val="516"/>
        </w:trPr>
        <w:tc>
          <w:tcPr>
            <w:tcW w:w="4514" w:type="dxa"/>
          </w:tcPr>
          <w:p w:rsidR="00A94332" w:rsidRDefault="00F84128">
            <w:pPr>
              <w:pStyle w:val="TableParagraph"/>
              <w:spacing w:before="120"/>
              <w:ind w:left="103"/>
              <w:rPr>
                <w:sz w:val="20"/>
              </w:rPr>
            </w:pPr>
            <w:r>
              <w:rPr>
                <w:sz w:val="20"/>
              </w:rPr>
              <w:t>2020</w:t>
            </w:r>
          </w:p>
        </w:tc>
        <w:tc>
          <w:tcPr>
            <w:tcW w:w="4884" w:type="dxa"/>
          </w:tcPr>
          <w:p w:rsidR="00A94332" w:rsidRDefault="00F84128">
            <w:pPr>
              <w:pStyle w:val="TableParagraph"/>
              <w:spacing w:before="120"/>
              <w:ind w:left="82"/>
              <w:rPr>
                <w:sz w:val="20"/>
              </w:rPr>
            </w:pPr>
            <w:r>
              <w:rPr>
                <w:sz w:val="20"/>
              </w:rPr>
              <w:t>520 388,66</w:t>
            </w:r>
          </w:p>
        </w:tc>
      </w:tr>
    </w:tbl>
    <w:p w:rsidR="00A94332" w:rsidRDefault="00A94332">
      <w:pPr>
        <w:pStyle w:val="Zkladntext"/>
        <w:spacing w:before="5"/>
        <w:ind w:left="0"/>
        <w:rPr>
          <w:sz w:val="21"/>
        </w:rPr>
      </w:pPr>
    </w:p>
    <w:p w:rsidR="00A94332" w:rsidRDefault="00F84128">
      <w:pPr>
        <w:pStyle w:val="Odstavecseseznamem"/>
        <w:numPr>
          <w:ilvl w:val="0"/>
          <w:numId w:val="4"/>
        </w:numPr>
        <w:tabs>
          <w:tab w:val="left" w:pos="386"/>
        </w:tabs>
        <w:spacing w:before="100"/>
        <w:ind w:right="117" w:hanging="283"/>
        <w:jc w:val="left"/>
        <w:rPr>
          <w:sz w:val="20"/>
        </w:rPr>
      </w:pPr>
      <w:r>
        <w:rPr>
          <w:sz w:val="20"/>
        </w:rPr>
        <w:t>Fond</w:t>
      </w:r>
      <w:r>
        <w:rPr>
          <w:spacing w:val="-6"/>
          <w:sz w:val="20"/>
        </w:rPr>
        <w:t xml:space="preserve"> </w:t>
      </w:r>
      <w:r>
        <w:rPr>
          <w:sz w:val="20"/>
        </w:rPr>
        <w:t>není</w:t>
      </w:r>
      <w:r>
        <w:rPr>
          <w:spacing w:val="-7"/>
          <w:sz w:val="20"/>
        </w:rPr>
        <w:t xml:space="preserve"> </w:t>
      </w:r>
      <w:r>
        <w:rPr>
          <w:sz w:val="20"/>
        </w:rPr>
        <w:t>povinen</w:t>
      </w:r>
      <w:r>
        <w:rPr>
          <w:spacing w:val="-7"/>
          <w:sz w:val="20"/>
        </w:rPr>
        <w:t xml:space="preserve"> </w:t>
      </w:r>
      <w:r>
        <w:rPr>
          <w:sz w:val="20"/>
        </w:rPr>
        <w:t>poskytnout</w:t>
      </w:r>
      <w:r>
        <w:rPr>
          <w:spacing w:val="-7"/>
          <w:sz w:val="20"/>
        </w:rPr>
        <w:t xml:space="preserve"> </w:t>
      </w:r>
      <w:r>
        <w:rPr>
          <w:sz w:val="20"/>
        </w:rPr>
        <w:t>finanční</w:t>
      </w:r>
      <w:r>
        <w:rPr>
          <w:spacing w:val="-7"/>
          <w:sz w:val="20"/>
        </w:rPr>
        <w:t xml:space="preserve"> </w:t>
      </w:r>
      <w:r>
        <w:rPr>
          <w:sz w:val="20"/>
        </w:rPr>
        <w:t>prostředky</w:t>
      </w:r>
      <w:r>
        <w:rPr>
          <w:spacing w:val="-7"/>
          <w:sz w:val="20"/>
        </w:rPr>
        <w:t xml:space="preserve"> </w:t>
      </w:r>
      <w:r>
        <w:rPr>
          <w:sz w:val="20"/>
        </w:rPr>
        <w:t>dříve,</w:t>
      </w:r>
      <w:r>
        <w:rPr>
          <w:spacing w:val="-7"/>
          <w:sz w:val="20"/>
        </w:rPr>
        <w:t xml:space="preserve"> </w:t>
      </w:r>
      <w:r>
        <w:rPr>
          <w:sz w:val="20"/>
        </w:rPr>
        <w:t>než</w:t>
      </w:r>
      <w:r>
        <w:rPr>
          <w:spacing w:val="-6"/>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předloží</w:t>
      </w:r>
      <w:r>
        <w:rPr>
          <w:spacing w:val="-7"/>
          <w:sz w:val="20"/>
        </w:rPr>
        <w:t xml:space="preserve"> </w:t>
      </w:r>
      <w:r>
        <w:rPr>
          <w:sz w:val="20"/>
        </w:rPr>
        <w:t>prostřednictvím agendového</w:t>
      </w:r>
      <w:r>
        <w:rPr>
          <w:spacing w:val="22"/>
          <w:sz w:val="20"/>
        </w:rPr>
        <w:t xml:space="preserve"> </w:t>
      </w:r>
      <w:r>
        <w:rPr>
          <w:sz w:val="20"/>
        </w:rPr>
        <w:t>informačního</w:t>
      </w:r>
      <w:r>
        <w:rPr>
          <w:spacing w:val="22"/>
          <w:sz w:val="20"/>
        </w:rPr>
        <w:t xml:space="preserve"> </w:t>
      </w:r>
      <w:r>
        <w:rPr>
          <w:sz w:val="20"/>
        </w:rPr>
        <w:t>systému</w:t>
      </w:r>
      <w:r>
        <w:rPr>
          <w:spacing w:val="21"/>
          <w:sz w:val="20"/>
        </w:rPr>
        <w:t xml:space="preserve"> </w:t>
      </w:r>
      <w:r>
        <w:rPr>
          <w:sz w:val="20"/>
        </w:rPr>
        <w:t>Státního</w:t>
      </w:r>
      <w:r>
        <w:rPr>
          <w:spacing w:val="21"/>
          <w:sz w:val="20"/>
        </w:rPr>
        <w:t xml:space="preserve"> </w:t>
      </w:r>
      <w:r>
        <w:rPr>
          <w:sz w:val="20"/>
        </w:rPr>
        <w:t>fondu</w:t>
      </w:r>
      <w:r>
        <w:rPr>
          <w:spacing w:val="21"/>
          <w:sz w:val="20"/>
        </w:rPr>
        <w:t xml:space="preserve"> </w:t>
      </w:r>
      <w:r>
        <w:rPr>
          <w:sz w:val="20"/>
        </w:rPr>
        <w:t>životního</w:t>
      </w:r>
      <w:r>
        <w:rPr>
          <w:spacing w:val="21"/>
          <w:sz w:val="20"/>
        </w:rPr>
        <w:t xml:space="preserve"> </w:t>
      </w:r>
      <w:r>
        <w:rPr>
          <w:sz w:val="20"/>
        </w:rPr>
        <w:t>prostředí</w:t>
      </w:r>
      <w:r>
        <w:rPr>
          <w:spacing w:val="21"/>
          <w:sz w:val="20"/>
        </w:rPr>
        <w:t xml:space="preserve"> </w:t>
      </w:r>
      <w:r>
        <w:rPr>
          <w:sz w:val="20"/>
        </w:rPr>
        <w:t>České</w:t>
      </w:r>
      <w:r>
        <w:rPr>
          <w:spacing w:val="20"/>
          <w:sz w:val="20"/>
        </w:rPr>
        <w:t xml:space="preserve"> </w:t>
      </w:r>
      <w:r>
        <w:rPr>
          <w:sz w:val="20"/>
        </w:rPr>
        <w:t>republiky</w:t>
      </w:r>
      <w:r>
        <w:rPr>
          <w:spacing w:val="20"/>
          <w:sz w:val="20"/>
        </w:rPr>
        <w:t xml:space="preserve"> </w:t>
      </w:r>
      <w:r>
        <w:rPr>
          <w:sz w:val="20"/>
        </w:rPr>
        <w:t>(dále</w:t>
      </w:r>
      <w:r>
        <w:rPr>
          <w:spacing w:val="20"/>
          <w:sz w:val="20"/>
        </w:rPr>
        <w:t xml:space="preserve"> </w:t>
      </w:r>
      <w:r>
        <w:rPr>
          <w:sz w:val="20"/>
        </w:rPr>
        <w:t>jen</w:t>
      </w:r>
      <w:r>
        <w:rPr>
          <w:spacing w:val="21"/>
          <w:sz w:val="20"/>
        </w:rPr>
        <w:t xml:space="preserve"> </w:t>
      </w:r>
      <w:r>
        <w:rPr>
          <w:sz w:val="20"/>
        </w:rPr>
        <w:t>„AIS</w:t>
      </w:r>
    </w:p>
    <w:p w:rsidR="00A94332" w:rsidRDefault="00A94332">
      <w:pPr>
        <w:rPr>
          <w:sz w:val="20"/>
        </w:rPr>
        <w:sectPr w:rsidR="00A94332">
          <w:pgSz w:w="12240" w:h="15840"/>
          <w:pgMar w:top="1060" w:right="1020" w:bottom="1660" w:left="1600" w:header="0" w:footer="1460" w:gutter="0"/>
          <w:cols w:space="708"/>
        </w:sectPr>
      </w:pPr>
    </w:p>
    <w:p w:rsidR="00A94332" w:rsidRDefault="00F84128">
      <w:pPr>
        <w:pStyle w:val="Zkladntext"/>
        <w:spacing w:before="73"/>
        <w:ind w:left="525"/>
      </w:pPr>
      <w:r>
        <w:lastRenderedPageBreak/>
        <w:t>SFŽP ČR“) s každou žádostí o uvolnění finančních prostředků, viz bod 11, příslušné doklady prokazující oprávněnost vynaložených finančních prostředků.</w:t>
      </w:r>
    </w:p>
    <w:p w:rsidR="00A94332" w:rsidRDefault="00F84128">
      <w:pPr>
        <w:pStyle w:val="Odstavecseseznamem"/>
        <w:numPr>
          <w:ilvl w:val="0"/>
          <w:numId w:val="4"/>
        </w:numPr>
        <w:tabs>
          <w:tab w:val="left" w:pos="526"/>
        </w:tabs>
        <w:ind w:left="525" w:right="122" w:hanging="283"/>
        <w:jc w:val="both"/>
        <w:rPr>
          <w:sz w:val="20"/>
        </w:rPr>
      </w:pPr>
      <w:r>
        <w:rPr>
          <w:sz w:val="20"/>
        </w:rPr>
        <w:t>O prostředky nevyčerpané v daném roce či vrácené se zvýší finanční objem následujícího roku, pokud Fond t</w:t>
      </w:r>
      <w:r>
        <w:rPr>
          <w:sz w:val="20"/>
        </w:rPr>
        <w:t>ento převod</w:t>
      </w:r>
      <w:r>
        <w:rPr>
          <w:spacing w:val="-10"/>
          <w:sz w:val="20"/>
        </w:rPr>
        <w:t xml:space="preserve"> </w:t>
      </w:r>
      <w:r>
        <w:rPr>
          <w:sz w:val="20"/>
        </w:rPr>
        <w:t>akceptuje.</w:t>
      </w:r>
    </w:p>
    <w:p w:rsidR="00A94332" w:rsidRDefault="00F84128">
      <w:pPr>
        <w:pStyle w:val="Odstavecseseznamem"/>
        <w:numPr>
          <w:ilvl w:val="0"/>
          <w:numId w:val="4"/>
        </w:numPr>
        <w:tabs>
          <w:tab w:val="left" w:pos="526"/>
        </w:tabs>
        <w:ind w:left="525" w:right="111" w:hanging="283"/>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w:t>
      </w:r>
      <w:r>
        <w:rPr>
          <w:sz w:val="20"/>
        </w:rPr>
        <w:t>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A94332" w:rsidRDefault="00F84128">
      <w:pPr>
        <w:pStyle w:val="Odstavecseseznamem"/>
        <w:numPr>
          <w:ilvl w:val="0"/>
          <w:numId w:val="4"/>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3"/>
          <w:sz w:val="20"/>
        </w:rPr>
        <w:t xml:space="preserve"> </w:t>
      </w:r>
      <w:r>
        <w:rPr>
          <w:sz w:val="20"/>
        </w:rPr>
        <w:t>akce.</w:t>
      </w:r>
    </w:p>
    <w:p w:rsidR="00A94332" w:rsidRDefault="00F84128">
      <w:pPr>
        <w:pStyle w:val="Odstavecseseznamem"/>
        <w:numPr>
          <w:ilvl w:val="0"/>
          <w:numId w:val="4"/>
        </w:numPr>
        <w:tabs>
          <w:tab w:val="left" w:pos="526"/>
        </w:tabs>
        <w:ind w:left="525" w:right="116" w:hanging="283"/>
        <w:jc w:val="both"/>
        <w:rPr>
          <w:sz w:val="20"/>
        </w:rPr>
      </w:pPr>
      <w:r>
        <w:rPr>
          <w:sz w:val="20"/>
        </w:rPr>
        <w:t xml:space="preserve">Příjemce podpory je povinen z vlastních zdrojů uhradit veškeré výdaje akce přesahující výši poskytnuté podpory včetně výdajů připadajících na </w:t>
      </w:r>
      <w:r>
        <w:rPr>
          <w:sz w:val="20"/>
        </w:rPr>
        <w:t>nezpůsobilé výdaje</w:t>
      </w:r>
      <w:r>
        <w:rPr>
          <w:spacing w:val="-16"/>
          <w:sz w:val="20"/>
        </w:rPr>
        <w:t xml:space="preserve"> </w:t>
      </w:r>
      <w:r>
        <w:rPr>
          <w:sz w:val="20"/>
        </w:rPr>
        <w:t>projektu.</w:t>
      </w:r>
    </w:p>
    <w:p w:rsidR="00A94332" w:rsidRDefault="00F84128">
      <w:pPr>
        <w:pStyle w:val="Odstavecseseznamem"/>
        <w:numPr>
          <w:ilvl w:val="0"/>
          <w:numId w:val="4"/>
        </w:numPr>
        <w:tabs>
          <w:tab w:val="left" w:pos="526"/>
        </w:tabs>
        <w:spacing w:before="118"/>
        <w:ind w:left="525" w:right="116" w:hanging="283"/>
        <w:jc w:val="both"/>
        <w:rPr>
          <w:sz w:val="20"/>
        </w:rPr>
      </w:pPr>
      <w:r>
        <w:rPr>
          <w:sz w:val="20"/>
        </w:rPr>
        <w:t>Odlišnou výši financování z vlastních zdrojů příjemce podpory, které by znamenalo nižší podíl těchto vlastních zdrojů na celkových výdajích akce, může v jednotlivých letech povolit Fond v případě vážných důvodů na základě žádos</w:t>
      </w:r>
      <w:r>
        <w:rPr>
          <w:sz w:val="20"/>
        </w:rPr>
        <w:t>ti příjemce</w:t>
      </w:r>
      <w:r>
        <w:rPr>
          <w:spacing w:val="-13"/>
          <w:sz w:val="20"/>
        </w:rPr>
        <w:t xml:space="preserve"> </w:t>
      </w:r>
      <w:r>
        <w:rPr>
          <w:sz w:val="20"/>
        </w:rPr>
        <w:t>podpory.</w:t>
      </w:r>
    </w:p>
    <w:p w:rsidR="00A94332" w:rsidRDefault="00F84128">
      <w:pPr>
        <w:pStyle w:val="Odstavecseseznamem"/>
        <w:numPr>
          <w:ilvl w:val="0"/>
          <w:numId w:val="4"/>
        </w:numPr>
        <w:tabs>
          <w:tab w:val="left" w:pos="526"/>
        </w:tabs>
        <w:ind w:left="525" w:right="108" w:hanging="425"/>
        <w:jc w:val="both"/>
        <w:rPr>
          <w:sz w:val="20"/>
        </w:rPr>
      </w:pPr>
      <w:r>
        <w:rPr>
          <w:sz w:val="20"/>
        </w:rPr>
        <w:t>V</w:t>
      </w:r>
      <w:r>
        <w:rPr>
          <w:spacing w:val="-11"/>
          <w:sz w:val="20"/>
        </w:rPr>
        <w:t xml:space="preserve"> </w:t>
      </w:r>
      <w:r>
        <w:rPr>
          <w:sz w:val="20"/>
        </w:rPr>
        <w:t>průběhu</w:t>
      </w:r>
      <w:r>
        <w:rPr>
          <w:spacing w:val="-12"/>
          <w:sz w:val="20"/>
        </w:rPr>
        <w:t xml:space="preserve"> </w:t>
      </w:r>
      <w:r>
        <w:rPr>
          <w:sz w:val="20"/>
        </w:rPr>
        <w:t>roku</w:t>
      </w:r>
      <w:r>
        <w:rPr>
          <w:spacing w:val="-12"/>
          <w:sz w:val="20"/>
        </w:rPr>
        <w:t xml:space="preserve"> </w:t>
      </w:r>
      <w:r>
        <w:rPr>
          <w:sz w:val="20"/>
        </w:rPr>
        <w:t>bude</w:t>
      </w:r>
      <w:r>
        <w:rPr>
          <w:spacing w:val="-12"/>
          <w:sz w:val="20"/>
        </w:rPr>
        <w:t xml:space="preserve"> </w:t>
      </w:r>
      <w:r>
        <w:rPr>
          <w:sz w:val="20"/>
        </w:rPr>
        <w:t>Fond</w:t>
      </w:r>
      <w:r>
        <w:rPr>
          <w:spacing w:val="-9"/>
          <w:sz w:val="20"/>
        </w:rPr>
        <w:t xml:space="preserve"> </w:t>
      </w:r>
      <w:r>
        <w:rPr>
          <w:sz w:val="20"/>
        </w:rPr>
        <w:t>poskytovat</w:t>
      </w:r>
      <w:r>
        <w:rPr>
          <w:spacing w:val="-10"/>
          <w:sz w:val="20"/>
        </w:rPr>
        <w:t xml:space="preserve"> </w:t>
      </w:r>
      <w:r>
        <w:rPr>
          <w:sz w:val="20"/>
        </w:rPr>
        <w:t>podporu</w:t>
      </w:r>
      <w:r>
        <w:rPr>
          <w:spacing w:val="-11"/>
          <w:sz w:val="20"/>
        </w:rPr>
        <w:t xml:space="preserve"> </w:t>
      </w:r>
      <w:r>
        <w:rPr>
          <w:sz w:val="20"/>
        </w:rPr>
        <w:t>v</w:t>
      </w:r>
      <w:r>
        <w:rPr>
          <w:spacing w:val="-11"/>
          <w:sz w:val="20"/>
        </w:rPr>
        <w:t xml:space="preserve"> </w:t>
      </w:r>
      <w:r>
        <w:rPr>
          <w:sz w:val="20"/>
        </w:rPr>
        <w:t>závislosti</w:t>
      </w:r>
      <w:r>
        <w:rPr>
          <w:spacing w:val="-12"/>
          <w:sz w:val="20"/>
        </w:rPr>
        <w:t xml:space="preserve"> </w:t>
      </w:r>
      <w:r>
        <w:rPr>
          <w:sz w:val="20"/>
        </w:rPr>
        <w:t>na</w:t>
      </w:r>
      <w:r>
        <w:rPr>
          <w:spacing w:val="-12"/>
          <w:sz w:val="20"/>
        </w:rPr>
        <w:t xml:space="preserve"> </w:t>
      </w:r>
      <w:r>
        <w:rPr>
          <w:sz w:val="20"/>
        </w:rPr>
        <w:t>postupu</w:t>
      </w:r>
      <w:r>
        <w:rPr>
          <w:spacing w:val="-11"/>
          <w:sz w:val="20"/>
        </w:rPr>
        <w:t xml:space="preserve"> </w:t>
      </w:r>
      <w:r>
        <w:rPr>
          <w:sz w:val="20"/>
        </w:rPr>
        <w:t>realizace</w:t>
      </w:r>
      <w:r>
        <w:rPr>
          <w:spacing w:val="-13"/>
          <w:sz w:val="20"/>
        </w:rPr>
        <w:t xml:space="preserve"> </w:t>
      </w:r>
      <w:r>
        <w:rPr>
          <w:sz w:val="20"/>
        </w:rPr>
        <w:t>akce</w:t>
      </w:r>
      <w:r>
        <w:rPr>
          <w:spacing w:val="-10"/>
          <w:sz w:val="20"/>
        </w:rPr>
        <w:t xml:space="preserve"> </w:t>
      </w:r>
      <w:r>
        <w:rPr>
          <w:sz w:val="20"/>
        </w:rPr>
        <w:t>a</w:t>
      </w:r>
      <w:r>
        <w:rPr>
          <w:spacing w:val="-12"/>
          <w:sz w:val="20"/>
        </w:rPr>
        <w:t xml:space="preserve"> </w:t>
      </w:r>
      <w:r>
        <w:rPr>
          <w:sz w:val="20"/>
        </w:rPr>
        <w:t>plnění</w:t>
      </w:r>
      <w:r>
        <w:rPr>
          <w:spacing w:val="-12"/>
          <w:sz w:val="20"/>
        </w:rPr>
        <w:t xml:space="preserve"> </w:t>
      </w:r>
      <w:r>
        <w:rPr>
          <w:sz w:val="20"/>
        </w:rPr>
        <w:t>podmínek této Smlouvy. Konkrétní částky podpory budou poskytovány do úhrnné výše určené Smlouvou na dané období dle Fondem akceptovaného finanč</w:t>
      </w:r>
      <w:r>
        <w:rPr>
          <w:sz w:val="20"/>
        </w:rPr>
        <w:t>ně platebního kalendáře v AIS SFŽP ČR a na základě žádostí  o uvolnění finančních prostředků doručených Fondu příjemcem podpory prostřednictvím AIS SFŽP</w:t>
      </w:r>
      <w:r>
        <w:rPr>
          <w:spacing w:val="-24"/>
          <w:sz w:val="20"/>
        </w:rPr>
        <w:t xml:space="preserve"> </w:t>
      </w:r>
      <w:r>
        <w:rPr>
          <w:sz w:val="20"/>
        </w:rPr>
        <w:t>ČR.</w:t>
      </w:r>
    </w:p>
    <w:p w:rsidR="00A94332" w:rsidRDefault="00F84128">
      <w:pPr>
        <w:pStyle w:val="Odstavecseseznamem"/>
        <w:numPr>
          <w:ilvl w:val="0"/>
          <w:numId w:val="4"/>
        </w:numPr>
        <w:tabs>
          <w:tab w:val="left" w:pos="526"/>
        </w:tabs>
        <w:spacing w:before="118"/>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A94332" w:rsidRDefault="00F84128">
      <w:pPr>
        <w:pStyle w:val="Odstavecseseznamem"/>
        <w:numPr>
          <w:ilvl w:val="1"/>
          <w:numId w:val="4"/>
        </w:numPr>
        <w:tabs>
          <w:tab w:val="left" w:pos="809"/>
        </w:tabs>
        <w:ind w:hanging="357"/>
        <w:rPr>
          <w:sz w:val="20"/>
        </w:rPr>
      </w:pPr>
      <w:r>
        <w:rPr>
          <w:sz w:val="20"/>
        </w:rPr>
        <w:t>kopie faktur a ostatních ú</w:t>
      </w:r>
      <w:r>
        <w:rPr>
          <w:sz w:val="20"/>
        </w:rPr>
        <w:t>četních</w:t>
      </w:r>
      <w:r>
        <w:rPr>
          <w:spacing w:val="-15"/>
          <w:sz w:val="20"/>
        </w:rPr>
        <w:t xml:space="preserve"> </w:t>
      </w:r>
      <w:r>
        <w:rPr>
          <w:sz w:val="20"/>
        </w:rPr>
        <w:t>dokladů,</w:t>
      </w:r>
    </w:p>
    <w:p w:rsidR="00A94332" w:rsidRDefault="00F84128">
      <w:pPr>
        <w:pStyle w:val="Odstavecseseznamem"/>
        <w:numPr>
          <w:ilvl w:val="1"/>
          <w:numId w:val="4"/>
        </w:numPr>
        <w:tabs>
          <w:tab w:val="left" w:pos="809"/>
        </w:tabs>
        <w:ind w:right="115" w:hanging="357"/>
        <w:rPr>
          <w:sz w:val="20"/>
        </w:rPr>
      </w:pPr>
      <w:r>
        <w:rPr>
          <w:sz w:val="20"/>
        </w:rPr>
        <w:t>kopie bankovních výpisů dokladující uhrazení faktur zhotoviteli, případně doklady, že došlo ke skutečnému uhrazení výdajů, včetně souvisejících</w:t>
      </w:r>
      <w:r>
        <w:rPr>
          <w:spacing w:val="-15"/>
          <w:sz w:val="20"/>
        </w:rPr>
        <w:t xml:space="preserve"> </w:t>
      </w:r>
      <w:r>
        <w:rPr>
          <w:sz w:val="20"/>
        </w:rPr>
        <w:t>odvodů.</w:t>
      </w:r>
    </w:p>
    <w:p w:rsidR="00A94332" w:rsidRDefault="00F84128">
      <w:pPr>
        <w:pStyle w:val="Odstavecseseznamem"/>
        <w:numPr>
          <w:ilvl w:val="0"/>
          <w:numId w:val="4"/>
        </w:numPr>
        <w:tabs>
          <w:tab w:val="left" w:pos="526"/>
        </w:tabs>
        <w:ind w:left="525" w:right="111" w:hanging="425"/>
        <w:jc w:val="both"/>
        <w:rPr>
          <w:sz w:val="20"/>
        </w:rPr>
      </w:pPr>
      <w:r>
        <w:rPr>
          <w:sz w:val="20"/>
        </w:rPr>
        <w:t>Žádostí o uvolnění finančních prostředků a předložením kopií faktur příjemce podpory mj. potvrzuje, že předložené faktury odpovídají skutečným, účelně vynaloženým a způsobilým výdajům</w:t>
      </w:r>
      <w:r>
        <w:rPr>
          <w:spacing w:val="-19"/>
          <w:sz w:val="20"/>
        </w:rPr>
        <w:t xml:space="preserve"> </w:t>
      </w:r>
      <w:r>
        <w:rPr>
          <w:sz w:val="20"/>
        </w:rPr>
        <w:t>akce.</w:t>
      </w:r>
    </w:p>
    <w:p w:rsidR="00A94332" w:rsidRDefault="00F84128">
      <w:pPr>
        <w:pStyle w:val="Odstavecseseznamem"/>
        <w:numPr>
          <w:ilvl w:val="0"/>
          <w:numId w:val="4"/>
        </w:numPr>
        <w:tabs>
          <w:tab w:val="left" w:pos="526"/>
        </w:tabs>
        <w:spacing w:before="118"/>
        <w:ind w:left="525" w:right="111" w:hanging="425"/>
        <w:jc w:val="both"/>
        <w:rPr>
          <w:sz w:val="20"/>
        </w:rPr>
      </w:pPr>
      <w:r>
        <w:rPr>
          <w:sz w:val="20"/>
        </w:rPr>
        <w:t>Fondu mohou být předloženy faktury již uhrazené, neuhrazené či čás</w:t>
      </w:r>
      <w:r>
        <w:rPr>
          <w:sz w:val="20"/>
        </w:rPr>
        <w:t>tečně uhrazené; pokud příjemce podpory předloží Fondu neuhrazené nebo částečně uhrazené faktury, doloží příjemce podpory Fondu nejpozději do 10 kalendářních dnů od uvolnění finančních prostředků relevantní doklady prokazující uhrazení těchto faktur, včetně</w:t>
      </w:r>
      <w:r>
        <w:rPr>
          <w:sz w:val="20"/>
        </w:rPr>
        <w:t xml:space="preserve"> podílu vlastních zdrojů. Fond akceptuje předložení faktur i z roku předcházejícího uvolnění podpory, pokud fakturace odpovídá termínům realizace</w:t>
      </w:r>
      <w:r>
        <w:rPr>
          <w:spacing w:val="-20"/>
          <w:sz w:val="20"/>
        </w:rPr>
        <w:t xml:space="preserve"> </w:t>
      </w:r>
      <w:r>
        <w:rPr>
          <w:sz w:val="20"/>
        </w:rPr>
        <w:t>akce.</w:t>
      </w:r>
    </w:p>
    <w:p w:rsidR="00A94332" w:rsidRDefault="00F84128">
      <w:pPr>
        <w:pStyle w:val="Odstavecseseznamem"/>
        <w:numPr>
          <w:ilvl w:val="0"/>
          <w:numId w:val="4"/>
        </w:numPr>
        <w:tabs>
          <w:tab w:val="left" w:pos="526"/>
        </w:tabs>
        <w:ind w:left="525" w:right="119" w:hanging="425"/>
        <w:jc w:val="both"/>
        <w:rPr>
          <w:sz w:val="20"/>
        </w:rPr>
      </w:pPr>
      <w:r>
        <w:rPr>
          <w:sz w:val="20"/>
        </w:rPr>
        <w:t>Fond je oprávněn vydat pokyny, které mohou uvedený výčet náležitostí změnit, popřípadě rozšířit. Příjemc</w:t>
      </w:r>
      <w:r>
        <w:rPr>
          <w:sz w:val="20"/>
        </w:rPr>
        <w:t>e</w:t>
      </w:r>
      <w:r>
        <w:rPr>
          <w:spacing w:val="-3"/>
          <w:sz w:val="20"/>
        </w:rPr>
        <w:t xml:space="preserve"> </w:t>
      </w:r>
      <w:r>
        <w:rPr>
          <w:sz w:val="20"/>
        </w:rPr>
        <w:t>podpory</w:t>
      </w:r>
      <w:r>
        <w:rPr>
          <w:spacing w:val="-5"/>
          <w:sz w:val="20"/>
        </w:rPr>
        <w:t xml:space="preserve"> </w:t>
      </w:r>
      <w:r>
        <w:rPr>
          <w:sz w:val="20"/>
        </w:rPr>
        <w:t>je</w:t>
      </w:r>
      <w:r>
        <w:rPr>
          <w:spacing w:val="-5"/>
          <w:sz w:val="20"/>
        </w:rPr>
        <w:t xml:space="preserve"> </w:t>
      </w:r>
      <w:r>
        <w:rPr>
          <w:sz w:val="20"/>
        </w:rPr>
        <w:t>povinen</w:t>
      </w:r>
      <w:r>
        <w:rPr>
          <w:spacing w:val="-4"/>
          <w:sz w:val="20"/>
        </w:rPr>
        <w:t xml:space="preserve"> </w:t>
      </w:r>
      <w:r>
        <w:rPr>
          <w:sz w:val="20"/>
        </w:rPr>
        <w:t>takové</w:t>
      </w:r>
      <w:r>
        <w:rPr>
          <w:spacing w:val="-5"/>
          <w:sz w:val="20"/>
        </w:rPr>
        <w:t xml:space="preserve"> </w:t>
      </w:r>
      <w:r>
        <w:rPr>
          <w:sz w:val="20"/>
        </w:rPr>
        <w:t>pokyny</w:t>
      </w:r>
      <w:r>
        <w:rPr>
          <w:spacing w:val="-5"/>
          <w:sz w:val="20"/>
        </w:rPr>
        <w:t xml:space="preserve"> </w:t>
      </w:r>
      <w:r>
        <w:rPr>
          <w:sz w:val="20"/>
        </w:rPr>
        <w:t>vydané</w:t>
      </w:r>
      <w:r>
        <w:rPr>
          <w:spacing w:val="-5"/>
          <w:sz w:val="20"/>
        </w:rPr>
        <w:t xml:space="preserve"> </w:t>
      </w:r>
      <w:r>
        <w:rPr>
          <w:sz w:val="20"/>
        </w:rPr>
        <w:t>Fondem</w:t>
      </w:r>
      <w:r>
        <w:rPr>
          <w:spacing w:val="-6"/>
          <w:sz w:val="20"/>
        </w:rPr>
        <w:t xml:space="preserve"> </w:t>
      </w:r>
      <w:r>
        <w:rPr>
          <w:sz w:val="20"/>
        </w:rPr>
        <w:t>splnit.</w:t>
      </w:r>
      <w:r>
        <w:rPr>
          <w:spacing w:val="-3"/>
          <w:sz w:val="20"/>
        </w:rPr>
        <w:t xml:space="preserve"> </w:t>
      </w:r>
      <w:r>
        <w:rPr>
          <w:sz w:val="20"/>
        </w:rPr>
        <w:t>Tyto</w:t>
      </w:r>
      <w:r>
        <w:rPr>
          <w:spacing w:val="-4"/>
          <w:sz w:val="20"/>
        </w:rPr>
        <w:t xml:space="preserve"> </w:t>
      </w:r>
      <w:r>
        <w:rPr>
          <w:sz w:val="20"/>
        </w:rPr>
        <w:t>pokyny</w:t>
      </w:r>
      <w:r>
        <w:rPr>
          <w:spacing w:val="-3"/>
          <w:sz w:val="20"/>
        </w:rPr>
        <w:t xml:space="preserve"> </w:t>
      </w:r>
      <w:r>
        <w:rPr>
          <w:sz w:val="20"/>
        </w:rPr>
        <w:t>mohou</w:t>
      </w:r>
      <w:r>
        <w:rPr>
          <w:spacing w:val="-4"/>
          <w:sz w:val="20"/>
        </w:rPr>
        <w:t xml:space="preserve"> </w:t>
      </w:r>
      <w:r>
        <w:rPr>
          <w:sz w:val="20"/>
        </w:rPr>
        <w:t>být</w:t>
      </w:r>
      <w:r>
        <w:rPr>
          <w:spacing w:val="-5"/>
          <w:sz w:val="20"/>
        </w:rPr>
        <w:t xml:space="preserve"> </w:t>
      </w:r>
      <w:r>
        <w:rPr>
          <w:sz w:val="20"/>
        </w:rPr>
        <w:t>uvedeny</w:t>
      </w:r>
      <w:r>
        <w:rPr>
          <w:spacing w:val="-3"/>
          <w:sz w:val="20"/>
        </w:rPr>
        <w:t xml:space="preserve"> </w:t>
      </w:r>
      <w:r>
        <w:rPr>
          <w:sz w:val="20"/>
        </w:rPr>
        <w:t>na formuláři finančně platebního</w:t>
      </w:r>
      <w:r>
        <w:rPr>
          <w:spacing w:val="-10"/>
          <w:sz w:val="20"/>
        </w:rPr>
        <w:t xml:space="preserve"> </w:t>
      </w:r>
      <w:r>
        <w:rPr>
          <w:sz w:val="20"/>
        </w:rPr>
        <w:t>kalendáře.</w:t>
      </w:r>
    </w:p>
    <w:p w:rsidR="00A94332" w:rsidRDefault="00F84128">
      <w:pPr>
        <w:pStyle w:val="Odstavecseseznamem"/>
        <w:numPr>
          <w:ilvl w:val="0"/>
          <w:numId w:val="4"/>
        </w:numPr>
        <w:tabs>
          <w:tab w:val="left" w:pos="526"/>
        </w:tabs>
        <w:ind w:left="525" w:right="118" w:hanging="425"/>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w:t>
      </w:r>
      <w:r>
        <w:rPr>
          <w:sz w:val="20"/>
        </w:rPr>
        <w:t xml:space="preserve"> písm.</w:t>
      </w:r>
      <w:r>
        <w:rPr>
          <w:spacing w:val="-24"/>
          <w:sz w:val="20"/>
        </w:rPr>
        <w:t xml:space="preserve"> </w:t>
      </w:r>
      <w:r>
        <w:rPr>
          <w:sz w:val="20"/>
        </w:rPr>
        <w:t>c).</w:t>
      </w:r>
    </w:p>
    <w:p w:rsidR="00A94332" w:rsidRDefault="00F84128">
      <w:pPr>
        <w:pStyle w:val="Odstavecseseznamem"/>
        <w:numPr>
          <w:ilvl w:val="0"/>
          <w:numId w:val="4"/>
        </w:numPr>
        <w:tabs>
          <w:tab w:val="left" w:pos="526"/>
        </w:tabs>
        <w:spacing w:before="121"/>
        <w:ind w:left="525" w:right="114" w:hanging="425"/>
        <w:jc w:val="both"/>
        <w:rPr>
          <w:sz w:val="20"/>
        </w:rPr>
      </w:pPr>
      <w:r>
        <w:rPr>
          <w:sz w:val="20"/>
        </w:rPr>
        <w:t>Pokud bude akce nebo její část realizována svépomocí, pak je třeba Fondu předložit rozpis skutečných nezbytných</w:t>
      </w:r>
      <w:r>
        <w:rPr>
          <w:spacing w:val="-9"/>
          <w:sz w:val="20"/>
        </w:rPr>
        <w:t xml:space="preserve"> </w:t>
      </w:r>
      <w:r>
        <w:rPr>
          <w:sz w:val="20"/>
        </w:rPr>
        <w:t>nákladů</w:t>
      </w:r>
      <w:r>
        <w:rPr>
          <w:spacing w:val="-9"/>
          <w:sz w:val="20"/>
        </w:rPr>
        <w:t xml:space="preserve"> </w:t>
      </w:r>
      <w:r>
        <w:rPr>
          <w:sz w:val="20"/>
        </w:rPr>
        <w:t>vynaložených</w:t>
      </w:r>
      <w:r>
        <w:rPr>
          <w:spacing w:val="-9"/>
          <w:sz w:val="20"/>
        </w:rPr>
        <w:t xml:space="preserve"> </w:t>
      </w:r>
      <w:r>
        <w:rPr>
          <w:sz w:val="20"/>
        </w:rPr>
        <w:t>na</w:t>
      </w:r>
      <w:r>
        <w:rPr>
          <w:spacing w:val="-10"/>
          <w:sz w:val="20"/>
        </w:rPr>
        <w:t xml:space="preserve"> </w:t>
      </w:r>
      <w:r>
        <w:rPr>
          <w:sz w:val="20"/>
        </w:rPr>
        <w:t>provedené</w:t>
      </w:r>
      <w:r>
        <w:rPr>
          <w:spacing w:val="-10"/>
          <w:sz w:val="20"/>
        </w:rPr>
        <w:t xml:space="preserve"> </w:t>
      </w:r>
      <w:r>
        <w:rPr>
          <w:sz w:val="20"/>
        </w:rPr>
        <w:t>práce</w:t>
      </w:r>
      <w:r>
        <w:rPr>
          <w:spacing w:val="-8"/>
          <w:sz w:val="20"/>
        </w:rPr>
        <w:t xml:space="preserve"> </w:t>
      </w:r>
      <w:r>
        <w:rPr>
          <w:sz w:val="20"/>
        </w:rPr>
        <w:t>a</w:t>
      </w:r>
      <w:r>
        <w:rPr>
          <w:spacing w:val="-10"/>
          <w:sz w:val="20"/>
        </w:rPr>
        <w:t xml:space="preserve"> </w:t>
      </w:r>
      <w:r>
        <w:rPr>
          <w:sz w:val="20"/>
        </w:rPr>
        <w:t>spotřebu</w:t>
      </w:r>
      <w:r>
        <w:rPr>
          <w:spacing w:val="-6"/>
          <w:sz w:val="20"/>
        </w:rPr>
        <w:t xml:space="preserve"> </w:t>
      </w:r>
      <w:r>
        <w:rPr>
          <w:sz w:val="20"/>
        </w:rPr>
        <w:t>materiálu.</w:t>
      </w:r>
      <w:r>
        <w:rPr>
          <w:spacing w:val="-7"/>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je</w:t>
      </w:r>
      <w:r>
        <w:rPr>
          <w:spacing w:val="-10"/>
          <w:sz w:val="20"/>
        </w:rPr>
        <w:t xml:space="preserve"> </w:t>
      </w:r>
      <w:r>
        <w:rPr>
          <w:sz w:val="20"/>
        </w:rPr>
        <w:t>přitom povinen respektovat případné pokyny Fondu na</w:t>
      </w:r>
      <w:r>
        <w:rPr>
          <w:sz w:val="20"/>
        </w:rPr>
        <w:t xml:space="preserve"> prokázání uvedených nákladů odpovídajícími účetními doklady.</w:t>
      </w:r>
    </w:p>
    <w:p w:rsidR="00A94332" w:rsidRDefault="00F84128">
      <w:pPr>
        <w:pStyle w:val="Odstavecseseznamem"/>
        <w:numPr>
          <w:ilvl w:val="0"/>
          <w:numId w:val="4"/>
        </w:numPr>
        <w:tabs>
          <w:tab w:val="left" w:pos="526"/>
        </w:tabs>
        <w:ind w:left="525" w:right="118"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A94332" w:rsidRDefault="00A94332">
      <w:pPr>
        <w:jc w:val="both"/>
        <w:rPr>
          <w:sz w:val="20"/>
        </w:rPr>
        <w:sectPr w:rsidR="00A94332">
          <w:pgSz w:w="12240" w:h="15840"/>
          <w:pgMar w:top="1060" w:right="1020" w:bottom="1660" w:left="1460" w:header="0" w:footer="1460" w:gutter="0"/>
          <w:cols w:space="708"/>
        </w:sectPr>
      </w:pPr>
    </w:p>
    <w:p w:rsidR="00A94332" w:rsidRDefault="00A94332">
      <w:pPr>
        <w:pStyle w:val="Zkladntext"/>
        <w:spacing w:before="0"/>
        <w:ind w:left="0"/>
        <w:rPr>
          <w:sz w:val="26"/>
        </w:rPr>
      </w:pPr>
    </w:p>
    <w:p w:rsidR="00A94332" w:rsidRDefault="00A94332">
      <w:pPr>
        <w:pStyle w:val="Zkladntext"/>
        <w:spacing w:before="8"/>
        <w:ind w:left="0"/>
        <w:rPr>
          <w:sz w:val="37"/>
        </w:rPr>
      </w:pPr>
    </w:p>
    <w:p w:rsidR="00A94332" w:rsidRDefault="00F84128">
      <w:pPr>
        <w:pStyle w:val="Odstavecseseznamem"/>
        <w:numPr>
          <w:ilvl w:val="0"/>
          <w:numId w:val="3"/>
        </w:numPr>
        <w:tabs>
          <w:tab w:val="left" w:pos="386"/>
        </w:tabs>
        <w:spacing w:before="0"/>
        <w:ind w:hanging="283"/>
        <w:rPr>
          <w:sz w:val="20"/>
        </w:rPr>
      </w:pPr>
      <w:r>
        <w:rPr>
          <w:sz w:val="20"/>
        </w:rPr>
        <w:t>Příjemce</w:t>
      </w:r>
      <w:r>
        <w:rPr>
          <w:spacing w:val="-7"/>
          <w:sz w:val="20"/>
        </w:rPr>
        <w:t xml:space="preserve"> </w:t>
      </w:r>
      <w:r>
        <w:rPr>
          <w:sz w:val="20"/>
        </w:rPr>
        <w:t>podpory:</w:t>
      </w:r>
    </w:p>
    <w:p w:rsidR="00A94332" w:rsidRDefault="00F84128">
      <w:pPr>
        <w:spacing w:before="73"/>
        <w:ind w:left="80" w:right="2275"/>
        <w:jc w:val="center"/>
        <w:rPr>
          <w:b/>
          <w:sz w:val="20"/>
        </w:rPr>
      </w:pPr>
      <w:r>
        <w:br w:type="column"/>
      </w:r>
      <w:r>
        <w:rPr>
          <w:b/>
          <w:sz w:val="20"/>
        </w:rPr>
        <w:t>IV.</w:t>
      </w:r>
    </w:p>
    <w:p w:rsidR="00A94332" w:rsidRDefault="00F84128">
      <w:pPr>
        <w:pStyle w:val="Nadpis1"/>
        <w:ind w:left="80" w:right="2282"/>
      </w:pPr>
      <w:r>
        <w:t>Základní závazky a další povinnosti příjemce podpory</w:t>
      </w:r>
    </w:p>
    <w:p w:rsidR="00A94332" w:rsidRDefault="00A94332">
      <w:pPr>
        <w:sectPr w:rsidR="00A94332">
          <w:pgSz w:w="12240" w:h="15840"/>
          <w:pgMar w:top="1060" w:right="1020" w:bottom="1660" w:left="1600" w:header="0" w:footer="1460" w:gutter="0"/>
          <w:cols w:num="2" w:space="708" w:equalWidth="0">
            <w:col w:w="1987" w:space="202"/>
            <w:col w:w="7431"/>
          </w:cols>
        </w:sectPr>
      </w:pPr>
    </w:p>
    <w:p w:rsidR="00A94332" w:rsidRDefault="00F84128">
      <w:pPr>
        <w:pStyle w:val="Odstavecseseznamem"/>
        <w:numPr>
          <w:ilvl w:val="1"/>
          <w:numId w:val="3"/>
        </w:numPr>
        <w:tabs>
          <w:tab w:val="left" w:pos="669"/>
        </w:tabs>
        <w:ind w:hanging="283"/>
        <w:rPr>
          <w:sz w:val="20"/>
        </w:rPr>
      </w:pPr>
      <w:r>
        <w:rPr>
          <w:sz w:val="20"/>
        </w:rPr>
        <w:t>se zavazuje splnit účel akce tím,</w:t>
      </w:r>
      <w:r>
        <w:rPr>
          <w:spacing w:val="-10"/>
          <w:sz w:val="20"/>
        </w:rPr>
        <w:t xml:space="preserve"> </w:t>
      </w:r>
      <w:r>
        <w:rPr>
          <w:sz w:val="20"/>
        </w:rPr>
        <w:t>že:</w:t>
      </w:r>
    </w:p>
    <w:p w:rsidR="00A94332" w:rsidRDefault="00F84128">
      <w:pPr>
        <w:pStyle w:val="Odstavecseseznamem"/>
        <w:numPr>
          <w:ilvl w:val="2"/>
          <w:numId w:val="3"/>
        </w:numPr>
        <w:tabs>
          <w:tab w:val="left" w:pos="784"/>
        </w:tabs>
        <w:ind w:right="113" w:hanging="285"/>
        <w:rPr>
          <w:sz w:val="20"/>
        </w:rPr>
      </w:pPr>
      <w:r>
        <w:rPr>
          <w:sz w:val="20"/>
        </w:rPr>
        <w:t>akce bude provedena podle Fondem odsouhlaseného  energetického  posudku,  zpracovaného Ing. Vladimírem Novotným (10/2019), podle dokumentace</w:t>
      </w:r>
      <w:r>
        <w:rPr>
          <w:sz w:val="20"/>
        </w:rPr>
        <w:t xml:space="preserve"> žádosti ze dne 30. 10. 2019, podle dokumentace výběrového řízení včetně smlouvy o dílo se společností E.ON Energie a. s., E. A. Gerstnera 2151/6, 370 01 České Budějovice, IČO: 26078201 ze dne 2. 7. 2020, včetně případných změn a doplňků těchto dokumentů o</w:t>
      </w:r>
      <w:r>
        <w:rPr>
          <w:sz w:val="20"/>
        </w:rPr>
        <w:t>dsouhlasených</w:t>
      </w:r>
      <w:r>
        <w:rPr>
          <w:spacing w:val="-17"/>
          <w:sz w:val="20"/>
        </w:rPr>
        <w:t xml:space="preserve"> </w:t>
      </w:r>
      <w:r>
        <w:rPr>
          <w:sz w:val="20"/>
        </w:rPr>
        <w:t>Fondem,</w:t>
      </w:r>
    </w:p>
    <w:p w:rsidR="00A94332" w:rsidRDefault="00F84128">
      <w:pPr>
        <w:pStyle w:val="Odstavecseseznamem"/>
        <w:numPr>
          <w:ilvl w:val="2"/>
          <w:numId w:val="3"/>
        </w:numPr>
        <w:tabs>
          <w:tab w:val="left" w:pos="784"/>
        </w:tabs>
        <w:ind w:right="113" w:hanging="285"/>
        <w:rPr>
          <w:sz w:val="20"/>
        </w:rPr>
      </w:pPr>
      <w:r>
        <w:rPr>
          <w:sz w:val="20"/>
        </w:rPr>
        <w:t>provede výměnu 113 svítidel veřejného osvětlení a bude dosaženo energetické úspory ve výši 20,35</w:t>
      </w:r>
      <w:r>
        <w:rPr>
          <w:spacing w:val="-6"/>
          <w:sz w:val="20"/>
        </w:rPr>
        <w:t xml:space="preserve"> </w:t>
      </w:r>
      <w:r>
        <w:rPr>
          <w:sz w:val="20"/>
        </w:rPr>
        <w:t>MWh/rok,</w:t>
      </w:r>
    </w:p>
    <w:p w:rsidR="00A94332" w:rsidRDefault="00F84128">
      <w:pPr>
        <w:pStyle w:val="Odstavecseseznamem"/>
        <w:numPr>
          <w:ilvl w:val="2"/>
          <w:numId w:val="3"/>
        </w:numPr>
        <w:tabs>
          <w:tab w:val="left" w:pos="784"/>
        </w:tabs>
        <w:ind w:right="111" w:hanging="285"/>
        <w:rPr>
          <w:sz w:val="20"/>
        </w:rPr>
      </w:pPr>
      <w:r>
        <w:rPr>
          <w:sz w:val="20"/>
        </w:rPr>
        <w:t>akce bude provedena na soustavách veřejného osvětlení, jejichž vlastník vyslovil souhlas s realizací akce a  zajištěním  udržite</w:t>
      </w:r>
      <w:r>
        <w:rPr>
          <w:sz w:val="20"/>
        </w:rPr>
        <w:t>lnosti  akce  (včetně  následné  péče  a  údržby  realizovaného  opatření  a provádění kontroly podle písm. b) odrážky čtvrté) po dobu 5 let od ukončení realizace akce (příslušné doklady byly příjemcem podpory Fondu</w:t>
      </w:r>
      <w:r>
        <w:rPr>
          <w:spacing w:val="-15"/>
          <w:sz w:val="20"/>
        </w:rPr>
        <w:t xml:space="preserve"> </w:t>
      </w:r>
      <w:r>
        <w:rPr>
          <w:sz w:val="20"/>
        </w:rPr>
        <w:t>předány),</w:t>
      </w:r>
    </w:p>
    <w:p w:rsidR="00A94332" w:rsidRDefault="00F84128">
      <w:pPr>
        <w:pStyle w:val="Odstavecseseznamem"/>
        <w:numPr>
          <w:ilvl w:val="1"/>
          <w:numId w:val="3"/>
        </w:numPr>
        <w:tabs>
          <w:tab w:val="left" w:pos="669"/>
        </w:tabs>
        <w:ind w:hanging="283"/>
        <w:rPr>
          <w:sz w:val="20"/>
        </w:rPr>
      </w:pPr>
      <w:r>
        <w:rPr>
          <w:sz w:val="20"/>
        </w:rPr>
        <w:t>se zavazuje k tomu,</w:t>
      </w:r>
      <w:r>
        <w:rPr>
          <w:spacing w:val="-11"/>
          <w:sz w:val="20"/>
        </w:rPr>
        <w:t xml:space="preserve"> </w:t>
      </w:r>
      <w:r>
        <w:rPr>
          <w:sz w:val="20"/>
        </w:rPr>
        <w:t>že:</w:t>
      </w:r>
    </w:p>
    <w:p w:rsidR="00A94332" w:rsidRDefault="00F84128">
      <w:pPr>
        <w:pStyle w:val="Odstavecseseznamem"/>
        <w:numPr>
          <w:ilvl w:val="2"/>
          <w:numId w:val="3"/>
        </w:numPr>
        <w:tabs>
          <w:tab w:val="left" w:pos="783"/>
          <w:tab w:val="left" w:pos="784"/>
        </w:tabs>
        <w:ind w:hanging="285"/>
        <w:jc w:val="left"/>
        <w:rPr>
          <w:sz w:val="20"/>
        </w:rPr>
      </w:pPr>
      <w:r>
        <w:rPr>
          <w:sz w:val="20"/>
        </w:rPr>
        <w:t>bude d</w:t>
      </w:r>
      <w:r>
        <w:rPr>
          <w:sz w:val="20"/>
        </w:rPr>
        <w:t>održovat ustanovení Směrnice MŽP a</w:t>
      </w:r>
      <w:r>
        <w:rPr>
          <w:spacing w:val="-13"/>
          <w:sz w:val="20"/>
        </w:rPr>
        <w:t xml:space="preserve"> </w:t>
      </w:r>
      <w:r>
        <w:rPr>
          <w:sz w:val="20"/>
        </w:rPr>
        <w:t>Výzvy,</w:t>
      </w:r>
    </w:p>
    <w:p w:rsidR="00A94332" w:rsidRDefault="00F84128">
      <w:pPr>
        <w:pStyle w:val="Odstavecseseznamem"/>
        <w:numPr>
          <w:ilvl w:val="2"/>
          <w:numId w:val="3"/>
        </w:numPr>
        <w:tabs>
          <w:tab w:val="left" w:pos="784"/>
        </w:tabs>
        <w:ind w:right="113" w:hanging="285"/>
        <w:rPr>
          <w:sz w:val="20"/>
        </w:rPr>
      </w:pPr>
      <w:r>
        <w:rPr>
          <w:sz w:val="20"/>
        </w:rPr>
        <w:t>zabezpečí, že účel, pro který je poskytnuta podpora podle této Smlouvy, bude u relevantních</w:t>
      </w:r>
      <w:r>
        <w:rPr>
          <w:spacing w:val="-32"/>
          <w:sz w:val="20"/>
        </w:rPr>
        <w:t xml:space="preserve"> </w:t>
      </w:r>
      <w:r>
        <w:rPr>
          <w:sz w:val="20"/>
        </w:rPr>
        <w:t>aktivit a jejich výstupů řádně plněn po dobu 5 let od ukončení realizace</w:t>
      </w:r>
      <w:r>
        <w:rPr>
          <w:spacing w:val="-16"/>
          <w:sz w:val="20"/>
        </w:rPr>
        <w:t xml:space="preserve"> </w:t>
      </w:r>
      <w:r>
        <w:rPr>
          <w:sz w:val="20"/>
        </w:rPr>
        <w:t>akce,</w:t>
      </w:r>
    </w:p>
    <w:p w:rsidR="00A94332" w:rsidRDefault="00F84128">
      <w:pPr>
        <w:pStyle w:val="Odstavecseseznamem"/>
        <w:numPr>
          <w:ilvl w:val="2"/>
          <w:numId w:val="3"/>
        </w:numPr>
        <w:tabs>
          <w:tab w:val="left" w:pos="784"/>
        </w:tabs>
        <w:spacing w:before="118"/>
        <w:ind w:right="111" w:hanging="285"/>
        <w:rPr>
          <w:sz w:val="20"/>
        </w:rPr>
      </w:pPr>
      <w:r>
        <w:rPr>
          <w:sz w:val="20"/>
        </w:rPr>
        <w:t>bude</w:t>
      </w:r>
      <w:r>
        <w:rPr>
          <w:spacing w:val="-16"/>
          <w:sz w:val="20"/>
        </w:rPr>
        <w:t xml:space="preserve"> </w:t>
      </w:r>
      <w:r>
        <w:rPr>
          <w:sz w:val="20"/>
        </w:rPr>
        <w:t>veškeré</w:t>
      </w:r>
      <w:r>
        <w:rPr>
          <w:spacing w:val="-16"/>
          <w:sz w:val="20"/>
        </w:rPr>
        <w:t xml:space="preserve"> </w:t>
      </w:r>
      <w:r>
        <w:rPr>
          <w:sz w:val="20"/>
        </w:rPr>
        <w:t>výdaje</w:t>
      </w:r>
      <w:r>
        <w:rPr>
          <w:spacing w:val="-16"/>
          <w:sz w:val="20"/>
        </w:rPr>
        <w:t xml:space="preserve"> </w:t>
      </w:r>
      <w:r>
        <w:rPr>
          <w:sz w:val="20"/>
        </w:rPr>
        <w:t>akce</w:t>
      </w:r>
      <w:r>
        <w:rPr>
          <w:spacing w:val="-16"/>
          <w:sz w:val="20"/>
        </w:rPr>
        <w:t xml:space="preserve"> </w:t>
      </w:r>
      <w:r>
        <w:rPr>
          <w:sz w:val="20"/>
        </w:rPr>
        <w:t>vést</w:t>
      </w:r>
      <w:r>
        <w:rPr>
          <w:spacing w:val="-16"/>
          <w:sz w:val="20"/>
        </w:rPr>
        <w:t xml:space="preserve"> </w:t>
      </w:r>
      <w:r>
        <w:rPr>
          <w:sz w:val="20"/>
        </w:rPr>
        <w:t>v</w:t>
      </w:r>
      <w:r>
        <w:rPr>
          <w:spacing w:val="-1"/>
          <w:sz w:val="20"/>
        </w:rPr>
        <w:t xml:space="preserve"> </w:t>
      </w:r>
      <w:r>
        <w:rPr>
          <w:sz w:val="20"/>
        </w:rPr>
        <w:t>účetnictví</w:t>
      </w:r>
      <w:r>
        <w:rPr>
          <w:spacing w:val="-15"/>
          <w:sz w:val="20"/>
        </w:rPr>
        <w:t xml:space="preserve"> </w:t>
      </w:r>
      <w:r>
        <w:rPr>
          <w:sz w:val="20"/>
        </w:rPr>
        <w:t>nebo</w:t>
      </w:r>
      <w:r>
        <w:rPr>
          <w:spacing w:val="-14"/>
          <w:sz w:val="20"/>
        </w:rPr>
        <w:t xml:space="preserve"> </w:t>
      </w:r>
      <w:r>
        <w:rPr>
          <w:sz w:val="20"/>
        </w:rPr>
        <w:t>daňové</w:t>
      </w:r>
      <w:r>
        <w:rPr>
          <w:spacing w:val="-13"/>
          <w:sz w:val="20"/>
        </w:rPr>
        <w:t xml:space="preserve"> </w:t>
      </w:r>
      <w:r>
        <w:rPr>
          <w:sz w:val="20"/>
        </w:rPr>
        <w:t>evidenci</w:t>
      </w:r>
      <w:r>
        <w:rPr>
          <w:spacing w:val="-15"/>
          <w:sz w:val="20"/>
        </w:rPr>
        <w:t xml:space="preserve"> </w:t>
      </w:r>
      <w:r>
        <w:rPr>
          <w:sz w:val="20"/>
        </w:rPr>
        <w:t>(zákon</w:t>
      </w:r>
      <w:r>
        <w:rPr>
          <w:spacing w:val="-15"/>
          <w:sz w:val="20"/>
        </w:rPr>
        <w:t xml:space="preserve"> </w:t>
      </w:r>
      <w:r>
        <w:rPr>
          <w:sz w:val="20"/>
        </w:rPr>
        <w:t>č.</w:t>
      </w:r>
      <w:r>
        <w:rPr>
          <w:spacing w:val="-15"/>
          <w:sz w:val="20"/>
        </w:rPr>
        <w:t xml:space="preserve"> </w:t>
      </w:r>
      <w:r>
        <w:rPr>
          <w:sz w:val="20"/>
        </w:rPr>
        <w:t>563/1991</w:t>
      </w:r>
      <w:r>
        <w:rPr>
          <w:spacing w:val="-15"/>
          <w:sz w:val="20"/>
        </w:rPr>
        <w:t xml:space="preserve"> </w:t>
      </w:r>
      <w:r>
        <w:rPr>
          <w:sz w:val="20"/>
        </w:rPr>
        <w:t>Sb.,</w:t>
      </w:r>
      <w:r>
        <w:rPr>
          <w:spacing w:val="-15"/>
          <w:sz w:val="20"/>
        </w:rPr>
        <w:t xml:space="preserve"> </w:t>
      </w:r>
      <w:r>
        <w:rPr>
          <w:sz w:val="20"/>
        </w:rPr>
        <w:t>o</w:t>
      </w:r>
      <w:r>
        <w:rPr>
          <w:spacing w:val="2"/>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w:t>
      </w:r>
      <w:r>
        <w:rPr>
          <w:spacing w:val="-27"/>
          <w:sz w:val="20"/>
        </w:rPr>
        <w:t xml:space="preserve"> </w:t>
      </w:r>
      <w:r>
        <w:rPr>
          <w:sz w:val="20"/>
        </w:rPr>
        <w:t>transakcí, které s akcí nesouvisejí, a zavazuje se vést analytickou evidenci s vazbou k</w:t>
      </w:r>
      <w:r>
        <w:rPr>
          <w:spacing w:val="-27"/>
          <w:sz w:val="20"/>
        </w:rPr>
        <w:t xml:space="preserve"> </w:t>
      </w:r>
      <w:r>
        <w:rPr>
          <w:sz w:val="20"/>
        </w:rPr>
        <w:t>akci,</w:t>
      </w:r>
    </w:p>
    <w:p w:rsidR="00A94332" w:rsidRDefault="00F84128">
      <w:pPr>
        <w:pStyle w:val="Odstavecseseznamem"/>
        <w:numPr>
          <w:ilvl w:val="2"/>
          <w:numId w:val="3"/>
        </w:numPr>
        <w:tabs>
          <w:tab w:val="left" w:pos="784"/>
        </w:tabs>
        <w:ind w:right="114" w:hanging="285"/>
        <w:rPr>
          <w:sz w:val="20"/>
        </w:rPr>
      </w:pPr>
      <w:r>
        <w:rPr>
          <w:sz w:val="20"/>
        </w:rPr>
        <w:t>umožní provádět kontrolu provedení opatření na místě realizace včetně kontroly souvisejících dokumentů</w:t>
      </w:r>
      <w:r>
        <w:rPr>
          <w:spacing w:val="-5"/>
          <w:sz w:val="20"/>
        </w:rPr>
        <w:t xml:space="preserve"> </w:t>
      </w:r>
      <w:r>
        <w:rPr>
          <w:sz w:val="20"/>
        </w:rPr>
        <w:t>osobám</w:t>
      </w:r>
      <w:r>
        <w:rPr>
          <w:spacing w:val="-6"/>
          <w:sz w:val="20"/>
        </w:rPr>
        <w:t xml:space="preserve"> </w:t>
      </w:r>
      <w:r>
        <w:rPr>
          <w:sz w:val="20"/>
        </w:rPr>
        <w:t>pověřeným</w:t>
      </w:r>
      <w:r>
        <w:rPr>
          <w:spacing w:val="-6"/>
          <w:sz w:val="20"/>
        </w:rPr>
        <w:t xml:space="preserve"> </w:t>
      </w:r>
      <w:r>
        <w:rPr>
          <w:sz w:val="20"/>
        </w:rPr>
        <w:t>Fondem</w:t>
      </w:r>
      <w:r>
        <w:rPr>
          <w:spacing w:val="-6"/>
          <w:sz w:val="20"/>
        </w:rPr>
        <w:t xml:space="preserve"> </w:t>
      </w:r>
      <w:r>
        <w:rPr>
          <w:sz w:val="20"/>
        </w:rPr>
        <w:t>případně</w:t>
      </w:r>
      <w:r>
        <w:rPr>
          <w:spacing w:val="-5"/>
          <w:sz w:val="20"/>
        </w:rPr>
        <w:t xml:space="preserve"> </w:t>
      </w:r>
      <w:r>
        <w:rPr>
          <w:sz w:val="20"/>
        </w:rPr>
        <w:t>jiným</w:t>
      </w:r>
      <w:r>
        <w:rPr>
          <w:spacing w:val="-6"/>
          <w:sz w:val="20"/>
        </w:rPr>
        <w:t xml:space="preserve"> </w:t>
      </w:r>
      <w:r>
        <w:rPr>
          <w:sz w:val="20"/>
        </w:rPr>
        <w:t>oprávněným</w:t>
      </w:r>
      <w:r>
        <w:rPr>
          <w:spacing w:val="-6"/>
          <w:sz w:val="20"/>
        </w:rPr>
        <w:t xml:space="preserve"> </w:t>
      </w:r>
      <w:r>
        <w:rPr>
          <w:sz w:val="20"/>
        </w:rPr>
        <w:t>kontrolním</w:t>
      </w:r>
      <w:r>
        <w:rPr>
          <w:spacing w:val="-3"/>
          <w:sz w:val="20"/>
        </w:rPr>
        <w:t xml:space="preserve"> </w:t>
      </w:r>
      <w:r>
        <w:rPr>
          <w:sz w:val="20"/>
        </w:rPr>
        <w:t>orgánům,</w:t>
      </w:r>
      <w:r>
        <w:rPr>
          <w:spacing w:val="-3"/>
          <w:sz w:val="20"/>
        </w:rPr>
        <w:t xml:space="preserve"> </w:t>
      </w:r>
      <w:r>
        <w:rPr>
          <w:sz w:val="20"/>
        </w:rPr>
        <w:t>a</w:t>
      </w:r>
      <w:r>
        <w:rPr>
          <w:spacing w:val="-4"/>
          <w:sz w:val="20"/>
        </w:rPr>
        <w:t xml:space="preserve"> </w:t>
      </w:r>
      <w:r>
        <w:rPr>
          <w:sz w:val="20"/>
        </w:rPr>
        <w:t>to</w:t>
      </w:r>
      <w:r>
        <w:rPr>
          <w:spacing w:val="-4"/>
          <w:sz w:val="20"/>
        </w:rPr>
        <w:t xml:space="preserve"> </w:t>
      </w:r>
      <w:r>
        <w:rPr>
          <w:sz w:val="20"/>
        </w:rPr>
        <w:t>do konce udržitelnosti</w:t>
      </w:r>
      <w:r>
        <w:rPr>
          <w:spacing w:val="-10"/>
          <w:sz w:val="20"/>
        </w:rPr>
        <w:t xml:space="preserve"> </w:t>
      </w:r>
      <w:r>
        <w:rPr>
          <w:sz w:val="20"/>
        </w:rPr>
        <w:t>projektu,</w:t>
      </w:r>
    </w:p>
    <w:p w:rsidR="00A94332" w:rsidRDefault="00F84128">
      <w:pPr>
        <w:pStyle w:val="Odstavecseseznamem"/>
        <w:numPr>
          <w:ilvl w:val="2"/>
          <w:numId w:val="3"/>
        </w:numPr>
        <w:tabs>
          <w:tab w:val="left" w:pos="783"/>
          <w:tab w:val="left" w:pos="784"/>
        </w:tabs>
        <w:ind w:hanging="285"/>
        <w:jc w:val="left"/>
        <w:rPr>
          <w:sz w:val="20"/>
        </w:rPr>
      </w:pPr>
      <w:r>
        <w:rPr>
          <w:sz w:val="20"/>
        </w:rPr>
        <w:t>bude dodržovat pravidla publicity dle pokynů v článku 18</w:t>
      </w:r>
      <w:r>
        <w:rPr>
          <w:spacing w:val="-10"/>
          <w:sz w:val="20"/>
        </w:rPr>
        <w:t xml:space="preserve"> </w:t>
      </w:r>
      <w:r>
        <w:rPr>
          <w:sz w:val="20"/>
        </w:rPr>
        <w:t>Výzvy,</w:t>
      </w:r>
    </w:p>
    <w:p w:rsidR="00A94332" w:rsidRDefault="00F84128">
      <w:pPr>
        <w:pStyle w:val="Odstavecseseznamem"/>
        <w:numPr>
          <w:ilvl w:val="1"/>
          <w:numId w:val="3"/>
        </w:numPr>
        <w:tabs>
          <w:tab w:val="left" w:pos="669"/>
        </w:tabs>
        <w:ind w:hanging="283"/>
        <w:rPr>
          <w:sz w:val="20"/>
        </w:rPr>
      </w:pPr>
      <w:r>
        <w:rPr>
          <w:sz w:val="20"/>
        </w:rPr>
        <w:t>se zavazuje dodržet lhůty realizace</w:t>
      </w:r>
      <w:r>
        <w:rPr>
          <w:spacing w:val="-13"/>
          <w:sz w:val="20"/>
        </w:rPr>
        <w:t xml:space="preserve"> </w:t>
      </w:r>
      <w:r>
        <w:rPr>
          <w:sz w:val="20"/>
        </w:rPr>
        <w:t>takto:</w:t>
      </w:r>
    </w:p>
    <w:p w:rsidR="00A94332" w:rsidRDefault="00F84128">
      <w:pPr>
        <w:pStyle w:val="Odstavecseseznamem"/>
        <w:numPr>
          <w:ilvl w:val="2"/>
          <w:numId w:val="3"/>
        </w:numPr>
        <w:tabs>
          <w:tab w:val="left" w:pos="784"/>
        </w:tabs>
        <w:ind w:right="115" w:hanging="285"/>
        <w:rPr>
          <w:sz w:val="20"/>
        </w:rPr>
      </w:pPr>
      <w:r>
        <w:rPr>
          <w:sz w:val="20"/>
        </w:rPr>
        <w:t>termín dokončení akce do konce 12/2020 a o dodržení tohoto termínu Fond bez zbytečného odkl</w:t>
      </w:r>
      <w:r>
        <w:rPr>
          <w:sz w:val="20"/>
        </w:rPr>
        <w:t>adu</w:t>
      </w:r>
      <w:r>
        <w:rPr>
          <w:spacing w:val="-5"/>
          <w:sz w:val="20"/>
        </w:rPr>
        <w:t xml:space="preserve"> </w:t>
      </w:r>
      <w:r>
        <w:rPr>
          <w:sz w:val="20"/>
        </w:rPr>
        <w:t>informovat</w:t>
      </w:r>
      <w:r>
        <w:rPr>
          <w:spacing w:val="-6"/>
          <w:sz w:val="20"/>
        </w:rPr>
        <w:t xml:space="preserve"> </w:t>
      </w:r>
      <w:r>
        <w:rPr>
          <w:sz w:val="20"/>
        </w:rPr>
        <w:t>(za</w:t>
      </w:r>
      <w:r>
        <w:rPr>
          <w:spacing w:val="-6"/>
          <w:sz w:val="20"/>
        </w:rPr>
        <w:t xml:space="preserve"> </w:t>
      </w:r>
      <w:r>
        <w:rPr>
          <w:sz w:val="20"/>
        </w:rPr>
        <w:t>termín</w:t>
      </w:r>
      <w:r>
        <w:rPr>
          <w:spacing w:val="-6"/>
          <w:sz w:val="20"/>
        </w:rPr>
        <w:t xml:space="preserve"> </w:t>
      </w:r>
      <w:r>
        <w:rPr>
          <w:sz w:val="20"/>
        </w:rPr>
        <w:t>ukončení</w:t>
      </w:r>
      <w:r>
        <w:rPr>
          <w:spacing w:val="-6"/>
          <w:sz w:val="20"/>
        </w:rPr>
        <w:t xml:space="preserve"> </w:t>
      </w:r>
      <w:r>
        <w:rPr>
          <w:sz w:val="20"/>
        </w:rPr>
        <w:t>projektu</w:t>
      </w:r>
      <w:r>
        <w:rPr>
          <w:spacing w:val="-6"/>
          <w:sz w:val="20"/>
        </w:rPr>
        <w:t xml:space="preserve"> </w:t>
      </w:r>
      <w:r>
        <w:rPr>
          <w:sz w:val="20"/>
        </w:rPr>
        <w:t>se</w:t>
      </w:r>
      <w:r>
        <w:rPr>
          <w:spacing w:val="-6"/>
          <w:sz w:val="20"/>
        </w:rPr>
        <w:t xml:space="preserve"> </w:t>
      </w:r>
      <w:r>
        <w:rPr>
          <w:sz w:val="20"/>
        </w:rPr>
        <w:t>považuje</w:t>
      </w:r>
      <w:r>
        <w:rPr>
          <w:spacing w:val="-7"/>
          <w:sz w:val="20"/>
        </w:rPr>
        <w:t xml:space="preserve"> </w:t>
      </w:r>
      <w:r>
        <w:rPr>
          <w:sz w:val="20"/>
        </w:rPr>
        <w:t>datum</w:t>
      </w:r>
      <w:r>
        <w:rPr>
          <w:spacing w:val="-7"/>
          <w:sz w:val="20"/>
        </w:rPr>
        <w:t xml:space="preserve"> </w:t>
      </w:r>
      <w:r>
        <w:rPr>
          <w:sz w:val="20"/>
        </w:rPr>
        <w:t>protokolu</w:t>
      </w:r>
      <w:r>
        <w:rPr>
          <w:spacing w:val="-6"/>
          <w:sz w:val="20"/>
        </w:rPr>
        <w:t xml:space="preserve"> </w:t>
      </w:r>
      <w:r>
        <w:rPr>
          <w:sz w:val="20"/>
        </w:rPr>
        <w:t>o</w:t>
      </w:r>
      <w:r>
        <w:rPr>
          <w:spacing w:val="-7"/>
          <w:sz w:val="20"/>
        </w:rPr>
        <w:t xml:space="preserve"> </w:t>
      </w:r>
      <w:r>
        <w:rPr>
          <w:sz w:val="20"/>
        </w:rPr>
        <w:t>předání</w:t>
      </w:r>
      <w:r>
        <w:rPr>
          <w:spacing w:val="-6"/>
          <w:sz w:val="20"/>
        </w:rPr>
        <w:t xml:space="preserve"> </w:t>
      </w:r>
      <w:r>
        <w:rPr>
          <w:sz w:val="20"/>
        </w:rPr>
        <w:t>a</w:t>
      </w:r>
      <w:r>
        <w:rPr>
          <w:spacing w:val="-6"/>
          <w:sz w:val="20"/>
        </w:rPr>
        <w:t xml:space="preserve"> </w:t>
      </w:r>
      <w:r>
        <w:rPr>
          <w:sz w:val="20"/>
        </w:rPr>
        <w:t>převzetí díla u relevantních aktivit). Přitom se konstatuje, že akce byla zahájena v</w:t>
      </w:r>
      <w:r>
        <w:rPr>
          <w:spacing w:val="-17"/>
          <w:sz w:val="20"/>
        </w:rPr>
        <w:t xml:space="preserve"> </w:t>
      </w:r>
      <w:r>
        <w:rPr>
          <w:sz w:val="20"/>
        </w:rPr>
        <w:t>10/2019,</w:t>
      </w:r>
    </w:p>
    <w:p w:rsidR="00A94332" w:rsidRDefault="00F84128">
      <w:pPr>
        <w:pStyle w:val="Odstavecseseznamem"/>
        <w:numPr>
          <w:ilvl w:val="1"/>
          <w:numId w:val="3"/>
        </w:numPr>
        <w:tabs>
          <w:tab w:val="left" w:pos="669"/>
        </w:tabs>
        <w:spacing w:before="118"/>
        <w:ind w:right="113" w:hanging="283"/>
        <w:rPr>
          <w:sz w:val="20"/>
        </w:rPr>
      </w:pPr>
      <w:r>
        <w:rPr>
          <w:sz w:val="20"/>
        </w:rPr>
        <w:t>se zavazuje nejpozději do 13 měsíců od ukončení realizace akce předložit prost</w:t>
      </w:r>
      <w:r>
        <w:rPr>
          <w:sz w:val="20"/>
        </w:rPr>
        <w:t>řednictvím AIS SFŽP ČR Fondu tyto podklady k závěrečnému vyhodnocení akce (dále jen</w:t>
      </w:r>
      <w:r>
        <w:rPr>
          <w:spacing w:val="-17"/>
          <w:sz w:val="20"/>
        </w:rPr>
        <w:t xml:space="preserve"> </w:t>
      </w:r>
      <w:r>
        <w:rPr>
          <w:sz w:val="20"/>
        </w:rPr>
        <w:t>„ZVA"):</w:t>
      </w:r>
    </w:p>
    <w:p w:rsidR="00A94332" w:rsidRDefault="00F84128">
      <w:pPr>
        <w:pStyle w:val="Odstavecseseznamem"/>
        <w:numPr>
          <w:ilvl w:val="2"/>
          <w:numId w:val="3"/>
        </w:numPr>
        <w:tabs>
          <w:tab w:val="left" w:pos="783"/>
          <w:tab w:val="left" w:pos="784"/>
        </w:tabs>
        <w:ind w:hanging="285"/>
        <w:jc w:val="left"/>
        <w:rPr>
          <w:sz w:val="20"/>
        </w:rPr>
      </w:pPr>
      <w:r>
        <w:rPr>
          <w:sz w:val="20"/>
        </w:rPr>
        <w:t>protokol o předání a převzetí</w:t>
      </w:r>
      <w:r>
        <w:rPr>
          <w:spacing w:val="-10"/>
          <w:sz w:val="20"/>
        </w:rPr>
        <w:t xml:space="preserve"> </w:t>
      </w:r>
      <w:r>
        <w:rPr>
          <w:sz w:val="20"/>
        </w:rPr>
        <w:t>díla,</w:t>
      </w:r>
    </w:p>
    <w:p w:rsidR="00A94332" w:rsidRDefault="00F84128">
      <w:pPr>
        <w:pStyle w:val="Odstavecseseznamem"/>
        <w:numPr>
          <w:ilvl w:val="2"/>
          <w:numId w:val="3"/>
        </w:numPr>
        <w:tabs>
          <w:tab w:val="left" w:pos="783"/>
          <w:tab w:val="left" w:pos="784"/>
        </w:tabs>
        <w:ind w:hanging="285"/>
        <w:jc w:val="left"/>
        <w:rPr>
          <w:sz w:val="20"/>
        </w:rPr>
      </w:pPr>
      <w:r>
        <w:rPr>
          <w:sz w:val="20"/>
        </w:rPr>
        <w:t>doklad o zahájení realizace</w:t>
      </w:r>
      <w:r>
        <w:rPr>
          <w:spacing w:val="-13"/>
          <w:sz w:val="20"/>
        </w:rPr>
        <w:t xml:space="preserve"> </w:t>
      </w:r>
      <w:r>
        <w:rPr>
          <w:sz w:val="20"/>
        </w:rPr>
        <w:t>akce,</w:t>
      </w:r>
    </w:p>
    <w:p w:rsidR="00A94332" w:rsidRDefault="00F84128">
      <w:pPr>
        <w:pStyle w:val="Odstavecseseznamem"/>
        <w:numPr>
          <w:ilvl w:val="2"/>
          <w:numId w:val="3"/>
        </w:numPr>
        <w:tabs>
          <w:tab w:val="left" w:pos="783"/>
          <w:tab w:val="left" w:pos="784"/>
        </w:tabs>
        <w:spacing w:before="121"/>
        <w:ind w:hanging="285"/>
        <w:jc w:val="left"/>
        <w:rPr>
          <w:sz w:val="20"/>
        </w:rPr>
      </w:pPr>
      <w:r>
        <w:rPr>
          <w:sz w:val="20"/>
        </w:rPr>
        <w:t>stručnou závěrečnou zprávu o realizaci</w:t>
      </w:r>
      <w:r>
        <w:rPr>
          <w:spacing w:val="-11"/>
          <w:sz w:val="20"/>
        </w:rPr>
        <w:t xml:space="preserve"> </w:t>
      </w:r>
      <w:r>
        <w:rPr>
          <w:sz w:val="20"/>
        </w:rPr>
        <w:t>projektu,</w:t>
      </w:r>
    </w:p>
    <w:p w:rsidR="00A94332" w:rsidRDefault="00F84128">
      <w:pPr>
        <w:pStyle w:val="Odstavecseseznamem"/>
        <w:numPr>
          <w:ilvl w:val="2"/>
          <w:numId w:val="3"/>
        </w:numPr>
        <w:tabs>
          <w:tab w:val="left" w:pos="784"/>
        </w:tabs>
        <w:ind w:right="119" w:hanging="285"/>
        <w:rPr>
          <w:sz w:val="20"/>
        </w:rPr>
      </w:pPr>
      <w:r>
        <w:rPr>
          <w:sz w:val="20"/>
        </w:rPr>
        <w:t>protokol o ověření osvětlenosti pozemních komunikací a dalších výzvou požadovaných parametrů vypracovaný dle metodického</w:t>
      </w:r>
      <w:r>
        <w:rPr>
          <w:spacing w:val="-11"/>
          <w:sz w:val="20"/>
        </w:rPr>
        <w:t xml:space="preserve"> </w:t>
      </w:r>
      <w:r>
        <w:rPr>
          <w:sz w:val="20"/>
        </w:rPr>
        <w:t>pokynu,</w:t>
      </w:r>
    </w:p>
    <w:p w:rsidR="00A94332" w:rsidRDefault="00F84128">
      <w:pPr>
        <w:pStyle w:val="Odstavecseseznamem"/>
        <w:numPr>
          <w:ilvl w:val="2"/>
          <w:numId w:val="3"/>
        </w:numPr>
        <w:tabs>
          <w:tab w:val="left" w:pos="783"/>
          <w:tab w:val="left" w:pos="784"/>
        </w:tabs>
        <w:spacing w:before="118"/>
        <w:ind w:hanging="285"/>
        <w:jc w:val="left"/>
        <w:rPr>
          <w:sz w:val="20"/>
        </w:rPr>
      </w:pPr>
      <w:r>
        <w:rPr>
          <w:sz w:val="20"/>
        </w:rPr>
        <w:t>posouzení reálně dosažených úspor energie po jednom roce</w:t>
      </w:r>
      <w:r>
        <w:rPr>
          <w:spacing w:val="-15"/>
          <w:sz w:val="20"/>
        </w:rPr>
        <w:t xml:space="preserve"> </w:t>
      </w:r>
      <w:r>
        <w:rPr>
          <w:sz w:val="20"/>
        </w:rPr>
        <w:t>provozu.</w:t>
      </w:r>
    </w:p>
    <w:p w:rsidR="00A94332" w:rsidRDefault="00A94332">
      <w:pPr>
        <w:rPr>
          <w:sz w:val="20"/>
        </w:rPr>
        <w:sectPr w:rsidR="00A94332">
          <w:type w:val="continuous"/>
          <w:pgSz w:w="12240" w:h="15840"/>
          <w:pgMar w:top="1480" w:right="1020" w:bottom="1660" w:left="1600" w:header="708" w:footer="708" w:gutter="0"/>
          <w:cols w:space="708"/>
        </w:sectPr>
      </w:pPr>
    </w:p>
    <w:p w:rsidR="00A94332" w:rsidRDefault="00F84128">
      <w:pPr>
        <w:pStyle w:val="Zkladntext"/>
        <w:spacing w:before="73"/>
        <w:ind w:right="110"/>
        <w:jc w:val="both"/>
      </w:pPr>
      <w:r>
        <w:lastRenderedPageBreak/>
        <w:t>K ZVA může Fond vydat závazné pokyny (či požádat o informace), které mohou jeho obsah blíže specifikovat či rozšířit. Příjemce podpory je povinen tyto pokyny (žádost o informace) bez zbytečného odkladu</w:t>
      </w:r>
      <w:r>
        <w:rPr>
          <w:spacing w:val="-9"/>
        </w:rPr>
        <w:t xml:space="preserve"> </w:t>
      </w:r>
      <w:r>
        <w:t>(případně</w:t>
      </w:r>
      <w:r>
        <w:rPr>
          <w:spacing w:val="-10"/>
        </w:rPr>
        <w:t xml:space="preserve"> </w:t>
      </w:r>
      <w:r>
        <w:t>ve</w:t>
      </w:r>
      <w:r>
        <w:rPr>
          <w:spacing w:val="-10"/>
        </w:rPr>
        <w:t xml:space="preserve"> </w:t>
      </w:r>
      <w:r>
        <w:t>lhůtě</w:t>
      </w:r>
      <w:r>
        <w:rPr>
          <w:spacing w:val="-10"/>
        </w:rPr>
        <w:t xml:space="preserve"> </w:t>
      </w:r>
      <w:r>
        <w:t>stanovené</w:t>
      </w:r>
      <w:r>
        <w:rPr>
          <w:spacing w:val="-10"/>
        </w:rPr>
        <w:t xml:space="preserve"> </w:t>
      </w:r>
      <w:r>
        <w:t>Fondem)</w:t>
      </w:r>
      <w:r>
        <w:rPr>
          <w:spacing w:val="-9"/>
        </w:rPr>
        <w:t xml:space="preserve"> </w:t>
      </w:r>
      <w:r>
        <w:t>splnit.</w:t>
      </w:r>
      <w:r>
        <w:rPr>
          <w:spacing w:val="-10"/>
        </w:rPr>
        <w:t xml:space="preserve"> </w:t>
      </w:r>
      <w:r>
        <w:t>Fond</w:t>
      </w:r>
      <w:r>
        <w:rPr>
          <w:spacing w:val="-9"/>
        </w:rPr>
        <w:t xml:space="preserve"> </w:t>
      </w:r>
      <w:r>
        <w:t>není</w:t>
      </w:r>
      <w:r>
        <w:rPr>
          <w:spacing w:val="-9"/>
        </w:rPr>
        <w:t xml:space="preserve"> </w:t>
      </w:r>
      <w:r>
        <w:t>povinen</w:t>
      </w:r>
      <w:r>
        <w:rPr>
          <w:spacing w:val="-10"/>
        </w:rPr>
        <w:t xml:space="preserve"> </w:t>
      </w:r>
      <w:r>
        <w:t>vydat</w:t>
      </w:r>
      <w:r>
        <w:rPr>
          <w:spacing w:val="-10"/>
        </w:rPr>
        <w:t xml:space="preserve"> </w:t>
      </w:r>
      <w:r>
        <w:t>protokol</w:t>
      </w:r>
      <w:r>
        <w:rPr>
          <w:spacing w:val="-9"/>
        </w:rPr>
        <w:t xml:space="preserve"> </w:t>
      </w:r>
      <w:r>
        <w:t>o</w:t>
      </w:r>
      <w:r>
        <w:rPr>
          <w:spacing w:val="-5"/>
        </w:rPr>
        <w:t xml:space="preserve"> </w:t>
      </w:r>
      <w:r>
        <w:t>ZVA</w:t>
      </w:r>
      <w:r>
        <w:rPr>
          <w:spacing w:val="-8"/>
        </w:rPr>
        <w:t xml:space="preserve"> </w:t>
      </w:r>
      <w:r>
        <w:t>dříve</w:t>
      </w:r>
      <w:r>
        <w:rPr>
          <w:spacing w:val="-10"/>
        </w:rPr>
        <w:t xml:space="preserve"> </w:t>
      </w:r>
      <w:r>
        <w:t>než obdrží veškeré požadované podklady a informace, na základě kterých bude moci jednoznačně rozhodnout o plnění podmínek této Smlouvy a rovněž v případě, že příjemce podpory je v prodlení       s plněním finančních záva</w:t>
      </w:r>
      <w:r>
        <w:t>zků vůči Fondu. Protokol o ZVA bude obsahovat vypořádání čerpaných prostředků a vyhodnocení plnění smluvních</w:t>
      </w:r>
      <w:r>
        <w:rPr>
          <w:spacing w:val="-16"/>
        </w:rPr>
        <w:t xml:space="preserve"> </w:t>
      </w:r>
      <w:r>
        <w:t>podmínek.</w:t>
      </w:r>
    </w:p>
    <w:p w:rsidR="00A94332" w:rsidRDefault="00F84128">
      <w:pPr>
        <w:pStyle w:val="Odstavecseseznamem"/>
        <w:numPr>
          <w:ilvl w:val="0"/>
          <w:numId w:val="3"/>
        </w:numPr>
        <w:tabs>
          <w:tab w:val="left" w:pos="386"/>
        </w:tabs>
        <w:spacing w:before="118"/>
        <w:ind w:hanging="283"/>
        <w:rPr>
          <w:sz w:val="20"/>
        </w:rPr>
      </w:pPr>
      <w:r>
        <w:rPr>
          <w:sz w:val="20"/>
        </w:rPr>
        <w:t>Příjemce podpory je dále</w:t>
      </w:r>
      <w:r>
        <w:rPr>
          <w:spacing w:val="-10"/>
          <w:sz w:val="20"/>
        </w:rPr>
        <w:t xml:space="preserve"> </w:t>
      </w:r>
      <w:r>
        <w:rPr>
          <w:sz w:val="20"/>
        </w:rPr>
        <w:t>povinen:</w:t>
      </w:r>
    </w:p>
    <w:p w:rsidR="00A94332" w:rsidRDefault="00F84128">
      <w:pPr>
        <w:pStyle w:val="Odstavecseseznamem"/>
        <w:numPr>
          <w:ilvl w:val="1"/>
          <w:numId w:val="3"/>
        </w:numPr>
        <w:tabs>
          <w:tab w:val="left" w:pos="669"/>
        </w:tabs>
        <w:ind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A94332" w:rsidRDefault="00F84128">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A94332" w:rsidRDefault="00F84128">
      <w:pPr>
        <w:pStyle w:val="Odstavecseseznamem"/>
        <w:numPr>
          <w:ilvl w:val="1"/>
          <w:numId w:val="3"/>
        </w:numPr>
        <w:tabs>
          <w:tab w:val="left" w:pos="669"/>
        </w:tabs>
        <w:spacing w:before="118"/>
        <w:ind w:right="111"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w:t>
      </w:r>
      <w:r>
        <w:rPr>
          <w:sz w:val="20"/>
        </w:rPr>
        <w:t>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1"/>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A94332" w:rsidRDefault="00F84128">
      <w:pPr>
        <w:pStyle w:val="Odstavecseseznamem"/>
        <w:numPr>
          <w:ilvl w:val="1"/>
          <w:numId w:val="3"/>
        </w:numPr>
        <w:tabs>
          <w:tab w:val="left" w:pos="669"/>
        </w:tabs>
        <w:ind w:right="112" w:hanging="283"/>
        <w:jc w:val="both"/>
        <w:rPr>
          <w:sz w:val="20"/>
        </w:rPr>
      </w:pPr>
      <w:r>
        <w:rPr>
          <w:sz w:val="20"/>
        </w:rPr>
        <w:t>vrátit odpovídající část podpory v případě, že DPH bude zahrnuta do způsobilých výdajů akce           a příjemce podpory má nebo mu vznikne nárok</w:t>
      </w:r>
      <w:r>
        <w:rPr>
          <w:sz w:val="20"/>
        </w:rPr>
        <w:t xml:space="preserve"> na odpočet DPH, a to bez ohledu na to, </w:t>
      </w:r>
      <w:r>
        <w:rPr>
          <w:spacing w:val="3"/>
          <w:sz w:val="20"/>
        </w:rPr>
        <w:t xml:space="preserve">zda </w:t>
      </w:r>
      <w:r>
        <w:rPr>
          <w:sz w:val="20"/>
        </w:rPr>
        <w:t>tento nárok</w:t>
      </w:r>
      <w:r>
        <w:rPr>
          <w:spacing w:val="-7"/>
          <w:sz w:val="20"/>
        </w:rPr>
        <w:t xml:space="preserve"> </w:t>
      </w:r>
      <w:r>
        <w:rPr>
          <w:sz w:val="20"/>
        </w:rPr>
        <w:t>uplatní;</w:t>
      </w:r>
      <w:r>
        <w:rPr>
          <w:spacing w:val="-7"/>
          <w:sz w:val="20"/>
        </w:rPr>
        <w:t xml:space="preserve"> </w:t>
      </w:r>
      <w:r>
        <w:rPr>
          <w:sz w:val="20"/>
        </w:rPr>
        <w:t>vrátit</w:t>
      </w:r>
      <w:r>
        <w:rPr>
          <w:spacing w:val="-7"/>
          <w:sz w:val="20"/>
        </w:rPr>
        <w:t xml:space="preserve"> </w:t>
      </w:r>
      <w:r>
        <w:rPr>
          <w:sz w:val="20"/>
        </w:rPr>
        <w:t>odpovídající</w:t>
      </w:r>
      <w:r>
        <w:rPr>
          <w:spacing w:val="-7"/>
          <w:sz w:val="20"/>
        </w:rPr>
        <w:t xml:space="preserve"> </w:t>
      </w:r>
      <w:r>
        <w:rPr>
          <w:sz w:val="20"/>
        </w:rPr>
        <w:t>část</w:t>
      </w:r>
      <w:r>
        <w:rPr>
          <w:spacing w:val="-8"/>
          <w:sz w:val="20"/>
        </w:rPr>
        <w:t xml:space="preserve"> </w:t>
      </w:r>
      <w:r>
        <w:rPr>
          <w:sz w:val="20"/>
        </w:rPr>
        <w:t>podpory</w:t>
      </w:r>
      <w:r>
        <w:rPr>
          <w:spacing w:val="-7"/>
          <w:sz w:val="20"/>
        </w:rPr>
        <w:t xml:space="preserve"> </w:t>
      </w:r>
      <w:r>
        <w:rPr>
          <w:sz w:val="20"/>
        </w:rPr>
        <w:t>je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povinen</w:t>
      </w:r>
      <w:r>
        <w:rPr>
          <w:spacing w:val="-7"/>
          <w:sz w:val="20"/>
        </w:rPr>
        <w:t xml:space="preserve"> </w:t>
      </w:r>
      <w:r>
        <w:rPr>
          <w:sz w:val="20"/>
        </w:rPr>
        <w:t>nejpozději</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dní</w:t>
      </w:r>
      <w:r>
        <w:rPr>
          <w:spacing w:val="-7"/>
          <w:sz w:val="20"/>
        </w:rPr>
        <w:t xml:space="preserve"> </w:t>
      </w:r>
      <w:r>
        <w:rPr>
          <w:sz w:val="20"/>
        </w:rPr>
        <w:t>ode dne, kdy mu příslušný nárok na odpočet DPH</w:t>
      </w:r>
      <w:r>
        <w:rPr>
          <w:spacing w:val="-17"/>
          <w:sz w:val="20"/>
        </w:rPr>
        <w:t xml:space="preserve"> </w:t>
      </w:r>
      <w:r>
        <w:rPr>
          <w:sz w:val="20"/>
        </w:rPr>
        <w:t>vznikne,</w:t>
      </w:r>
    </w:p>
    <w:p w:rsidR="00A94332" w:rsidRDefault="00F84128">
      <w:pPr>
        <w:pStyle w:val="Odstavecseseznamem"/>
        <w:numPr>
          <w:ilvl w:val="1"/>
          <w:numId w:val="3"/>
        </w:numPr>
        <w:tabs>
          <w:tab w:val="left" w:pos="669"/>
        </w:tabs>
        <w:ind w:right="109" w:hanging="283"/>
        <w:jc w:val="both"/>
        <w:rPr>
          <w:sz w:val="20"/>
        </w:rPr>
      </w:pPr>
      <w:r>
        <w:rPr>
          <w:sz w:val="20"/>
        </w:rPr>
        <w:t xml:space="preserve">při případném překročení podílu dle článku II bodů 3 </w:t>
      </w:r>
      <w:r>
        <w:rPr>
          <w:sz w:val="20"/>
        </w:rPr>
        <w:t xml:space="preserve">a 4 (jak procentního podílu ze základu </w:t>
      </w:r>
      <w:r>
        <w:rPr>
          <w:spacing w:val="3"/>
          <w:sz w:val="20"/>
        </w:rPr>
        <w:t xml:space="preserve">pro </w:t>
      </w:r>
      <w:r>
        <w:rPr>
          <w:sz w:val="20"/>
        </w:rPr>
        <w:t>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A94332" w:rsidRDefault="00F84128">
      <w:pPr>
        <w:pStyle w:val="Odstavecseseznamem"/>
        <w:numPr>
          <w:ilvl w:val="1"/>
          <w:numId w:val="3"/>
        </w:numPr>
        <w:tabs>
          <w:tab w:val="left" w:pos="669"/>
        </w:tabs>
        <w:ind w:right="112" w:hanging="283"/>
        <w:jc w:val="both"/>
        <w:rPr>
          <w:sz w:val="20"/>
        </w:rPr>
      </w:pPr>
      <w:r>
        <w:rPr>
          <w:sz w:val="20"/>
        </w:rPr>
        <w:t>předkládat</w:t>
      </w:r>
      <w:r>
        <w:rPr>
          <w:spacing w:val="-5"/>
          <w:sz w:val="20"/>
        </w:rPr>
        <w:t xml:space="preserve"> </w:t>
      </w:r>
      <w:r>
        <w:rPr>
          <w:sz w:val="20"/>
        </w:rPr>
        <w:t>Fondu</w:t>
      </w:r>
      <w:r>
        <w:rPr>
          <w:spacing w:val="-6"/>
          <w:sz w:val="20"/>
        </w:rPr>
        <w:t xml:space="preserve"> </w:t>
      </w:r>
      <w:r>
        <w:rPr>
          <w:sz w:val="20"/>
        </w:rPr>
        <w:t>prostřednictvím</w:t>
      </w:r>
      <w:r>
        <w:rPr>
          <w:spacing w:val="-8"/>
          <w:sz w:val="20"/>
        </w:rPr>
        <w:t xml:space="preserve"> </w:t>
      </w:r>
      <w:r>
        <w:rPr>
          <w:sz w:val="20"/>
        </w:rPr>
        <w:t>AIS</w:t>
      </w:r>
      <w:r>
        <w:rPr>
          <w:spacing w:val="-5"/>
          <w:sz w:val="20"/>
        </w:rPr>
        <w:t xml:space="preserve"> </w:t>
      </w:r>
      <w:r>
        <w:rPr>
          <w:sz w:val="20"/>
        </w:rPr>
        <w:t>SFŽP</w:t>
      </w:r>
      <w:r>
        <w:rPr>
          <w:spacing w:val="-2"/>
          <w:sz w:val="20"/>
        </w:rPr>
        <w:t xml:space="preserve"> </w:t>
      </w:r>
      <w:r>
        <w:rPr>
          <w:sz w:val="20"/>
        </w:rPr>
        <w:t>ČR</w:t>
      </w:r>
      <w:r>
        <w:rPr>
          <w:spacing w:val="-6"/>
          <w:sz w:val="20"/>
        </w:rPr>
        <w:t xml:space="preserve"> </w:t>
      </w:r>
      <w:r>
        <w:rPr>
          <w:sz w:val="20"/>
        </w:rPr>
        <w:t>roční</w:t>
      </w:r>
      <w:r>
        <w:rPr>
          <w:spacing w:val="-5"/>
          <w:sz w:val="20"/>
        </w:rPr>
        <w:t xml:space="preserve"> </w:t>
      </w:r>
      <w:r>
        <w:rPr>
          <w:sz w:val="20"/>
        </w:rPr>
        <w:t>finanční</w:t>
      </w:r>
      <w:r>
        <w:rPr>
          <w:spacing w:val="-7"/>
          <w:sz w:val="20"/>
        </w:rPr>
        <w:t xml:space="preserve"> </w:t>
      </w:r>
      <w:r>
        <w:rPr>
          <w:sz w:val="20"/>
        </w:rPr>
        <w:t>vypořádání</w:t>
      </w:r>
      <w:r>
        <w:rPr>
          <w:spacing w:val="-7"/>
          <w:sz w:val="20"/>
        </w:rPr>
        <w:t xml:space="preserve"> </w:t>
      </w:r>
      <w:r>
        <w:rPr>
          <w:sz w:val="20"/>
        </w:rPr>
        <w:t>vztahů</w:t>
      </w:r>
      <w:r>
        <w:rPr>
          <w:spacing w:val="-7"/>
          <w:sz w:val="20"/>
        </w:rPr>
        <w:t xml:space="preserve"> </w:t>
      </w:r>
      <w:r>
        <w:rPr>
          <w:sz w:val="20"/>
        </w:rPr>
        <w:t>vzniklých</w:t>
      </w:r>
      <w:r>
        <w:rPr>
          <w:spacing w:val="-7"/>
          <w:sz w:val="20"/>
        </w:rPr>
        <w:t xml:space="preserve"> </w:t>
      </w:r>
      <w:r>
        <w:rPr>
          <w:sz w:val="20"/>
        </w:rPr>
        <w:t>na</w:t>
      </w:r>
      <w:r>
        <w:rPr>
          <w:spacing w:val="-5"/>
          <w:sz w:val="20"/>
        </w:rPr>
        <w:t xml:space="preserve"> </w:t>
      </w:r>
      <w:r>
        <w:rPr>
          <w:sz w:val="20"/>
        </w:rPr>
        <w:t>základě této Smlouvy, a to vždy nejpozději do 31. ledna následujícího kalendářního roku; k obsahu ročního finančního vypořádání může Fond vydat příjemci podpory závazné</w:t>
      </w:r>
      <w:r>
        <w:rPr>
          <w:spacing w:val="-21"/>
          <w:sz w:val="20"/>
        </w:rPr>
        <w:t xml:space="preserve"> </w:t>
      </w:r>
      <w:r>
        <w:rPr>
          <w:sz w:val="20"/>
        </w:rPr>
        <w:t>pokyny,</w:t>
      </w:r>
    </w:p>
    <w:p w:rsidR="00A94332" w:rsidRDefault="00F84128">
      <w:pPr>
        <w:pStyle w:val="Odstavecseseznamem"/>
        <w:numPr>
          <w:ilvl w:val="1"/>
          <w:numId w:val="3"/>
        </w:numPr>
        <w:tabs>
          <w:tab w:val="left" w:pos="669"/>
        </w:tabs>
        <w:ind w:right="111" w:hanging="283"/>
        <w:jc w:val="both"/>
        <w:rPr>
          <w:sz w:val="20"/>
        </w:rPr>
      </w:pPr>
      <w:r>
        <w:rPr>
          <w:sz w:val="20"/>
        </w:rPr>
        <w:t>umožn</w:t>
      </w:r>
      <w:r>
        <w:rPr>
          <w:sz w:val="20"/>
        </w:rPr>
        <w:t>it</w:t>
      </w:r>
      <w:r>
        <w:rPr>
          <w:spacing w:val="-15"/>
          <w:sz w:val="20"/>
        </w:rPr>
        <w:t xml:space="preserve"> </w:t>
      </w:r>
      <w:r>
        <w:rPr>
          <w:sz w:val="20"/>
        </w:rPr>
        <w:t>osobám</w:t>
      </w:r>
      <w:r>
        <w:rPr>
          <w:spacing w:val="-16"/>
          <w:sz w:val="20"/>
        </w:rPr>
        <w:t xml:space="preserve"> </w:t>
      </w:r>
      <w:r>
        <w:rPr>
          <w:sz w:val="20"/>
        </w:rPr>
        <w:t>pověřeným</w:t>
      </w:r>
      <w:r>
        <w:rPr>
          <w:spacing w:val="-15"/>
          <w:sz w:val="20"/>
        </w:rPr>
        <w:t xml:space="preserve"> </w:t>
      </w:r>
      <w:r>
        <w:rPr>
          <w:sz w:val="20"/>
        </w:rPr>
        <w:t>Fondem</w:t>
      </w:r>
      <w:r>
        <w:rPr>
          <w:spacing w:val="-15"/>
          <w:sz w:val="20"/>
        </w:rPr>
        <w:t xml:space="preserve"> </w:t>
      </w:r>
      <w:r>
        <w:rPr>
          <w:sz w:val="20"/>
        </w:rPr>
        <w:t>provádět</w:t>
      </w:r>
      <w:r>
        <w:rPr>
          <w:spacing w:val="-14"/>
          <w:sz w:val="20"/>
        </w:rPr>
        <w:t xml:space="preserve"> </w:t>
      </w:r>
      <w:r>
        <w:rPr>
          <w:sz w:val="20"/>
        </w:rPr>
        <w:t>věcnou,</w:t>
      </w:r>
      <w:r>
        <w:rPr>
          <w:spacing w:val="-14"/>
          <w:sz w:val="20"/>
        </w:rPr>
        <w:t xml:space="preserve"> </w:t>
      </w:r>
      <w:r>
        <w:rPr>
          <w:sz w:val="20"/>
        </w:rPr>
        <w:t>finanční</w:t>
      </w:r>
      <w:r>
        <w:rPr>
          <w:spacing w:val="-14"/>
          <w:sz w:val="20"/>
        </w:rPr>
        <w:t xml:space="preserve"> </w:t>
      </w:r>
      <w:r>
        <w:rPr>
          <w:sz w:val="20"/>
        </w:rPr>
        <w:t>a</w:t>
      </w:r>
      <w:r>
        <w:rPr>
          <w:spacing w:val="-12"/>
          <w:sz w:val="20"/>
        </w:rPr>
        <w:t xml:space="preserve"> </w:t>
      </w:r>
      <w:r>
        <w:rPr>
          <w:sz w:val="20"/>
        </w:rPr>
        <w:t>účetní</w:t>
      </w:r>
      <w:r>
        <w:rPr>
          <w:spacing w:val="-12"/>
          <w:sz w:val="20"/>
        </w:rPr>
        <w:t xml:space="preserve"> </w:t>
      </w:r>
      <w:r>
        <w:rPr>
          <w:sz w:val="20"/>
        </w:rPr>
        <w:t>kontrolu</w:t>
      </w:r>
      <w:r>
        <w:rPr>
          <w:spacing w:val="-14"/>
          <w:sz w:val="20"/>
        </w:rPr>
        <w:t xml:space="preserve"> </w:t>
      </w:r>
      <w:r>
        <w:rPr>
          <w:sz w:val="20"/>
        </w:rPr>
        <w:t>v</w:t>
      </w:r>
      <w:r>
        <w:rPr>
          <w:spacing w:val="3"/>
          <w:sz w:val="20"/>
        </w:rPr>
        <w:t xml:space="preserve"> </w:t>
      </w:r>
      <w:r>
        <w:rPr>
          <w:sz w:val="20"/>
        </w:rPr>
        <w:t>průběhu</w:t>
      </w:r>
      <w:r>
        <w:rPr>
          <w:spacing w:val="-14"/>
          <w:sz w:val="20"/>
        </w:rPr>
        <w:t xml:space="preserve"> </w:t>
      </w:r>
      <w:r>
        <w:rPr>
          <w:sz w:val="20"/>
        </w:rPr>
        <w:t>realizace akce</w:t>
      </w:r>
      <w:r>
        <w:rPr>
          <w:spacing w:val="-8"/>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8"/>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9"/>
          <w:sz w:val="20"/>
        </w:rPr>
        <w:t xml:space="preserve"> </w:t>
      </w:r>
      <w:r>
        <w:rPr>
          <w:sz w:val="20"/>
        </w:rPr>
        <w:t>takovém</w:t>
      </w:r>
      <w:r>
        <w:rPr>
          <w:spacing w:val="-8"/>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8"/>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21"/>
          <w:sz w:val="20"/>
        </w:rPr>
        <w:t xml:space="preserve"> </w:t>
      </w:r>
      <w:r>
        <w:rPr>
          <w:sz w:val="20"/>
        </w:rPr>
        <w:t>Smlouvy,</w:t>
      </w:r>
    </w:p>
    <w:p w:rsidR="00A94332" w:rsidRDefault="00F84128">
      <w:pPr>
        <w:pStyle w:val="Odstavecseseznamem"/>
        <w:numPr>
          <w:ilvl w:val="1"/>
          <w:numId w:val="3"/>
        </w:numPr>
        <w:tabs>
          <w:tab w:val="left" w:pos="669"/>
        </w:tabs>
        <w:ind w:right="114"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w:t>
      </w:r>
      <w:r>
        <w:rPr>
          <w:sz w:val="20"/>
        </w:rPr>
        <w:t>ovinnosti stanovené touto</w:t>
      </w:r>
      <w:r>
        <w:rPr>
          <w:spacing w:val="-24"/>
          <w:sz w:val="20"/>
        </w:rPr>
        <w:t xml:space="preserve"> </w:t>
      </w:r>
      <w:r>
        <w:rPr>
          <w:sz w:val="20"/>
        </w:rPr>
        <w:t>Smlouvou),</w:t>
      </w:r>
    </w:p>
    <w:p w:rsidR="00A94332" w:rsidRDefault="00F84128">
      <w:pPr>
        <w:pStyle w:val="Odstavecseseznamem"/>
        <w:numPr>
          <w:ilvl w:val="1"/>
          <w:numId w:val="3"/>
        </w:numPr>
        <w:tabs>
          <w:tab w:val="left" w:pos="669"/>
        </w:tabs>
        <w:spacing w:before="118"/>
        <w:ind w:right="114"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A94332" w:rsidRDefault="00F84128">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w:t>
      </w:r>
      <w:r>
        <w:rPr>
          <w:spacing w:val="-13"/>
          <w:sz w:val="20"/>
        </w:rPr>
        <w:t xml:space="preserve"> </w:t>
      </w:r>
      <w:r>
        <w:rPr>
          <w:sz w:val="20"/>
        </w:rPr>
        <w:t>V</w:t>
      </w:r>
      <w:r>
        <w:rPr>
          <w:spacing w:val="-12"/>
          <w:sz w:val="20"/>
        </w:rPr>
        <w:t xml:space="preserve"> </w:t>
      </w:r>
      <w:r>
        <w:rPr>
          <w:sz w:val="20"/>
        </w:rPr>
        <w:t>této</w:t>
      </w:r>
      <w:r>
        <w:rPr>
          <w:spacing w:val="-12"/>
          <w:sz w:val="20"/>
        </w:rPr>
        <w:t xml:space="preserve"> </w:t>
      </w:r>
      <w:r>
        <w:rPr>
          <w:sz w:val="20"/>
        </w:rPr>
        <w:t>souvislosti</w:t>
      </w:r>
      <w:r>
        <w:rPr>
          <w:spacing w:val="-13"/>
          <w:sz w:val="20"/>
        </w:rPr>
        <w:t xml:space="preserve"> </w:t>
      </w:r>
      <w:r>
        <w:rPr>
          <w:sz w:val="20"/>
        </w:rPr>
        <w:t>příjemce</w:t>
      </w:r>
      <w:r>
        <w:rPr>
          <w:spacing w:val="-12"/>
          <w:sz w:val="20"/>
        </w:rPr>
        <w:t xml:space="preserve"> </w:t>
      </w:r>
      <w:r>
        <w:rPr>
          <w:sz w:val="20"/>
        </w:rPr>
        <w:t>podpory</w:t>
      </w:r>
      <w:r>
        <w:rPr>
          <w:spacing w:val="-13"/>
          <w:sz w:val="20"/>
        </w:rPr>
        <w:t xml:space="preserve"> </w:t>
      </w:r>
      <w:r>
        <w:rPr>
          <w:sz w:val="20"/>
        </w:rPr>
        <w:t>prohlašuje,</w:t>
      </w:r>
      <w:r>
        <w:rPr>
          <w:spacing w:val="-10"/>
          <w:sz w:val="20"/>
        </w:rPr>
        <w:t xml:space="preserve"> </w:t>
      </w:r>
      <w:r>
        <w:rPr>
          <w:sz w:val="20"/>
        </w:rPr>
        <w:t>že</w:t>
      </w:r>
      <w:r>
        <w:rPr>
          <w:spacing w:val="-14"/>
          <w:sz w:val="20"/>
        </w:rPr>
        <w:t xml:space="preserve"> </w:t>
      </w:r>
      <w:r>
        <w:rPr>
          <w:sz w:val="20"/>
        </w:rPr>
        <w:t>rovněž</w:t>
      </w:r>
      <w:r>
        <w:rPr>
          <w:spacing w:val="-12"/>
          <w:sz w:val="20"/>
        </w:rPr>
        <w:t xml:space="preserve"> </w:t>
      </w:r>
      <w:r>
        <w:rPr>
          <w:sz w:val="20"/>
        </w:rPr>
        <w:t>veškeré</w:t>
      </w:r>
      <w:r>
        <w:rPr>
          <w:spacing w:val="-14"/>
          <w:sz w:val="20"/>
        </w:rPr>
        <w:t xml:space="preserve"> </w:t>
      </w:r>
      <w:r>
        <w:rPr>
          <w:sz w:val="20"/>
        </w:rPr>
        <w:t>podklady</w:t>
      </w:r>
      <w:r>
        <w:rPr>
          <w:spacing w:val="-10"/>
          <w:sz w:val="20"/>
        </w:rPr>
        <w:t xml:space="preserve"> </w:t>
      </w:r>
      <w:r>
        <w:rPr>
          <w:sz w:val="20"/>
        </w:rPr>
        <w:t>a</w:t>
      </w:r>
      <w:r>
        <w:rPr>
          <w:spacing w:val="-1"/>
          <w:sz w:val="20"/>
        </w:rPr>
        <w:t xml:space="preserve"> </w:t>
      </w:r>
      <w:r>
        <w:rPr>
          <w:sz w:val="20"/>
        </w:rPr>
        <w:t>informace,</w:t>
      </w:r>
      <w:r>
        <w:rPr>
          <w:spacing w:val="-13"/>
          <w:sz w:val="20"/>
        </w:rPr>
        <w:t xml:space="preserve"> </w:t>
      </w:r>
      <w:r>
        <w:rPr>
          <w:sz w:val="20"/>
        </w:rPr>
        <w:t>které Fondu poskytl před uzavřením této Smlouvy, byly pravdivé, nezkreslené a úplné. Příjemce podpory přitom bere na vědomí</w:t>
      </w:r>
      <w:r>
        <w:rPr>
          <w:sz w:val="20"/>
        </w:rPr>
        <w:t>,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A94332" w:rsidRDefault="00F84128">
      <w:pPr>
        <w:pStyle w:val="Odstavecseseznamem"/>
        <w:numPr>
          <w:ilvl w:val="1"/>
          <w:numId w:val="3"/>
        </w:numPr>
        <w:tabs>
          <w:tab w:val="left" w:pos="669"/>
        </w:tabs>
        <w:ind w:right="108" w:hanging="283"/>
        <w:jc w:val="both"/>
        <w:rPr>
          <w:sz w:val="20"/>
        </w:rPr>
      </w:pPr>
      <w:r>
        <w:rPr>
          <w:sz w:val="20"/>
        </w:rPr>
        <w:t>dodržovat pravidla pro za</w:t>
      </w:r>
      <w:r>
        <w:rPr>
          <w:sz w:val="20"/>
        </w:rPr>
        <w:t>dávání veřejných zakázek, stanovená ve Směrnici MŽP (včetně jejích příloh) a v aktuálních Pokynech pro zadávání veřejných zakázek v OPŽP 2014-2020, které jsou zveřejněny</w:t>
      </w:r>
      <w:r>
        <w:rPr>
          <w:spacing w:val="-36"/>
          <w:sz w:val="20"/>
        </w:rPr>
        <w:t xml:space="preserve"> </w:t>
      </w:r>
      <w:r>
        <w:rPr>
          <w:sz w:val="20"/>
        </w:rPr>
        <w:t xml:space="preserve">na </w:t>
      </w:r>
      <w:hyperlink r:id="rId9">
        <w:r>
          <w:rPr>
            <w:sz w:val="20"/>
          </w:rPr>
          <w:t>www.sfzp.cz,</w:t>
        </w:r>
      </w:hyperlink>
      <w:r>
        <w:rPr>
          <w:sz w:val="20"/>
        </w:rPr>
        <w:t xml:space="preserve"> sekce Národní program Životní p</w:t>
      </w:r>
      <w:r>
        <w:rPr>
          <w:sz w:val="20"/>
        </w:rPr>
        <w:t>rostředí – O programu – Zadávání veřejných zakázek</w:t>
      </w:r>
      <w:r>
        <w:rPr>
          <w:spacing w:val="-16"/>
          <w:sz w:val="20"/>
        </w:rPr>
        <w:t xml:space="preserve"> </w:t>
      </w:r>
      <w:r>
        <w:rPr>
          <w:sz w:val="20"/>
        </w:rPr>
        <w:t>–</w:t>
      </w:r>
    </w:p>
    <w:p w:rsidR="00A94332" w:rsidRDefault="00A94332">
      <w:pPr>
        <w:jc w:val="both"/>
        <w:rPr>
          <w:sz w:val="20"/>
        </w:rPr>
        <w:sectPr w:rsidR="00A94332">
          <w:pgSz w:w="12240" w:h="15840"/>
          <w:pgMar w:top="1060" w:right="1020" w:bottom="1660" w:left="1600" w:header="0" w:footer="1460" w:gutter="0"/>
          <w:cols w:space="708"/>
        </w:sectPr>
      </w:pPr>
    </w:p>
    <w:p w:rsidR="00A94332" w:rsidRDefault="00F84128">
      <w:pPr>
        <w:pStyle w:val="Zkladntext"/>
        <w:spacing w:before="73"/>
        <w:ind w:left="668" w:right="112"/>
        <w:jc w:val="both"/>
      </w:pPr>
      <w:r>
        <w:lastRenderedPageBreak/>
        <w:t>odkaz</w:t>
      </w:r>
      <w:r>
        <w:rPr>
          <w:spacing w:val="-8"/>
        </w:rPr>
        <w:t xml:space="preserve"> </w:t>
      </w:r>
      <w:r>
        <w:t>na</w:t>
      </w:r>
      <w:r>
        <w:rPr>
          <w:spacing w:val="-8"/>
        </w:rPr>
        <w:t xml:space="preserve"> </w:t>
      </w:r>
      <w:r>
        <w:t>Zadávání</w:t>
      </w:r>
      <w:r>
        <w:rPr>
          <w:spacing w:val="-8"/>
        </w:rPr>
        <w:t xml:space="preserve"> </w:t>
      </w:r>
      <w:r>
        <w:t>veřejných</w:t>
      </w:r>
      <w:r>
        <w:rPr>
          <w:spacing w:val="-8"/>
        </w:rPr>
        <w:t xml:space="preserve"> </w:t>
      </w:r>
      <w:r>
        <w:t>zakázek</w:t>
      </w:r>
      <w:r>
        <w:rPr>
          <w:spacing w:val="-9"/>
        </w:rPr>
        <w:t xml:space="preserve"> </w:t>
      </w:r>
      <w:r>
        <w:t>pro</w:t>
      </w:r>
      <w:r>
        <w:rPr>
          <w:spacing w:val="-8"/>
        </w:rPr>
        <w:t xml:space="preserve"> </w:t>
      </w:r>
      <w:r>
        <w:t>OPŽP</w:t>
      </w:r>
      <w:r>
        <w:rPr>
          <w:spacing w:val="-9"/>
        </w:rPr>
        <w:t xml:space="preserve"> </w:t>
      </w:r>
      <w:r>
        <w:t>2014-2020,</w:t>
      </w:r>
      <w:r>
        <w:rPr>
          <w:spacing w:val="-8"/>
        </w:rPr>
        <w:t xml:space="preserve"> </w:t>
      </w:r>
      <w:r>
        <w:t>a</w:t>
      </w:r>
      <w:r>
        <w:rPr>
          <w:spacing w:val="-9"/>
        </w:rPr>
        <w:t xml:space="preserve"> </w:t>
      </w:r>
      <w:r>
        <w:t>to</w:t>
      </w:r>
      <w:r>
        <w:rPr>
          <w:spacing w:val="-8"/>
        </w:rPr>
        <w:t xml:space="preserve"> </w:t>
      </w:r>
      <w:r>
        <w:t>i</w:t>
      </w:r>
      <w:r>
        <w:rPr>
          <w:spacing w:val="-7"/>
        </w:rPr>
        <w:t xml:space="preserve"> </w:t>
      </w:r>
      <w:r>
        <w:t>v průběhu</w:t>
      </w:r>
      <w:r>
        <w:rPr>
          <w:spacing w:val="-7"/>
        </w:rPr>
        <w:t xml:space="preserve"> </w:t>
      </w:r>
      <w:r>
        <w:t>realizace</w:t>
      </w:r>
      <w:r>
        <w:rPr>
          <w:spacing w:val="-8"/>
        </w:rPr>
        <w:t xml:space="preserve"> </w:t>
      </w:r>
      <w:r>
        <w:t>akce.</w:t>
      </w:r>
      <w:r>
        <w:rPr>
          <w:spacing w:val="-7"/>
        </w:rPr>
        <w:t xml:space="preserve"> </w:t>
      </w:r>
      <w:r>
        <w:t>Specifické povinnosti relevantní pouze pro OPŽP 2014-2020 se na příjemce podpory nevztahují. V této souvislosti příjemce podpory prohlašuje, že uvedená pravidla byla</w:t>
      </w:r>
      <w:r>
        <w:rPr>
          <w:spacing w:val="-14"/>
        </w:rPr>
        <w:t xml:space="preserve"> </w:t>
      </w:r>
      <w:r>
        <w:t>dodržena.</w:t>
      </w:r>
    </w:p>
    <w:p w:rsidR="00A94332" w:rsidRDefault="00A94332">
      <w:pPr>
        <w:pStyle w:val="Zkladntext"/>
        <w:spacing w:before="1"/>
        <w:ind w:left="0"/>
        <w:rPr>
          <w:sz w:val="36"/>
        </w:rPr>
      </w:pPr>
    </w:p>
    <w:p w:rsidR="00A94332" w:rsidRDefault="00F84128">
      <w:pPr>
        <w:pStyle w:val="Nadpis1"/>
      </w:pPr>
      <w:r>
        <w:t>V.</w:t>
      </w:r>
    </w:p>
    <w:p w:rsidR="00A94332" w:rsidRDefault="00F84128">
      <w:pPr>
        <w:ind w:left="1003" w:right="1015"/>
        <w:jc w:val="center"/>
        <w:rPr>
          <w:b/>
          <w:sz w:val="20"/>
        </w:rPr>
      </w:pPr>
      <w:r>
        <w:rPr>
          <w:b/>
          <w:sz w:val="20"/>
        </w:rPr>
        <w:t>Porušení smluvních podmínek a sankce</w:t>
      </w:r>
    </w:p>
    <w:p w:rsidR="00A94332" w:rsidRDefault="00A94332">
      <w:pPr>
        <w:pStyle w:val="Zkladntext"/>
        <w:spacing w:before="0"/>
        <w:ind w:left="0"/>
        <w:rPr>
          <w:b/>
          <w:sz w:val="18"/>
        </w:rPr>
      </w:pPr>
    </w:p>
    <w:p w:rsidR="00A94332" w:rsidRDefault="00F84128">
      <w:pPr>
        <w:pStyle w:val="Odstavecseseznamem"/>
        <w:numPr>
          <w:ilvl w:val="0"/>
          <w:numId w:val="2"/>
        </w:numPr>
        <w:tabs>
          <w:tab w:val="left" w:pos="386"/>
        </w:tabs>
        <w:spacing w:before="1"/>
        <w:ind w:right="119" w:hanging="283"/>
        <w:jc w:val="both"/>
        <w:rPr>
          <w:sz w:val="20"/>
        </w:rPr>
      </w:pPr>
      <w:r>
        <w:rPr>
          <w:sz w:val="20"/>
        </w:rPr>
        <w:t>Jestliže příjemce podpory nesplní někt</w:t>
      </w:r>
      <w:r>
        <w:rPr>
          <w:sz w:val="20"/>
        </w:rPr>
        <w:t>erý ze závazků stanovených touto Smlouvou, bude Fond postupovat ve  smyslu  příslušných  ustanovení  zákona  č.  218/2000  Sb.,  o  rozpočtových  pravidlech a o změně některých souvisejících zákonů (rozpočtová pravidla), v platném</w:t>
      </w:r>
      <w:r>
        <w:rPr>
          <w:spacing w:val="-15"/>
          <w:sz w:val="20"/>
        </w:rPr>
        <w:t xml:space="preserve"> </w:t>
      </w:r>
      <w:r>
        <w:rPr>
          <w:sz w:val="20"/>
        </w:rPr>
        <w:t>znění.</w:t>
      </w:r>
    </w:p>
    <w:p w:rsidR="00A94332" w:rsidRDefault="00F84128">
      <w:pPr>
        <w:pStyle w:val="Odstavecseseznamem"/>
        <w:numPr>
          <w:ilvl w:val="0"/>
          <w:numId w:val="2"/>
        </w:numPr>
        <w:tabs>
          <w:tab w:val="left" w:pos="386"/>
        </w:tabs>
        <w:ind w:right="110" w:hanging="283"/>
        <w:jc w:val="both"/>
        <w:rPr>
          <w:sz w:val="20"/>
        </w:rPr>
      </w:pPr>
      <w:r>
        <w:rPr>
          <w:sz w:val="20"/>
        </w:rPr>
        <w:t>Porušení povinnost</w:t>
      </w:r>
      <w:r>
        <w:rPr>
          <w:sz w:val="20"/>
        </w:rPr>
        <w:t>í podle článku II bodů 5 nebo 6 nebo podle článku IV bodu 2 písm. a), c), d) nebo e) bude postiženo odvodem ve výši 100 % z poskytnuté podpory.  Porušení povinností podle článku        IV</w:t>
      </w:r>
      <w:r>
        <w:rPr>
          <w:spacing w:val="-1"/>
          <w:sz w:val="20"/>
        </w:rPr>
        <w:t xml:space="preserve"> </w:t>
      </w:r>
      <w:r>
        <w:rPr>
          <w:sz w:val="20"/>
        </w:rPr>
        <w:t>bodu</w:t>
      </w:r>
      <w:r>
        <w:rPr>
          <w:spacing w:val="-2"/>
          <w:sz w:val="20"/>
        </w:rPr>
        <w:t xml:space="preserve"> </w:t>
      </w:r>
      <w:r>
        <w:rPr>
          <w:sz w:val="20"/>
        </w:rPr>
        <w:t>1</w:t>
      </w:r>
      <w:r>
        <w:rPr>
          <w:spacing w:val="-6"/>
          <w:sz w:val="20"/>
        </w:rPr>
        <w:t xml:space="preserve"> </w:t>
      </w:r>
      <w:r>
        <w:rPr>
          <w:sz w:val="20"/>
        </w:rPr>
        <w:t>písm.</w:t>
      </w:r>
      <w:r>
        <w:rPr>
          <w:spacing w:val="-2"/>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5"/>
          <w:sz w:val="20"/>
        </w:rPr>
        <w:t xml:space="preserve"> </w:t>
      </w:r>
      <w:r>
        <w:rPr>
          <w:sz w:val="20"/>
        </w:rPr>
        <w:t>nebo</w:t>
      </w:r>
      <w:r>
        <w:rPr>
          <w:spacing w:val="-6"/>
          <w:sz w:val="20"/>
        </w:rPr>
        <w:t xml:space="preserve"> </w:t>
      </w:r>
      <w:r>
        <w:rPr>
          <w:sz w:val="20"/>
        </w:rPr>
        <w:t>druhou</w:t>
      </w:r>
      <w:r>
        <w:rPr>
          <w:spacing w:val="-7"/>
          <w:sz w:val="20"/>
        </w:rPr>
        <w:t xml:space="preserve"> </w:t>
      </w:r>
      <w:r>
        <w:rPr>
          <w:sz w:val="20"/>
        </w:rPr>
        <w:t>odrážkou</w:t>
      </w:r>
      <w:r>
        <w:rPr>
          <w:spacing w:val="-7"/>
          <w:sz w:val="20"/>
        </w:rPr>
        <w:t xml:space="preserve"> </w:t>
      </w:r>
      <w:r>
        <w:rPr>
          <w:sz w:val="20"/>
        </w:rPr>
        <w:t>bude</w:t>
      </w:r>
      <w:r>
        <w:rPr>
          <w:spacing w:val="-8"/>
          <w:sz w:val="20"/>
        </w:rPr>
        <w:t xml:space="preserve"> </w:t>
      </w:r>
      <w:r>
        <w:rPr>
          <w:sz w:val="20"/>
        </w:rPr>
        <w:t>postiženo</w:t>
      </w:r>
      <w:r>
        <w:rPr>
          <w:spacing w:val="-6"/>
          <w:sz w:val="20"/>
        </w:rPr>
        <w:t xml:space="preserve"> </w:t>
      </w:r>
      <w:r>
        <w:rPr>
          <w:sz w:val="20"/>
        </w:rPr>
        <w:t>odvodem</w:t>
      </w:r>
      <w:r>
        <w:rPr>
          <w:spacing w:val="-8"/>
          <w:sz w:val="20"/>
        </w:rPr>
        <w:t xml:space="preserve"> </w:t>
      </w:r>
      <w:r>
        <w:rPr>
          <w:sz w:val="20"/>
        </w:rPr>
        <w:t>ve</w:t>
      </w:r>
      <w:r>
        <w:rPr>
          <w:spacing w:val="-8"/>
          <w:sz w:val="20"/>
        </w:rPr>
        <w:t xml:space="preserve"> </w:t>
      </w:r>
      <w:r>
        <w:rPr>
          <w:sz w:val="20"/>
        </w:rPr>
        <w:t>výši</w:t>
      </w:r>
      <w:r>
        <w:rPr>
          <w:spacing w:val="-7"/>
          <w:sz w:val="20"/>
        </w:rPr>
        <w:t xml:space="preserve"> </w:t>
      </w:r>
      <w:r>
        <w:rPr>
          <w:sz w:val="20"/>
        </w:rPr>
        <w:t>100</w:t>
      </w:r>
      <w:r>
        <w:rPr>
          <w:spacing w:val="-6"/>
          <w:sz w:val="20"/>
        </w:rPr>
        <w:t xml:space="preserve"> </w:t>
      </w:r>
      <w:r>
        <w:rPr>
          <w:sz w:val="20"/>
        </w:rPr>
        <w:t>%</w:t>
      </w:r>
      <w:r>
        <w:rPr>
          <w:spacing w:val="-7"/>
          <w:sz w:val="20"/>
        </w:rPr>
        <w:t xml:space="preserve"> </w:t>
      </w:r>
      <w:r>
        <w:rPr>
          <w:sz w:val="20"/>
        </w:rPr>
        <w:t>z</w:t>
      </w:r>
      <w:r>
        <w:rPr>
          <w:spacing w:val="4"/>
          <w:sz w:val="20"/>
        </w:rPr>
        <w:t xml:space="preserve"> </w:t>
      </w:r>
      <w:r>
        <w:rPr>
          <w:sz w:val="20"/>
        </w:rPr>
        <w:t>poskytnuté podpory.</w:t>
      </w:r>
    </w:p>
    <w:p w:rsidR="00A94332" w:rsidRDefault="00F84128">
      <w:pPr>
        <w:pStyle w:val="Odstavecseseznamem"/>
        <w:numPr>
          <w:ilvl w:val="0"/>
          <w:numId w:val="2"/>
        </w:numPr>
        <w:tabs>
          <w:tab w:val="left" w:pos="386"/>
        </w:tabs>
        <w:spacing w:before="118"/>
        <w:ind w:right="111" w:hanging="283"/>
        <w:jc w:val="both"/>
        <w:rPr>
          <w:sz w:val="20"/>
        </w:rPr>
      </w:pPr>
      <w:r>
        <w:rPr>
          <w:sz w:val="20"/>
        </w:rPr>
        <w:t>Dojde-li</w:t>
      </w:r>
      <w:r>
        <w:rPr>
          <w:spacing w:val="-7"/>
          <w:sz w:val="20"/>
        </w:rPr>
        <w:t xml:space="preserve"> </w:t>
      </w:r>
      <w:r>
        <w:rPr>
          <w:sz w:val="20"/>
        </w:rPr>
        <w:t>k</w:t>
      </w:r>
      <w:r>
        <w:rPr>
          <w:spacing w:val="-3"/>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uvedených</w:t>
      </w:r>
      <w:r>
        <w:rPr>
          <w:spacing w:val="-7"/>
          <w:sz w:val="20"/>
        </w:rPr>
        <w:t xml:space="preserve"> </w:t>
      </w:r>
      <w:r>
        <w:rPr>
          <w:sz w:val="20"/>
        </w:rPr>
        <w:t>v</w:t>
      </w:r>
      <w:r>
        <w:rPr>
          <w:spacing w:val="1"/>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7"/>
          <w:sz w:val="20"/>
        </w:rPr>
        <w:t xml:space="preserve"> </w:t>
      </w:r>
      <w:r>
        <w:rPr>
          <w:sz w:val="20"/>
        </w:rPr>
        <w:t>a)</w:t>
      </w:r>
      <w:r>
        <w:rPr>
          <w:spacing w:val="-8"/>
          <w:sz w:val="20"/>
        </w:rPr>
        <w:t xml:space="preserve"> </w:t>
      </w:r>
      <w:r>
        <w:rPr>
          <w:sz w:val="20"/>
        </w:rPr>
        <w:t>za</w:t>
      </w:r>
      <w:r>
        <w:rPr>
          <w:spacing w:val="-7"/>
          <w:sz w:val="20"/>
        </w:rPr>
        <w:t xml:space="preserve"> </w:t>
      </w:r>
      <w:r>
        <w:rPr>
          <w:sz w:val="20"/>
        </w:rPr>
        <w:t>první</w:t>
      </w:r>
      <w:r>
        <w:rPr>
          <w:spacing w:val="-7"/>
          <w:sz w:val="20"/>
        </w:rPr>
        <w:t xml:space="preserve"> </w:t>
      </w:r>
      <w:r>
        <w:rPr>
          <w:sz w:val="20"/>
        </w:rPr>
        <w:t>nebo</w:t>
      </w:r>
      <w:r>
        <w:rPr>
          <w:spacing w:val="-6"/>
          <w:sz w:val="20"/>
        </w:rPr>
        <w:t xml:space="preserve"> </w:t>
      </w:r>
      <w:r>
        <w:rPr>
          <w:sz w:val="20"/>
        </w:rPr>
        <w:t>třetí</w:t>
      </w:r>
      <w:r>
        <w:rPr>
          <w:spacing w:val="-7"/>
          <w:sz w:val="20"/>
        </w:rPr>
        <w:t xml:space="preserve"> </w:t>
      </w:r>
      <w:r>
        <w:rPr>
          <w:sz w:val="20"/>
        </w:rPr>
        <w:t>odrážkou,</w:t>
      </w:r>
      <w:r>
        <w:rPr>
          <w:spacing w:val="-7"/>
          <w:sz w:val="20"/>
        </w:rPr>
        <w:t xml:space="preserve"> </w:t>
      </w:r>
      <w:r>
        <w:rPr>
          <w:sz w:val="20"/>
        </w:rPr>
        <w:t>bude toto porušení postiženo odvodem ve výši 100 % z poskytnuté podpory. Byl-li naplněn účel akce podle článku IV bodu 1 písm. a) za druhou odrážkou na méně než 50 % stanovených indikátorů, bude toto porušení</w:t>
      </w:r>
      <w:r>
        <w:rPr>
          <w:spacing w:val="-12"/>
          <w:sz w:val="20"/>
        </w:rPr>
        <w:t xml:space="preserve"> </w:t>
      </w:r>
      <w:r>
        <w:rPr>
          <w:sz w:val="20"/>
        </w:rPr>
        <w:t>postiženo</w:t>
      </w:r>
      <w:r>
        <w:rPr>
          <w:spacing w:val="-11"/>
          <w:sz w:val="20"/>
        </w:rPr>
        <w:t xml:space="preserve"> </w:t>
      </w:r>
      <w:r>
        <w:rPr>
          <w:sz w:val="20"/>
        </w:rPr>
        <w:t>odvodem</w:t>
      </w:r>
      <w:r>
        <w:rPr>
          <w:spacing w:val="-13"/>
          <w:sz w:val="20"/>
        </w:rPr>
        <w:t xml:space="preserve"> </w:t>
      </w:r>
      <w:r>
        <w:rPr>
          <w:sz w:val="20"/>
        </w:rPr>
        <w:t>ve</w:t>
      </w:r>
      <w:r>
        <w:rPr>
          <w:spacing w:val="-12"/>
          <w:sz w:val="20"/>
        </w:rPr>
        <w:t xml:space="preserve"> </w:t>
      </w:r>
      <w:r>
        <w:rPr>
          <w:sz w:val="20"/>
        </w:rPr>
        <w:t>výši</w:t>
      </w:r>
      <w:r>
        <w:rPr>
          <w:spacing w:val="-12"/>
          <w:sz w:val="20"/>
        </w:rPr>
        <w:t xml:space="preserve"> </w:t>
      </w:r>
      <w:r>
        <w:rPr>
          <w:sz w:val="20"/>
        </w:rPr>
        <w:t>100</w:t>
      </w:r>
      <w:r>
        <w:rPr>
          <w:spacing w:val="-11"/>
          <w:sz w:val="20"/>
        </w:rPr>
        <w:t xml:space="preserve"> </w:t>
      </w:r>
      <w:r>
        <w:rPr>
          <w:sz w:val="20"/>
        </w:rPr>
        <w:t>%</w:t>
      </w:r>
      <w:r>
        <w:rPr>
          <w:spacing w:val="-9"/>
          <w:sz w:val="20"/>
        </w:rPr>
        <w:t xml:space="preserve"> </w:t>
      </w:r>
      <w:r>
        <w:rPr>
          <w:sz w:val="20"/>
        </w:rPr>
        <w:t>z</w:t>
      </w:r>
      <w:r>
        <w:rPr>
          <w:spacing w:val="3"/>
          <w:sz w:val="20"/>
        </w:rPr>
        <w:t xml:space="preserve"> </w:t>
      </w:r>
      <w:r>
        <w:rPr>
          <w:sz w:val="20"/>
        </w:rPr>
        <w:t>poskytnuté</w:t>
      </w:r>
      <w:r>
        <w:rPr>
          <w:spacing w:val="-13"/>
          <w:sz w:val="20"/>
        </w:rPr>
        <w:t xml:space="preserve"> </w:t>
      </w:r>
      <w:r>
        <w:rPr>
          <w:sz w:val="20"/>
        </w:rPr>
        <w:t>po</w:t>
      </w:r>
      <w:r>
        <w:rPr>
          <w:sz w:val="20"/>
        </w:rPr>
        <w:t>dpory.</w:t>
      </w:r>
      <w:r>
        <w:rPr>
          <w:spacing w:val="-12"/>
          <w:sz w:val="20"/>
        </w:rPr>
        <w:t xml:space="preserve"> </w:t>
      </w:r>
      <w:r>
        <w:rPr>
          <w:sz w:val="20"/>
        </w:rPr>
        <w:t>V</w:t>
      </w:r>
      <w:r>
        <w:rPr>
          <w:spacing w:val="1"/>
          <w:sz w:val="20"/>
        </w:rPr>
        <w:t xml:space="preserve"> </w:t>
      </w:r>
      <w:r>
        <w:rPr>
          <w:sz w:val="20"/>
        </w:rPr>
        <w:t>případě</w:t>
      </w:r>
      <w:r>
        <w:rPr>
          <w:spacing w:val="-12"/>
          <w:sz w:val="20"/>
        </w:rPr>
        <w:t xml:space="preserve"> </w:t>
      </w:r>
      <w:r>
        <w:rPr>
          <w:sz w:val="20"/>
        </w:rPr>
        <w:t>plnění</w:t>
      </w:r>
      <w:r>
        <w:rPr>
          <w:spacing w:val="-10"/>
          <w:sz w:val="20"/>
        </w:rPr>
        <w:t xml:space="preserve"> </w:t>
      </w:r>
      <w:r>
        <w:rPr>
          <w:sz w:val="20"/>
        </w:rPr>
        <w:t>účelu</w:t>
      </w:r>
      <w:r>
        <w:rPr>
          <w:spacing w:val="-12"/>
          <w:sz w:val="20"/>
        </w:rPr>
        <w:t xml:space="preserve"> </w:t>
      </w:r>
      <w:r>
        <w:rPr>
          <w:sz w:val="20"/>
        </w:rPr>
        <w:t>akce</w:t>
      </w:r>
      <w:r>
        <w:rPr>
          <w:spacing w:val="-13"/>
          <w:sz w:val="20"/>
        </w:rPr>
        <w:t xml:space="preserve"> </w:t>
      </w:r>
      <w:r>
        <w:rPr>
          <w:sz w:val="20"/>
        </w:rPr>
        <w:t>v rozmezí 50-90  %  stanovených  indikátorů,  bude  toto  porušení  postiženo  odvodem  v rozmezí  10-50  %      z</w:t>
      </w:r>
      <w:r>
        <w:rPr>
          <w:spacing w:val="-2"/>
          <w:sz w:val="20"/>
        </w:rPr>
        <w:t xml:space="preserve"> </w:t>
      </w:r>
      <w:r>
        <w:rPr>
          <w:sz w:val="20"/>
        </w:rPr>
        <w:t>poskytnuté</w:t>
      </w:r>
      <w:r>
        <w:rPr>
          <w:spacing w:val="-8"/>
          <w:sz w:val="20"/>
        </w:rPr>
        <w:t xml:space="preserve"> </w:t>
      </w:r>
      <w:r>
        <w:rPr>
          <w:sz w:val="20"/>
        </w:rPr>
        <w:t>podpory</w:t>
      </w:r>
      <w:r>
        <w:rPr>
          <w:spacing w:val="-7"/>
          <w:sz w:val="20"/>
        </w:rPr>
        <w:t xml:space="preserve"> </w:t>
      </w:r>
      <w:r>
        <w:rPr>
          <w:sz w:val="20"/>
        </w:rPr>
        <w:t>v</w:t>
      </w:r>
      <w:r>
        <w:rPr>
          <w:spacing w:val="-1"/>
          <w:sz w:val="20"/>
        </w:rPr>
        <w:t xml:space="preserve"> </w:t>
      </w:r>
      <w:r>
        <w:rPr>
          <w:sz w:val="20"/>
        </w:rPr>
        <w:t>závislosti</w:t>
      </w:r>
      <w:r>
        <w:rPr>
          <w:spacing w:val="-7"/>
          <w:sz w:val="20"/>
        </w:rPr>
        <w:t xml:space="preserve"> </w:t>
      </w:r>
      <w:r>
        <w:rPr>
          <w:sz w:val="20"/>
        </w:rPr>
        <w:t>na</w:t>
      </w:r>
      <w:r>
        <w:rPr>
          <w:spacing w:val="-5"/>
          <w:sz w:val="20"/>
        </w:rPr>
        <w:t xml:space="preserve"> </w:t>
      </w:r>
      <w:r>
        <w:rPr>
          <w:sz w:val="20"/>
        </w:rPr>
        <w:t>míře</w:t>
      </w:r>
      <w:r>
        <w:rPr>
          <w:spacing w:val="-8"/>
          <w:sz w:val="20"/>
        </w:rPr>
        <w:t xml:space="preserve"> </w:t>
      </w:r>
      <w:r>
        <w:rPr>
          <w:sz w:val="20"/>
        </w:rPr>
        <w:t>porušení</w:t>
      </w:r>
      <w:r>
        <w:rPr>
          <w:spacing w:val="-5"/>
          <w:sz w:val="20"/>
        </w:rPr>
        <w:t xml:space="preserve"> </w:t>
      </w:r>
      <w:r>
        <w:rPr>
          <w:sz w:val="20"/>
        </w:rPr>
        <w:t>stanovených</w:t>
      </w:r>
      <w:r>
        <w:rPr>
          <w:spacing w:val="-4"/>
          <w:sz w:val="20"/>
        </w:rPr>
        <w:t xml:space="preserve"> </w:t>
      </w:r>
      <w:r>
        <w:rPr>
          <w:sz w:val="20"/>
        </w:rPr>
        <w:t>indikátorů</w:t>
      </w:r>
      <w:r>
        <w:rPr>
          <w:spacing w:val="-6"/>
          <w:sz w:val="20"/>
        </w:rPr>
        <w:t xml:space="preserve"> </w:t>
      </w:r>
      <w:r>
        <w:rPr>
          <w:sz w:val="20"/>
        </w:rPr>
        <w:t>účelu</w:t>
      </w:r>
      <w:r>
        <w:rPr>
          <w:spacing w:val="-7"/>
          <w:sz w:val="20"/>
        </w:rPr>
        <w:t xml:space="preserve"> </w:t>
      </w:r>
      <w:r>
        <w:rPr>
          <w:sz w:val="20"/>
        </w:rPr>
        <w:t>akce.</w:t>
      </w:r>
      <w:r>
        <w:rPr>
          <w:spacing w:val="-1"/>
          <w:sz w:val="20"/>
        </w:rPr>
        <w:t xml:space="preserve"> </w:t>
      </w:r>
      <w:r>
        <w:rPr>
          <w:sz w:val="20"/>
        </w:rPr>
        <w:t>Plnění</w:t>
      </w:r>
      <w:r>
        <w:rPr>
          <w:spacing w:val="-7"/>
          <w:sz w:val="20"/>
        </w:rPr>
        <w:t xml:space="preserve"> </w:t>
      </w:r>
      <w:r>
        <w:rPr>
          <w:sz w:val="20"/>
        </w:rPr>
        <w:t>účelu</w:t>
      </w:r>
      <w:r>
        <w:rPr>
          <w:spacing w:val="-7"/>
          <w:sz w:val="20"/>
        </w:rPr>
        <w:t xml:space="preserve"> </w:t>
      </w:r>
      <w:r>
        <w:rPr>
          <w:sz w:val="20"/>
        </w:rPr>
        <w:t>akce v rozmezí 90-100 % stanovených indikátorů nebude postiženo</w:t>
      </w:r>
      <w:r>
        <w:rPr>
          <w:spacing w:val="-16"/>
          <w:sz w:val="20"/>
        </w:rPr>
        <w:t xml:space="preserve"> </w:t>
      </w:r>
      <w:r>
        <w:rPr>
          <w:sz w:val="20"/>
        </w:rPr>
        <w:t>odvodem.</w:t>
      </w:r>
    </w:p>
    <w:p w:rsidR="00A94332" w:rsidRDefault="00F84128">
      <w:pPr>
        <w:pStyle w:val="Odstavecseseznamem"/>
        <w:numPr>
          <w:ilvl w:val="0"/>
          <w:numId w:val="2"/>
        </w:numPr>
        <w:tabs>
          <w:tab w:val="left" w:pos="386"/>
        </w:tabs>
        <w:spacing w:before="118"/>
        <w:ind w:right="110" w:hanging="283"/>
        <w:jc w:val="both"/>
        <w:rPr>
          <w:sz w:val="20"/>
        </w:rPr>
      </w:pPr>
      <w:r>
        <w:rPr>
          <w:sz w:val="20"/>
        </w:rPr>
        <w:t xml:space="preserve">Porušení povinností podle článku IV bodu 1 písm. c) nebo d) bude postiženo odvodem ve výši 0,5 %     z poskytnuté podpory za každý započatý měsíc prodlení. Porušení těchto povinností </w:t>
      </w:r>
      <w:r>
        <w:rPr>
          <w:sz w:val="20"/>
        </w:rPr>
        <w:t>nepřesahující lhůtu 10 kalendářních dnů nebude postiženo a nebude tak považováno za porušení podmínek poskytnutí podpory.</w:t>
      </w:r>
    </w:p>
    <w:p w:rsidR="00A94332" w:rsidRDefault="00F84128">
      <w:pPr>
        <w:pStyle w:val="Odstavecseseznamem"/>
        <w:numPr>
          <w:ilvl w:val="0"/>
          <w:numId w:val="2"/>
        </w:numPr>
        <w:tabs>
          <w:tab w:val="left" w:pos="386"/>
        </w:tabs>
        <w:ind w:right="114" w:hanging="283"/>
        <w:jc w:val="both"/>
        <w:rPr>
          <w:sz w:val="20"/>
        </w:rPr>
      </w:pPr>
      <w:r>
        <w:rPr>
          <w:sz w:val="20"/>
        </w:rPr>
        <w:t>V případě, že dojde k porušení povinností uvedených v článku IV bodu 2 písm. k), bude stanovena finanční oprava podle přílohy č. 1 tét</w:t>
      </w:r>
      <w:r>
        <w:rPr>
          <w:sz w:val="20"/>
        </w:rPr>
        <w:t>o</w:t>
      </w:r>
      <w:r>
        <w:rPr>
          <w:spacing w:val="-11"/>
          <w:sz w:val="20"/>
        </w:rPr>
        <w:t xml:space="preserve"> </w:t>
      </w:r>
      <w:r>
        <w:rPr>
          <w:sz w:val="20"/>
        </w:rPr>
        <w:t>Smlouvy.</w:t>
      </w:r>
    </w:p>
    <w:p w:rsidR="00A94332" w:rsidRDefault="00F84128">
      <w:pPr>
        <w:pStyle w:val="Odstavecseseznamem"/>
        <w:numPr>
          <w:ilvl w:val="0"/>
          <w:numId w:val="2"/>
        </w:numPr>
        <w:tabs>
          <w:tab w:val="left" w:pos="386"/>
        </w:tabs>
        <w:spacing w:before="118"/>
        <w:ind w:right="108" w:hanging="283"/>
        <w:jc w:val="both"/>
        <w:rPr>
          <w:sz w:val="20"/>
        </w:rPr>
      </w:pPr>
      <w:r>
        <w:rPr>
          <w:sz w:val="20"/>
        </w:rPr>
        <w:t>Porušení ostatních povinností podle této Smlouvy bude postiženo odvodem ve výši 1 % z poskytnuté podpory.</w:t>
      </w:r>
    </w:p>
    <w:p w:rsidR="00A94332" w:rsidRDefault="00A94332">
      <w:pPr>
        <w:pStyle w:val="Zkladntext"/>
        <w:spacing w:before="1"/>
        <w:ind w:left="0"/>
        <w:rPr>
          <w:sz w:val="36"/>
        </w:rPr>
      </w:pPr>
    </w:p>
    <w:p w:rsidR="00A94332" w:rsidRDefault="00F84128">
      <w:pPr>
        <w:pStyle w:val="Nadpis1"/>
        <w:ind w:left="3140"/>
      </w:pPr>
      <w:r>
        <w:t>VI.</w:t>
      </w:r>
    </w:p>
    <w:p w:rsidR="00A94332" w:rsidRDefault="00F84128">
      <w:pPr>
        <w:ind w:left="3137" w:right="3148"/>
        <w:jc w:val="center"/>
        <w:rPr>
          <w:b/>
          <w:sz w:val="20"/>
        </w:rPr>
      </w:pPr>
      <w:r>
        <w:rPr>
          <w:b/>
          <w:sz w:val="20"/>
        </w:rPr>
        <w:t>Závěrečná ustanovení</w:t>
      </w:r>
    </w:p>
    <w:p w:rsidR="00A94332" w:rsidRDefault="00A94332">
      <w:pPr>
        <w:pStyle w:val="Zkladntext"/>
        <w:spacing w:before="0"/>
        <w:ind w:left="0"/>
        <w:rPr>
          <w:b/>
          <w:sz w:val="18"/>
        </w:rPr>
      </w:pPr>
    </w:p>
    <w:p w:rsidR="00A94332" w:rsidRDefault="00F84128">
      <w:pPr>
        <w:pStyle w:val="Odstavecseseznamem"/>
        <w:numPr>
          <w:ilvl w:val="0"/>
          <w:numId w:val="1"/>
        </w:numPr>
        <w:tabs>
          <w:tab w:val="left" w:pos="386"/>
        </w:tabs>
        <w:spacing w:before="1"/>
        <w:ind w:right="119" w:hanging="283"/>
        <w:jc w:val="both"/>
        <w:rPr>
          <w:sz w:val="20"/>
        </w:rPr>
      </w:pPr>
      <w:r>
        <w:rPr>
          <w:sz w:val="20"/>
        </w:rPr>
        <w:t>Pokud dojde ke změně obecně závazných právních předpisů týkajících se vztahů vyplývajících z této Smlouvy, uzavř</w:t>
      </w:r>
      <w:r>
        <w:rPr>
          <w:sz w:val="20"/>
        </w:rPr>
        <w:t>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A94332" w:rsidRDefault="00F84128">
      <w:pPr>
        <w:pStyle w:val="Odstavecseseznamem"/>
        <w:numPr>
          <w:ilvl w:val="0"/>
          <w:numId w:val="1"/>
        </w:numPr>
        <w:tabs>
          <w:tab w:val="left" w:pos="386"/>
        </w:tabs>
        <w:ind w:right="119" w:hanging="283"/>
        <w:jc w:val="both"/>
        <w:rPr>
          <w:sz w:val="20"/>
        </w:rPr>
      </w:pPr>
      <w:r>
        <w:rPr>
          <w:sz w:val="20"/>
        </w:rPr>
        <w:t>Pro snazší identifikaci budou smluvní strany p</w:t>
      </w:r>
      <w:r>
        <w:rPr>
          <w:sz w:val="20"/>
        </w:rPr>
        <w:t>ři veškeré korespondenci (včetně elektronické) týkající se akce, uvádět vždy číslo této Smlouvy, a to již v označení věci, které se daná korespondence bude</w:t>
      </w:r>
      <w:r>
        <w:rPr>
          <w:spacing w:val="-31"/>
          <w:sz w:val="20"/>
        </w:rPr>
        <w:t xml:space="preserve"> </w:t>
      </w:r>
      <w:r>
        <w:rPr>
          <w:sz w:val="20"/>
        </w:rPr>
        <w:t>týkat.</w:t>
      </w:r>
    </w:p>
    <w:p w:rsidR="00A94332" w:rsidRDefault="00F84128">
      <w:pPr>
        <w:pStyle w:val="Odstavecseseznamem"/>
        <w:numPr>
          <w:ilvl w:val="0"/>
          <w:numId w:val="1"/>
        </w:numPr>
        <w:tabs>
          <w:tab w:val="left" w:pos="386"/>
        </w:tabs>
        <w:ind w:right="120"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bodů 2 až 8, a to zejména tehdy, kdy bude docíleno ni</w:t>
      </w:r>
      <w:r>
        <w:rPr>
          <w:sz w:val="20"/>
        </w:rPr>
        <w:t>žších přínosů (nebo dojde k jejich opoždění), než jak tato Smlouva původně</w:t>
      </w:r>
      <w:r>
        <w:rPr>
          <w:spacing w:val="-12"/>
          <w:sz w:val="20"/>
        </w:rPr>
        <w:t xml:space="preserve"> </w:t>
      </w:r>
      <w:r>
        <w:rPr>
          <w:sz w:val="20"/>
        </w:rPr>
        <w:t>předpokládala.</w:t>
      </w:r>
    </w:p>
    <w:p w:rsidR="00A94332" w:rsidRDefault="00F84128">
      <w:pPr>
        <w:pStyle w:val="Odstavecseseznamem"/>
        <w:numPr>
          <w:ilvl w:val="0"/>
          <w:numId w:val="1"/>
        </w:numPr>
        <w:tabs>
          <w:tab w:val="left" w:pos="386"/>
        </w:tabs>
        <w:ind w:hanging="283"/>
        <w:rPr>
          <w:sz w:val="20"/>
        </w:rPr>
      </w:pPr>
      <w:r>
        <w:rPr>
          <w:sz w:val="20"/>
        </w:rPr>
        <w:t>Jednostranně</w:t>
      </w:r>
      <w:r>
        <w:rPr>
          <w:spacing w:val="23"/>
          <w:sz w:val="20"/>
        </w:rPr>
        <w:t xml:space="preserve"> </w:t>
      </w:r>
      <w:r>
        <w:rPr>
          <w:sz w:val="20"/>
        </w:rPr>
        <w:t>je</w:t>
      </w:r>
      <w:r>
        <w:rPr>
          <w:spacing w:val="26"/>
          <w:sz w:val="20"/>
        </w:rPr>
        <w:t xml:space="preserve"> </w:t>
      </w:r>
      <w:r>
        <w:rPr>
          <w:sz w:val="20"/>
        </w:rPr>
        <w:t>možno</w:t>
      </w:r>
      <w:r>
        <w:rPr>
          <w:spacing w:val="25"/>
          <w:sz w:val="20"/>
        </w:rPr>
        <w:t xml:space="preserve"> </w:t>
      </w:r>
      <w:r>
        <w:rPr>
          <w:sz w:val="20"/>
        </w:rPr>
        <w:t>tuto</w:t>
      </w:r>
      <w:r>
        <w:rPr>
          <w:spacing w:val="26"/>
          <w:sz w:val="20"/>
        </w:rPr>
        <w:t xml:space="preserve"> </w:t>
      </w:r>
      <w:r>
        <w:rPr>
          <w:sz w:val="20"/>
        </w:rPr>
        <w:t>Smlouvu</w:t>
      </w:r>
      <w:r>
        <w:rPr>
          <w:spacing w:val="24"/>
          <w:sz w:val="20"/>
        </w:rPr>
        <w:t xml:space="preserve"> </w:t>
      </w:r>
      <w:r>
        <w:rPr>
          <w:sz w:val="20"/>
        </w:rPr>
        <w:t>vypovědět</w:t>
      </w:r>
      <w:r>
        <w:rPr>
          <w:spacing w:val="25"/>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3"/>
          <w:sz w:val="20"/>
        </w:rPr>
        <w:t xml:space="preserve"> </w:t>
      </w:r>
      <w:r>
        <w:rPr>
          <w:sz w:val="20"/>
        </w:rPr>
        <w:t>či</w:t>
      </w:r>
      <w:r>
        <w:rPr>
          <w:spacing w:val="26"/>
          <w:sz w:val="20"/>
        </w:rPr>
        <w:t xml:space="preserve"> </w:t>
      </w:r>
      <w:r>
        <w:rPr>
          <w:sz w:val="20"/>
        </w:rPr>
        <w:t>touto</w:t>
      </w:r>
    </w:p>
    <w:p w:rsidR="00A94332" w:rsidRDefault="00A94332">
      <w:pPr>
        <w:rPr>
          <w:sz w:val="20"/>
        </w:rPr>
        <w:sectPr w:rsidR="00A94332">
          <w:pgSz w:w="12240" w:h="15840"/>
          <w:pgMar w:top="1060" w:right="1020" w:bottom="1600" w:left="1600" w:header="0" w:footer="1460" w:gutter="0"/>
          <w:cols w:space="708"/>
        </w:sectPr>
      </w:pPr>
    </w:p>
    <w:p w:rsidR="00A94332" w:rsidRDefault="00F84128">
      <w:pPr>
        <w:pStyle w:val="Zkladntext"/>
        <w:spacing w:before="73"/>
      </w:pPr>
      <w:r>
        <w:lastRenderedPageBreak/>
        <w:t>Smlouvou.</w:t>
      </w:r>
    </w:p>
    <w:p w:rsidR="00A94332" w:rsidRDefault="00F84128">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A94332" w:rsidRDefault="00F84128">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30"/>
          <w:sz w:val="20"/>
        </w:rPr>
        <w:t xml:space="preserve"> </w:t>
      </w:r>
      <w:r>
        <w:rPr>
          <w:sz w:val="20"/>
        </w:rPr>
        <w:t>podpory.</w:t>
      </w:r>
    </w:p>
    <w:p w:rsidR="00A94332" w:rsidRDefault="00F84128">
      <w:pPr>
        <w:pStyle w:val="Odstavecseseznamem"/>
        <w:numPr>
          <w:ilvl w:val="0"/>
          <w:numId w:val="1"/>
        </w:numPr>
        <w:tabs>
          <w:tab w:val="left" w:pos="386"/>
        </w:tabs>
        <w:ind w:right="108" w:hanging="283"/>
        <w:jc w:val="both"/>
        <w:rPr>
          <w:sz w:val="20"/>
        </w:rPr>
      </w:pPr>
      <w:r>
        <w:rPr>
          <w:sz w:val="20"/>
        </w:rPr>
        <w:t>Pro účely této Smlouvy se informací (povinností informovat</w:t>
      </w:r>
      <w:r>
        <w:rPr>
          <w:sz w:val="20"/>
        </w:rPr>
        <w: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10"/>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A94332" w:rsidRDefault="00F84128">
      <w:pPr>
        <w:pStyle w:val="Odstavecseseznamem"/>
        <w:numPr>
          <w:ilvl w:val="0"/>
          <w:numId w:val="1"/>
        </w:numPr>
        <w:tabs>
          <w:tab w:val="left" w:pos="386"/>
        </w:tabs>
        <w:spacing w:before="118"/>
        <w:ind w:right="109" w:hanging="283"/>
        <w:jc w:val="both"/>
        <w:rPr>
          <w:sz w:val="20"/>
        </w:rPr>
      </w:pPr>
      <w:r>
        <w:rPr>
          <w:sz w:val="20"/>
        </w:rPr>
        <w:t>Příjemce podpory souhlasí se zveřejněním celého textu této Smlouvy  v registru smluv podle zákona    č. 340/2015 Sb.</w:t>
      </w:r>
      <w:r>
        <w:rPr>
          <w:sz w:val="20"/>
        </w:rPr>
        <w:t>, o zvláštních podmínkách účinnosti některých smluv, uveřejňování těchto smluv a o registru smluv (zákon o registru smluv), ve znění pozdějších předpisů, pokud zveřejnění této Smlouvy tento zákon</w:t>
      </w:r>
      <w:r>
        <w:rPr>
          <w:spacing w:val="-8"/>
          <w:sz w:val="20"/>
        </w:rPr>
        <w:t xml:space="preserve"> </w:t>
      </w:r>
      <w:r>
        <w:rPr>
          <w:sz w:val="20"/>
        </w:rPr>
        <w:t>ukládá.</w:t>
      </w:r>
    </w:p>
    <w:p w:rsidR="00A94332" w:rsidRDefault="00F84128">
      <w:pPr>
        <w:pStyle w:val="Odstavecseseznamem"/>
        <w:numPr>
          <w:ilvl w:val="0"/>
          <w:numId w:val="1"/>
        </w:numPr>
        <w:tabs>
          <w:tab w:val="left" w:pos="386"/>
        </w:tabs>
        <w:ind w:right="110" w:hanging="283"/>
        <w:jc w:val="both"/>
        <w:rPr>
          <w:sz w:val="20"/>
        </w:rPr>
      </w:pPr>
      <w:r>
        <w:rPr>
          <w:sz w:val="20"/>
        </w:rPr>
        <w:t>Tato Smlouva je vyhotovena v jednom elektronickém vy</w:t>
      </w:r>
      <w:r>
        <w:rPr>
          <w:sz w:val="20"/>
        </w:rPr>
        <w:t>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A94332" w:rsidRDefault="00A94332">
      <w:pPr>
        <w:pStyle w:val="Zkladntext"/>
        <w:spacing w:before="1"/>
        <w:ind w:left="0"/>
        <w:rPr>
          <w:sz w:val="36"/>
        </w:rPr>
      </w:pPr>
    </w:p>
    <w:p w:rsidR="00A94332" w:rsidRDefault="00F84128">
      <w:pPr>
        <w:pStyle w:val="Zkladntext"/>
        <w:tabs>
          <w:tab w:val="left" w:pos="6551"/>
        </w:tabs>
        <w:spacing w:before="0"/>
        <w:ind w:left="102"/>
      </w:pPr>
      <w:r>
        <w:t>V:</w:t>
      </w:r>
      <w:r>
        <w:tab/>
        <w:t>V Praze</w:t>
      </w:r>
      <w:r>
        <w:rPr>
          <w:spacing w:val="15"/>
        </w:rPr>
        <w:t xml:space="preserve"> </w:t>
      </w:r>
      <w:r>
        <w:t>dne:</w:t>
      </w:r>
    </w:p>
    <w:p w:rsidR="00A94332" w:rsidRDefault="00A94332">
      <w:pPr>
        <w:pStyle w:val="Zkladntext"/>
        <w:spacing w:before="0"/>
        <w:ind w:left="0"/>
        <w:rPr>
          <w:sz w:val="18"/>
        </w:rPr>
      </w:pPr>
    </w:p>
    <w:p w:rsidR="00A94332" w:rsidRDefault="00F84128">
      <w:pPr>
        <w:pStyle w:val="Zkladntext"/>
        <w:spacing w:before="1"/>
        <w:ind w:left="102"/>
      </w:pPr>
      <w:r>
        <w:t>dne:</w:t>
      </w:r>
    </w:p>
    <w:p w:rsidR="00A94332" w:rsidRDefault="00A94332">
      <w:pPr>
        <w:pStyle w:val="Zkladntext"/>
        <w:spacing w:before="0"/>
        <w:ind w:left="0"/>
        <w:rPr>
          <w:sz w:val="26"/>
        </w:rPr>
      </w:pPr>
    </w:p>
    <w:p w:rsidR="00A94332" w:rsidRDefault="00A94332">
      <w:pPr>
        <w:pStyle w:val="Zkladntext"/>
        <w:spacing w:before="0"/>
        <w:ind w:left="0"/>
        <w:rPr>
          <w:sz w:val="26"/>
        </w:rPr>
      </w:pPr>
    </w:p>
    <w:p w:rsidR="00A94332" w:rsidRDefault="00A94332">
      <w:pPr>
        <w:pStyle w:val="Zkladntext"/>
        <w:spacing w:before="3"/>
        <w:ind w:left="0"/>
        <w:rPr>
          <w:sz w:val="29"/>
        </w:rPr>
      </w:pPr>
    </w:p>
    <w:p w:rsidR="00A94332" w:rsidRDefault="00F84128">
      <w:pPr>
        <w:pStyle w:val="Zkladntext"/>
        <w:tabs>
          <w:tab w:val="left" w:pos="6582"/>
        </w:tabs>
        <w:spacing w:before="0"/>
        <w:ind w:left="102"/>
      </w:pPr>
      <w:r>
        <w:t>…………………………………………….</w:t>
      </w:r>
      <w:r>
        <w:tab/>
        <w:t>……………………………………</w:t>
      </w:r>
    </w:p>
    <w:p w:rsidR="00A94332" w:rsidRDefault="00F84128">
      <w:pPr>
        <w:pStyle w:val="Zkladntext"/>
        <w:tabs>
          <w:tab w:val="left" w:pos="6582"/>
        </w:tabs>
        <w:spacing w:before="0"/>
        <w:ind w:left="102"/>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A94332" w:rsidRDefault="00A94332">
      <w:pPr>
        <w:pStyle w:val="Zkladntext"/>
        <w:spacing w:before="0"/>
        <w:ind w:left="0"/>
        <w:rPr>
          <w:sz w:val="26"/>
        </w:rPr>
      </w:pPr>
    </w:p>
    <w:p w:rsidR="00A94332" w:rsidRDefault="00A94332">
      <w:pPr>
        <w:pStyle w:val="Zkladntext"/>
        <w:spacing w:before="2"/>
        <w:ind w:left="0"/>
        <w:rPr>
          <w:sz w:val="32"/>
        </w:rPr>
      </w:pPr>
    </w:p>
    <w:p w:rsidR="00A94332" w:rsidRDefault="00F84128">
      <w:pPr>
        <w:pStyle w:val="Zkladntext"/>
        <w:spacing w:before="0" w:line="261" w:lineRule="auto"/>
        <w:ind w:left="102"/>
      </w:pPr>
      <w:r>
        <w:t>Příloha č. 1 - Stanovení finančních oprav, které se použijí v případě porušení povinností při zadávání zakázek/veřejných zakázek</w:t>
      </w:r>
    </w:p>
    <w:p w:rsidR="00A94332" w:rsidRDefault="00A94332">
      <w:pPr>
        <w:spacing w:line="261" w:lineRule="auto"/>
        <w:sectPr w:rsidR="00A94332">
          <w:pgSz w:w="12240" w:h="15840"/>
          <w:pgMar w:top="1060" w:right="1020" w:bottom="1660" w:left="1600" w:header="0" w:footer="1460" w:gutter="0"/>
          <w:cols w:space="708"/>
        </w:sectPr>
      </w:pPr>
    </w:p>
    <w:p w:rsidR="00A94332" w:rsidRDefault="00F84128">
      <w:pPr>
        <w:pStyle w:val="Zkladntext"/>
        <w:spacing w:before="73"/>
        <w:ind w:left="242"/>
      </w:pPr>
      <w:r>
        <w:lastRenderedPageBreak/>
        <w:t>Příloha č. 1  Smlouva o poskytnutí podpory ze Státního fondu životního prostředí České republiky</w:t>
      </w:r>
    </w:p>
    <w:p w:rsidR="00A94332" w:rsidRDefault="00A94332">
      <w:pPr>
        <w:pStyle w:val="Zkladntext"/>
        <w:spacing w:before="0"/>
        <w:ind w:left="0"/>
        <w:rPr>
          <w:sz w:val="26"/>
        </w:rPr>
      </w:pPr>
    </w:p>
    <w:p w:rsidR="00A94332" w:rsidRDefault="00A94332">
      <w:pPr>
        <w:pStyle w:val="Zkladntext"/>
        <w:spacing w:before="2"/>
        <w:ind w:left="0"/>
        <w:rPr>
          <w:sz w:val="32"/>
        </w:rPr>
      </w:pPr>
    </w:p>
    <w:p w:rsidR="00A94332" w:rsidRDefault="00F84128">
      <w:pPr>
        <w:pStyle w:val="Nadpis1"/>
        <w:spacing w:line="264" w:lineRule="auto"/>
        <w:ind w:left="242" w:right="0"/>
        <w:jc w:val="left"/>
      </w:pPr>
      <w:r>
        <w:t>Stanovení finančních oprav, které se použijí v případě porušení povinností při zadávání zakázek/ veřejných zakázek</w:t>
      </w:r>
    </w:p>
    <w:p w:rsidR="00A94332" w:rsidRDefault="00A94332">
      <w:pPr>
        <w:pStyle w:val="Zkladntext"/>
        <w:spacing w:before="1"/>
        <w:ind w:left="0"/>
        <w:rPr>
          <w:b/>
          <w:sz w:val="27"/>
        </w:rPr>
      </w:pPr>
    </w:p>
    <w:p w:rsidR="00A94332" w:rsidRDefault="00F84128">
      <w:pPr>
        <w:pStyle w:val="Odstavecseseznamem"/>
        <w:numPr>
          <w:ilvl w:val="1"/>
          <w:numId w:val="1"/>
        </w:numPr>
        <w:tabs>
          <w:tab w:val="left" w:pos="526"/>
        </w:tabs>
        <w:spacing w:before="0" w:line="264" w:lineRule="auto"/>
        <w:ind w:right="111"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w:t>
      </w:r>
      <w:r>
        <w:rPr>
          <w:sz w:val="20"/>
        </w:rPr>
        <w:t>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4"/>
          <w:sz w:val="20"/>
        </w:rPr>
        <w:t xml:space="preserve"> </w:t>
      </w:r>
      <w:r>
        <w:rPr>
          <w:sz w:val="20"/>
        </w:rPr>
        <w:t>a</w:t>
      </w:r>
      <w:r>
        <w:rPr>
          <w:spacing w:val="4"/>
          <w:sz w:val="20"/>
        </w:rPr>
        <w:t xml:space="preserve"> </w:t>
      </w:r>
      <w:r>
        <w:rPr>
          <w:sz w:val="20"/>
        </w:rPr>
        <w:t>o</w:t>
      </w:r>
      <w:r>
        <w:rPr>
          <w:spacing w:val="-2"/>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 kázně v případě pochybení, které spočívá v porušení povinností stanovených v článku IV bodu 2) písm. k) Smlouvy při zadávání zakázek/veřejný</w:t>
      </w:r>
      <w:r>
        <w:rPr>
          <w:sz w:val="20"/>
        </w:rPr>
        <w:t>ch zakázek (dále souhrnně jen „veřejné</w:t>
      </w:r>
      <w:r>
        <w:rPr>
          <w:spacing w:val="-31"/>
          <w:sz w:val="20"/>
        </w:rPr>
        <w:t xml:space="preserve"> </w:t>
      </w:r>
      <w:r>
        <w:rPr>
          <w:sz w:val="20"/>
        </w:rPr>
        <w:t xml:space="preserve">zakázky“), zejména v nedodržení postupu podle zákona č. 134/2016 Sb., o zadávání veřejných zakázek, ve znění účinném v době zahájení zadávacího řízení, případně zákona č. 137/2006 Sb., o veřejných zakázkách, ve znění </w:t>
      </w:r>
      <w:r>
        <w:rPr>
          <w:sz w:val="20"/>
        </w:rPr>
        <w:t>účinném v době zahájení zadávacího řízení (dále souhrnně jen „zákon“) a/nebo nedodržení postupu</w:t>
      </w:r>
      <w:r>
        <w:rPr>
          <w:spacing w:val="-11"/>
          <w:sz w:val="20"/>
        </w:rPr>
        <w:t xml:space="preserve"> </w:t>
      </w:r>
      <w:r>
        <w:rPr>
          <w:sz w:val="20"/>
        </w:rPr>
        <w:t>stanoveného</w:t>
      </w:r>
      <w:r>
        <w:rPr>
          <w:spacing w:val="-11"/>
          <w:sz w:val="20"/>
        </w:rPr>
        <w:t xml:space="preserve"> </w:t>
      </w:r>
      <w:r>
        <w:rPr>
          <w:sz w:val="20"/>
        </w:rPr>
        <w:t>v</w:t>
      </w:r>
      <w:r>
        <w:rPr>
          <w:spacing w:val="-1"/>
          <w:sz w:val="20"/>
        </w:rPr>
        <w:t xml:space="preserve"> </w:t>
      </w:r>
      <w:r>
        <w:rPr>
          <w:sz w:val="20"/>
        </w:rPr>
        <w:t>Pokynech</w:t>
      </w:r>
      <w:r>
        <w:rPr>
          <w:spacing w:val="-12"/>
          <w:sz w:val="20"/>
        </w:rPr>
        <w:t xml:space="preserve"> </w:t>
      </w:r>
      <w:r>
        <w:rPr>
          <w:sz w:val="20"/>
        </w:rPr>
        <w:t>pro</w:t>
      </w:r>
      <w:r>
        <w:rPr>
          <w:spacing w:val="-11"/>
          <w:sz w:val="20"/>
        </w:rPr>
        <w:t xml:space="preserve"> </w:t>
      </w:r>
      <w:r>
        <w:rPr>
          <w:sz w:val="20"/>
        </w:rPr>
        <w:t>zadávání</w:t>
      </w:r>
      <w:r>
        <w:rPr>
          <w:spacing w:val="-12"/>
          <w:sz w:val="20"/>
        </w:rPr>
        <w:t xml:space="preserve"> </w:t>
      </w:r>
      <w:r>
        <w:rPr>
          <w:sz w:val="20"/>
        </w:rPr>
        <w:t>veřejných</w:t>
      </w:r>
      <w:r>
        <w:rPr>
          <w:spacing w:val="-12"/>
          <w:sz w:val="20"/>
        </w:rPr>
        <w:t xml:space="preserve"> </w:t>
      </w:r>
      <w:r>
        <w:rPr>
          <w:sz w:val="20"/>
        </w:rPr>
        <w:t>zakázek</w:t>
      </w:r>
      <w:r>
        <w:rPr>
          <w:spacing w:val="-13"/>
          <w:sz w:val="20"/>
        </w:rPr>
        <w:t xml:space="preserve"> </w:t>
      </w:r>
      <w:r>
        <w:rPr>
          <w:sz w:val="20"/>
        </w:rPr>
        <w:t>v OPŽP</w:t>
      </w:r>
      <w:r>
        <w:rPr>
          <w:spacing w:val="-13"/>
          <w:sz w:val="20"/>
        </w:rPr>
        <w:t xml:space="preserve"> </w:t>
      </w:r>
      <w:r>
        <w:rPr>
          <w:sz w:val="20"/>
        </w:rPr>
        <w:t>2014</w:t>
      </w:r>
      <w:r>
        <w:rPr>
          <w:spacing w:val="-10"/>
          <w:sz w:val="20"/>
        </w:rPr>
        <w:t xml:space="preserve"> </w:t>
      </w:r>
      <w:r>
        <w:rPr>
          <w:sz w:val="20"/>
        </w:rPr>
        <w:t>–</w:t>
      </w:r>
      <w:r>
        <w:rPr>
          <w:spacing w:val="-10"/>
          <w:sz w:val="20"/>
        </w:rPr>
        <w:t xml:space="preserve"> </w:t>
      </w:r>
      <w:r>
        <w:rPr>
          <w:sz w:val="20"/>
        </w:rPr>
        <w:t>2020,</w:t>
      </w:r>
      <w:r>
        <w:rPr>
          <w:spacing w:val="-12"/>
          <w:sz w:val="20"/>
        </w:rPr>
        <w:t xml:space="preserve"> </w:t>
      </w:r>
      <w:r>
        <w:rPr>
          <w:sz w:val="20"/>
        </w:rPr>
        <w:t>ve</w:t>
      </w:r>
      <w:r>
        <w:rPr>
          <w:spacing w:val="-12"/>
          <w:sz w:val="20"/>
        </w:rPr>
        <w:t xml:space="preserve"> </w:t>
      </w:r>
      <w:r>
        <w:rPr>
          <w:sz w:val="20"/>
        </w:rPr>
        <w:t>znění</w:t>
      </w:r>
      <w:r>
        <w:rPr>
          <w:spacing w:val="-12"/>
          <w:sz w:val="20"/>
        </w:rPr>
        <w:t xml:space="preserve"> </w:t>
      </w:r>
      <w:r>
        <w:rPr>
          <w:sz w:val="20"/>
        </w:rPr>
        <w:t>účinném v době zahájení výběrového/zadávacího řízení (dále jen „Pokyny OPŽP“)</w:t>
      </w:r>
      <w:r>
        <w:rPr>
          <w:sz w:val="20"/>
        </w:rPr>
        <w:t>, případně v dokumentu Zadávání veřejných zakázek v OPŽP 2014 – 2020, ve znění účinném v době zahájení výběrového/zadávacího řízení (dále jen „Zadávání VZ v</w:t>
      </w:r>
      <w:r>
        <w:rPr>
          <w:spacing w:val="-14"/>
          <w:sz w:val="20"/>
        </w:rPr>
        <w:t xml:space="preserve"> </w:t>
      </w:r>
      <w:r>
        <w:rPr>
          <w:sz w:val="20"/>
        </w:rPr>
        <w:t>OPŽP“).</w:t>
      </w:r>
    </w:p>
    <w:p w:rsidR="00A94332" w:rsidRDefault="00F84128">
      <w:pPr>
        <w:pStyle w:val="Odstavecseseznamem"/>
        <w:numPr>
          <w:ilvl w:val="1"/>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A94332" w:rsidRDefault="00F84128">
      <w:pPr>
        <w:pStyle w:val="Odstavecseseznamem"/>
        <w:numPr>
          <w:ilvl w:val="1"/>
          <w:numId w:val="1"/>
        </w:numPr>
        <w:tabs>
          <w:tab w:val="left" w:pos="526"/>
        </w:tabs>
        <w:spacing w:line="264" w:lineRule="auto"/>
        <w:ind w:right="111" w:hanging="283"/>
        <w:jc w:val="both"/>
        <w:rPr>
          <w:sz w:val="20"/>
        </w:rPr>
      </w:pPr>
      <w:r>
        <w:rPr>
          <w:sz w:val="20"/>
        </w:rPr>
        <w:t>Pokud je možné přesně vyčíslit finanční dopad identifikovaného porušení, bude finanční oprava stanovena ve výši vyčísleného finančn</w:t>
      </w:r>
      <w:r>
        <w:rPr>
          <w:sz w:val="20"/>
        </w:rPr>
        <w:t>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5"/>
          <w:sz w:val="20"/>
        </w:rPr>
        <w:t xml:space="preserve"> </w:t>
      </w:r>
      <w:r>
        <w:rPr>
          <w:sz w:val="20"/>
        </w:rPr>
        <w:t>tabulka</w:t>
      </w:r>
      <w:r>
        <w:rPr>
          <w:spacing w:val="-6"/>
          <w:sz w:val="20"/>
        </w:rPr>
        <w:t xml:space="preserve"> </w:t>
      </w:r>
      <w:r>
        <w:rPr>
          <w:sz w:val="20"/>
        </w:rPr>
        <w:t>níže.</w:t>
      </w:r>
    </w:p>
    <w:p w:rsidR="00A94332" w:rsidRDefault="00F84128">
      <w:pPr>
        <w:pStyle w:val="Odstavecseseznamem"/>
        <w:numPr>
          <w:ilvl w:val="1"/>
          <w:numId w:val="1"/>
        </w:numPr>
        <w:tabs>
          <w:tab w:val="left" w:pos="526"/>
        </w:tabs>
        <w:spacing w:line="264" w:lineRule="auto"/>
        <w:ind w:right="112" w:hanging="283"/>
        <w:jc w:val="both"/>
        <w:rPr>
          <w:sz w:val="20"/>
        </w:rPr>
      </w:pPr>
      <w:r>
        <w:rPr>
          <w:sz w:val="20"/>
        </w:rPr>
        <w:t>Výše finanční opravy se vypočte z částky, která byla nebo má být z prostředků Fondu v rámci</w:t>
      </w:r>
      <w:r>
        <w:rPr>
          <w:sz w:val="20"/>
        </w:rPr>
        <w:t xml:space="preserve"> podpory poskytnuta v souvislosti s veřejnou zakázkou, u které se porušení</w:t>
      </w:r>
      <w:r>
        <w:rPr>
          <w:spacing w:val="-25"/>
          <w:sz w:val="20"/>
        </w:rPr>
        <w:t xml:space="preserve"> </w:t>
      </w:r>
      <w:r>
        <w:rPr>
          <w:sz w:val="20"/>
        </w:rPr>
        <w:t>vyskytlo.</w:t>
      </w:r>
    </w:p>
    <w:p w:rsidR="00A94332" w:rsidRDefault="00F84128">
      <w:pPr>
        <w:pStyle w:val="Odstavecseseznamem"/>
        <w:numPr>
          <w:ilvl w:val="1"/>
          <w:numId w:val="1"/>
        </w:numPr>
        <w:tabs>
          <w:tab w:val="left" w:pos="526"/>
        </w:tabs>
        <w:spacing w:line="264" w:lineRule="auto"/>
        <w:ind w:right="112" w:hanging="283"/>
        <w:jc w:val="both"/>
        <w:rPr>
          <w:sz w:val="20"/>
        </w:rPr>
      </w:pP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u</w:t>
      </w:r>
      <w:r>
        <w:rPr>
          <w:spacing w:val="-6"/>
          <w:sz w:val="20"/>
        </w:rPr>
        <w:t xml:space="preserve"> </w:t>
      </w:r>
      <w:r>
        <w:rPr>
          <w:sz w:val="20"/>
        </w:rPr>
        <w:t>veřejné</w:t>
      </w:r>
      <w:r>
        <w:rPr>
          <w:spacing w:val="-7"/>
          <w:sz w:val="20"/>
        </w:rPr>
        <w:t xml:space="preserve"> </w:t>
      </w:r>
      <w:r>
        <w:rPr>
          <w:sz w:val="20"/>
        </w:rPr>
        <w:t>zakázky</w:t>
      </w:r>
      <w:r>
        <w:rPr>
          <w:spacing w:val="-6"/>
          <w:sz w:val="20"/>
        </w:rPr>
        <w:t xml:space="preserve"> </w:t>
      </w:r>
      <w:r>
        <w:rPr>
          <w:sz w:val="20"/>
        </w:rPr>
        <w:t>bude</w:t>
      </w:r>
      <w:r>
        <w:rPr>
          <w:spacing w:val="-5"/>
          <w:sz w:val="20"/>
        </w:rPr>
        <w:t xml:space="preserve"> </w:t>
      </w:r>
      <w:r>
        <w:rPr>
          <w:sz w:val="20"/>
        </w:rPr>
        <w:t>identifikováno</w:t>
      </w:r>
      <w:r>
        <w:rPr>
          <w:spacing w:val="-5"/>
          <w:sz w:val="20"/>
        </w:rPr>
        <w:t xml:space="preserve"> </w:t>
      </w:r>
      <w:r>
        <w:rPr>
          <w:sz w:val="20"/>
        </w:rPr>
        <w:t>více</w:t>
      </w:r>
      <w:r>
        <w:rPr>
          <w:spacing w:val="-7"/>
          <w:sz w:val="20"/>
        </w:rPr>
        <w:t xml:space="preserve"> </w:t>
      </w:r>
      <w:r>
        <w:rPr>
          <w:sz w:val="20"/>
        </w:rPr>
        <w:t>porušení,</w:t>
      </w:r>
      <w:r>
        <w:rPr>
          <w:spacing w:val="-6"/>
          <w:sz w:val="20"/>
        </w:rPr>
        <w:t xml:space="preserve"> </w:t>
      </w:r>
      <w:r>
        <w:rPr>
          <w:sz w:val="20"/>
        </w:rPr>
        <w:t>výše</w:t>
      </w:r>
      <w:r>
        <w:rPr>
          <w:spacing w:val="-5"/>
          <w:sz w:val="20"/>
        </w:rPr>
        <w:t xml:space="preserve"> </w:t>
      </w:r>
      <w:r>
        <w:rPr>
          <w:sz w:val="20"/>
        </w:rPr>
        <w:t>finančních</w:t>
      </w:r>
      <w:r>
        <w:rPr>
          <w:spacing w:val="-3"/>
          <w:sz w:val="20"/>
        </w:rPr>
        <w:t xml:space="preserve"> </w:t>
      </w:r>
      <w:r>
        <w:rPr>
          <w:sz w:val="20"/>
        </w:rPr>
        <w:t>oprav</w:t>
      </w:r>
      <w:r>
        <w:rPr>
          <w:spacing w:val="-6"/>
          <w:sz w:val="20"/>
        </w:rPr>
        <w:t xml:space="preserve"> </w:t>
      </w:r>
      <w:r>
        <w:rPr>
          <w:sz w:val="20"/>
        </w:rPr>
        <w:t>stanovených</w:t>
      </w:r>
      <w:r>
        <w:rPr>
          <w:spacing w:val="-6"/>
          <w:sz w:val="20"/>
        </w:rPr>
        <w:t xml:space="preserve"> </w:t>
      </w:r>
      <w:r>
        <w:rPr>
          <w:sz w:val="20"/>
        </w:rPr>
        <w:t>za jednotlivá porušení se nesčítají a výsledná finanční oprava je stanovena s ohledem na nejzávažnější porušení.</w:t>
      </w:r>
    </w:p>
    <w:p w:rsidR="00A94332" w:rsidRDefault="00F84128">
      <w:pPr>
        <w:pStyle w:val="Odstavecseseznamem"/>
        <w:numPr>
          <w:ilvl w:val="1"/>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7"/>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3"/>
          <w:sz w:val="20"/>
        </w:rPr>
        <w:t xml:space="preserve"> </w:t>
      </w:r>
      <w:r>
        <w:rPr>
          <w:sz w:val="20"/>
        </w:rPr>
        <w:t>výsledek výběrového/zadávacího řízení, z hlediska mír</w:t>
      </w:r>
      <w:r>
        <w:rPr>
          <w:sz w:val="20"/>
        </w:rPr>
        <w:t>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w:t>
      </w:r>
      <w:r>
        <w:rPr>
          <w:sz w:val="20"/>
        </w:rPr>
        <w:t>o k odrazení potenciálních dodavatelů od účasti ve výběrovém/zadávacím řízení nebo k zadání veřejné zakázky jinému dodavateli, než kterému měla být</w:t>
      </w:r>
      <w:r>
        <w:rPr>
          <w:spacing w:val="-15"/>
          <w:sz w:val="20"/>
        </w:rPr>
        <w:t xml:space="preserve"> </w:t>
      </w:r>
      <w:r>
        <w:rPr>
          <w:sz w:val="20"/>
        </w:rPr>
        <w:t>zadána.</w:t>
      </w:r>
    </w:p>
    <w:p w:rsidR="00A94332" w:rsidRDefault="00F84128">
      <w:pPr>
        <w:pStyle w:val="Odstavecseseznamem"/>
        <w:numPr>
          <w:ilvl w:val="1"/>
          <w:numId w:val="1"/>
        </w:numPr>
        <w:tabs>
          <w:tab w:val="left" w:pos="526"/>
        </w:tabs>
        <w:spacing w:line="264" w:lineRule="auto"/>
        <w:ind w:right="114" w:hanging="425"/>
        <w:jc w:val="left"/>
        <w:rPr>
          <w:sz w:val="20"/>
        </w:rPr>
      </w:pPr>
      <w:r>
        <w:rPr>
          <w:sz w:val="20"/>
        </w:rPr>
        <w:t xml:space="preserve">V případě, že bude identifikováno porušení, které nelze podřadit pod konkrétní typ porušení uvedený </w:t>
      </w:r>
      <w:r>
        <w:rPr>
          <w:sz w:val="20"/>
        </w:rPr>
        <w:t xml:space="preserve">  v tabulce níže, bude stanovena finanční oprava dle zásady</w:t>
      </w:r>
      <w:r>
        <w:rPr>
          <w:spacing w:val="-19"/>
          <w:sz w:val="20"/>
        </w:rPr>
        <w:t xml:space="preserve"> </w:t>
      </w:r>
      <w:r>
        <w:rPr>
          <w:sz w:val="20"/>
        </w:rPr>
        <w:t>přiměřenosti.</w:t>
      </w:r>
    </w:p>
    <w:p w:rsidR="00A94332" w:rsidRDefault="00A94332">
      <w:pPr>
        <w:spacing w:line="264" w:lineRule="auto"/>
        <w:rPr>
          <w:sz w:val="20"/>
        </w:rPr>
        <w:sectPr w:rsidR="00A94332">
          <w:pgSz w:w="12240" w:h="15840"/>
          <w:pgMar w:top="1060" w:right="1020" w:bottom="1660" w:left="1460" w:header="0" w:footer="146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94332">
        <w:trPr>
          <w:trHeight w:hRule="exact" w:val="548"/>
        </w:trPr>
        <w:tc>
          <w:tcPr>
            <w:tcW w:w="492" w:type="dxa"/>
            <w:tcBorders>
              <w:right w:val="single" w:sz="2" w:space="0" w:color="000000"/>
            </w:tcBorders>
            <w:shd w:val="clear" w:color="auto" w:fill="F1F1F1"/>
          </w:tcPr>
          <w:p w:rsidR="00A94332" w:rsidRDefault="00F8412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A94332" w:rsidRDefault="00F84128">
            <w:pPr>
              <w:pStyle w:val="TableParagraph"/>
              <w:spacing w:before="108"/>
              <w:ind w:left="103"/>
              <w:rPr>
                <w:b/>
                <w:sz w:val="20"/>
              </w:rPr>
            </w:pPr>
            <w:r>
              <w:rPr>
                <w:b/>
                <w:sz w:val="20"/>
              </w:rPr>
              <w:t>Sazba finanční opravy</w:t>
            </w:r>
          </w:p>
        </w:tc>
      </w:tr>
      <w:tr w:rsidR="00A94332">
        <w:trPr>
          <w:trHeight w:hRule="exact" w:val="539"/>
        </w:trPr>
        <w:tc>
          <w:tcPr>
            <w:tcW w:w="492" w:type="dxa"/>
            <w:vMerge w:val="restart"/>
            <w:tcBorders>
              <w:right w:val="single" w:sz="2" w:space="0" w:color="000000"/>
            </w:tcBorders>
          </w:tcPr>
          <w:p w:rsidR="00A94332" w:rsidRDefault="00F84128">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A94332" w:rsidRDefault="00F84128">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A94332" w:rsidRDefault="00F84128">
            <w:pPr>
              <w:pStyle w:val="TableParagraph"/>
              <w:spacing w:before="109" w:line="264" w:lineRule="auto"/>
              <w:ind w:right="141"/>
              <w:rPr>
                <w:sz w:val="20"/>
              </w:rPr>
            </w:pPr>
            <w:r>
              <w:rPr>
                <w:sz w:val="20"/>
              </w:rPr>
              <w:t>Zadavatel zadal veřejnou zakázku, aniž by zahájil zadávací řízení</w:t>
            </w:r>
          </w:p>
          <w:p w:rsidR="00A94332" w:rsidRDefault="00F84128">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A94332" w:rsidRDefault="00F84128">
            <w:pPr>
              <w:pStyle w:val="TableParagraph"/>
              <w:spacing w:before="109"/>
              <w:ind w:left="103"/>
              <w:rPr>
                <w:sz w:val="20"/>
              </w:rPr>
            </w:pPr>
            <w:r>
              <w:rPr>
                <w:sz w:val="20"/>
              </w:rPr>
              <w:t>100 %</w:t>
            </w:r>
          </w:p>
        </w:tc>
      </w:tr>
      <w:tr w:rsidR="00A94332">
        <w:trPr>
          <w:trHeight w:hRule="exact" w:val="1694"/>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A94332">
        <w:trPr>
          <w:trHeight w:hRule="exact" w:val="523"/>
        </w:trPr>
        <w:tc>
          <w:tcPr>
            <w:tcW w:w="492" w:type="dxa"/>
            <w:vMerge w:val="restart"/>
            <w:tcBorders>
              <w:top w:val="single" w:sz="2" w:space="0" w:color="000000"/>
              <w:right w:val="single" w:sz="2" w:space="0" w:color="000000"/>
            </w:tcBorders>
          </w:tcPr>
          <w:p w:rsidR="00A94332" w:rsidRDefault="00F84128">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A94332" w:rsidRDefault="00F84128">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A94332" w:rsidRDefault="00F84128">
            <w:pPr>
              <w:pStyle w:val="TableParagraph"/>
              <w:ind w:left="103"/>
              <w:rPr>
                <w:sz w:val="20"/>
              </w:rPr>
            </w:pPr>
            <w:r>
              <w:rPr>
                <w:sz w:val="20"/>
              </w:rPr>
              <w:t>100 %</w:t>
            </w:r>
          </w:p>
        </w:tc>
      </w:tr>
      <w:tr w:rsidR="00A94332">
        <w:trPr>
          <w:trHeight w:hRule="exact" w:val="1695"/>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A94332">
        <w:trPr>
          <w:trHeight w:hRule="exact" w:val="1109"/>
        </w:trPr>
        <w:tc>
          <w:tcPr>
            <w:tcW w:w="492" w:type="dxa"/>
            <w:vMerge w:val="restart"/>
            <w:tcBorders>
              <w:top w:val="single" w:sz="2" w:space="0" w:color="000000"/>
              <w:right w:val="single" w:sz="2" w:space="0" w:color="000000"/>
            </w:tcBorders>
          </w:tcPr>
          <w:p w:rsidR="00A94332" w:rsidRDefault="00F84128">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A94332" w:rsidRDefault="00F84128">
            <w:pPr>
              <w:pStyle w:val="TableParagraph"/>
              <w:spacing w:before="0"/>
              <w:rPr>
                <w:sz w:val="20"/>
              </w:rPr>
            </w:pPr>
            <w:r>
              <w:rPr>
                <w:sz w:val="20"/>
              </w:rPr>
              <w:t>v  Pokynech OPŽP, příp.</w:t>
            </w:r>
          </w:p>
          <w:p w:rsidR="00A94332" w:rsidRDefault="00F84128">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ight="90"/>
              <w:rPr>
                <w:sz w:val="20"/>
              </w:rPr>
            </w:pPr>
            <w:r>
              <w:rPr>
                <w:sz w:val="20"/>
              </w:rPr>
              <w:t>25 %, pokud je zkrácení vyšší nebo rovno 50 % délky minimální lhůty</w:t>
            </w:r>
          </w:p>
        </w:tc>
      </w:tr>
      <w:tr w:rsidR="00A94332">
        <w:trPr>
          <w:trHeight w:hRule="exact" w:val="1109"/>
        </w:trPr>
        <w:tc>
          <w:tcPr>
            <w:tcW w:w="492" w:type="dxa"/>
            <w:vMerge/>
            <w:tcBorders>
              <w:right w:val="single" w:sz="2" w:space="0" w:color="000000"/>
            </w:tcBorders>
          </w:tcPr>
          <w:p w:rsidR="00A94332" w:rsidRDefault="00A94332"/>
        </w:tc>
        <w:tc>
          <w:tcPr>
            <w:tcW w:w="2211" w:type="dxa"/>
            <w:vMerge/>
            <w:tcBorders>
              <w:left w:val="single" w:sz="2" w:space="0" w:color="000000"/>
              <w:right w:val="single" w:sz="2" w:space="0" w:color="000000"/>
            </w:tcBorders>
          </w:tcPr>
          <w:p w:rsidR="00A94332" w:rsidRDefault="00A94332"/>
        </w:tc>
        <w:tc>
          <w:tcPr>
            <w:tcW w:w="3485" w:type="dxa"/>
            <w:vMerge/>
            <w:tcBorders>
              <w:left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ight="90"/>
              <w:rPr>
                <w:sz w:val="20"/>
              </w:rPr>
            </w:pPr>
            <w:r>
              <w:rPr>
                <w:sz w:val="20"/>
              </w:rPr>
              <w:t>10 %, pokud je zkrácení vyšší nebo rovno 30 % délky minimální lhůty</w:t>
            </w:r>
          </w:p>
        </w:tc>
      </w:tr>
      <w:tr w:rsidR="00A94332">
        <w:trPr>
          <w:trHeight w:hRule="exact" w:val="1109"/>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A94332">
        <w:trPr>
          <w:trHeight w:hRule="exact" w:val="1402"/>
        </w:trPr>
        <w:tc>
          <w:tcPr>
            <w:tcW w:w="492" w:type="dxa"/>
            <w:vMerge w:val="restart"/>
            <w:tcBorders>
              <w:top w:val="single" w:sz="2" w:space="0" w:color="000000"/>
              <w:right w:val="single" w:sz="2" w:space="0" w:color="000000"/>
            </w:tcBorders>
          </w:tcPr>
          <w:p w:rsidR="00A94332" w:rsidRDefault="00F84128">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w:t>
            </w:r>
            <w:r>
              <w:rPr>
                <w:sz w:val="20"/>
              </w:rPr>
              <w:t>ou soutěž</w:t>
            </w:r>
          </w:p>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A94332">
        <w:trPr>
          <w:trHeight w:hRule="exact" w:val="1402"/>
        </w:trPr>
        <w:tc>
          <w:tcPr>
            <w:tcW w:w="492" w:type="dxa"/>
            <w:vMerge/>
            <w:tcBorders>
              <w:right w:val="single" w:sz="2" w:space="0" w:color="000000"/>
            </w:tcBorders>
          </w:tcPr>
          <w:p w:rsidR="00A94332" w:rsidRDefault="00A94332"/>
        </w:tc>
        <w:tc>
          <w:tcPr>
            <w:tcW w:w="2211" w:type="dxa"/>
            <w:vMerge/>
            <w:tcBorders>
              <w:left w:val="single" w:sz="2" w:space="0" w:color="000000"/>
              <w:right w:val="single" w:sz="2" w:space="0" w:color="000000"/>
            </w:tcBorders>
          </w:tcPr>
          <w:p w:rsidR="00A94332" w:rsidRDefault="00A94332"/>
        </w:tc>
        <w:tc>
          <w:tcPr>
            <w:tcW w:w="3485" w:type="dxa"/>
            <w:vMerge/>
            <w:tcBorders>
              <w:left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A94332">
        <w:trPr>
          <w:trHeight w:hRule="exact" w:val="1402"/>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A94332" w:rsidRDefault="00A94332">
      <w:pPr>
        <w:spacing w:line="264" w:lineRule="auto"/>
        <w:rPr>
          <w:sz w:val="20"/>
        </w:rPr>
        <w:sectPr w:rsidR="00A94332">
          <w:pgSz w:w="12240" w:h="15840"/>
          <w:pgMar w:top="1140" w:right="1020" w:bottom="1600" w:left="1580" w:header="0" w:footer="146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94332">
        <w:trPr>
          <w:trHeight w:hRule="exact" w:val="548"/>
        </w:trPr>
        <w:tc>
          <w:tcPr>
            <w:tcW w:w="492" w:type="dxa"/>
            <w:tcBorders>
              <w:right w:val="single" w:sz="2" w:space="0" w:color="000000"/>
            </w:tcBorders>
            <w:shd w:val="clear" w:color="auto" w:fill="F1F1F1"/>
          </w:tcPr>
          <w:p w:rsidR="00A94332" w:rsidRDefault="00F8412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A94332" w:rsidRDefault="00F84128">
            <w:pPr>
              <w:pStyle w:val="TableParagraph"/>
              <w:spacing w:before="108"/>
              <w:ind w:left="103"/>
              <w:rPr>
                <w:b/>
                <w:sz w:val="20"/>
              </w:rPr>
            </w:pPr>
            <w:r>
              <w:rPr>
                <w:b/>
                <w:sz w:val="20"/>
              </w:rPr>
              <w:t>Sazba finanční opravy</w:t>
            </w:r>
          </w:p>
        </w:tc>
      </w:tr>
      <w:tr w:rsidR="00A94332">
        <w:trPr>
          <w:trHeight w:hRule="exact" w:val="513"/>
        </w:trPr>
        <w:tc>
          <w:tcPr>
            <w:tcW w:w="492" w:type="dxa"/>
            <w:vMerge w:val="restart"/>
            <w:tcBorders>
              <w:right w:val="single" w:sz="2" w:space="0" w:color="000000"/>
            </w:tcBorders>
          </w:tcPr>
          <w:p w:rsidR="00A94332" w:rsidRDefault="00F84128">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A94332" w:rsidRDefault="00F84128">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A94332" w:rsidRDefault="00F84128">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A94332" w:rsidRDefault="00F84128">
            <w:pPr>
              <w:pStyle w:val="TableParagraph"/>
              <w:spacing w:before="0" w:line="264" w:lineRule="auto"/>
              <w:ind w:right="438"/>
              <w:rPr>
                <w:sz w:val="20"/>
              </w:rPr>
            </w:pPr>
            <w:r>
              <w:rPr>
                <w:sz w:val="20"/>
              </w:rPr>
              <w:t>o účast, aniž by tuto skutečnost uveřejnil zp</w:t>
            </w:r>
            <w:r>
              <w:rPr>
                <w:sz w:val="20"/>
              </w:rPr>
              <w:t>ůsobem stanoveným v zákoně nebo v Pokynech OPŽP, příp. v dokumentu Zadávání VZ</w:t>
            </w:r>
          </w:p>
          <w:p w:rsidR="00A94332" w:rsidRDefault="00F84128">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A94332" w:rsidRDefault="00F84128">
            <w:pPr>
              <w:pStyle w:val="TableParagraph"/>
              <w:spacing w:before="83"/>
              <w:ind w:left="103"/>
              <w:rPr>
                <w:sz w:val="20"/>
              </w:rPr>
            </w:pPr>
            <w:r>
              <w:rPr>
                <w:sz w:val="20"/>
              </w:rPr>
              <w:t>10 %</w:t>
            </w:r>
          </w:p>
        </w:tc>
      </w:tr>
      <w:tr w:rsidR="00A94332">
        <w:trPr>
          <w:trHeight w:hRule="exact" w:val="2635"/>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Pr>
                <w:sz w:val="20"/>
              </w:rPr>
            </w:pPr>
            <w:r>
              <w:rPr>
                <w:sz w:val="20"/>
              </w:rPr>
              <w:t>5 % v případě menší závažnosti porušení</w:t>
            </w:r>
          </w:p>
        </w:tc>
      </w:tr>
      <w:tr w:rsidR="00A94332">
        <w:trPr>
          <w:trHeight w:hRule="exact" w:val="625"/>
        </w:trPr>
        <w:tc>
          <w:tcPr>
            <w:tcW w:w="492" w:type="dxa"/>
            <w:vMerge w:val="restart"/>
            <w:tcBorders>
              <w:top w:val="single" w:sz="2" w:space="0" w:color="000000"/>
              <w:right w:val="single" w:sz="2" w:space="0" w:color="000000"/>
            </w:tcBorders>
          </w:tcPr>
          <w:p w:rsidR="00A94332" w:rsidRDefault="00F84128">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324"/>
              <w:rPr>
                <w:sz w:val="20"/>
              </w:rPr>
            </w:pPr>
            <w:r>
              <w:rPr>
                <w:sz w:val="20"/>
              </w:rPr>
              <w:t>Použití jednacího řízení s uveřejněním</w:t>
            </w:r>
          </w:p>
          <w:p w:rsidR="00A94332" w:rsidRDefault="00F84128">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rPr>
                <w:sz w:val="20"/>
              </w:rPr>
            </w:pPr>
            <w:r>
              <w:rPr>
                <w:sz w:val="20"/>
              </w:rPr>
              <w:t>Zadavatel zadal veřejnou zakázku</w:t>
            </w:r>
          </w:p>
          <w:p w:rsidR="00A94332" w:rsidRDefault="00F84128">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A94332" w:rsidRDefault="00F84128">
            <w:pPr>
              <w:pStyle w:val="TableParagraph"/>
              <w:ind w:left="103"/>
              <w:rPr>
                <w:sz w:val="20"/>
              </w:rPr>
            </w:pPr>
            <w:r>
              <w:rPr>
                <w:sz w:val="20"/>
              </w:rPr>
              <w:t>25 %</w:t>
            </w:r>
          </w:p>
        </w:tc>
      </w:tr>
      <w:tr w:rsidR="00A94332">
        <w:trPr>
          <w:trHeight w:hRule="exact" w:val="1361"/>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before="108" w:line="261" w:lineRule="auto"/>
              <w:ind w:left="103"/>
              <w:rPr>
                <w:sz w:val="20"/>
              </w:rPr>
            </w:pPr>
            <w:r>
              <w:rPr>
                <w:sz w:val="20"/>
              </w:rPr>
              <w:t>5 % nebo 10 % dle závažnosti porušení</w:t>
            </w:r>
          </w:p>
        </w:tc>
      </w:tr>
      <w:tr w:rsidR="00A94332">
        <w:trPr>
          <w:trHeight w:hRule="exact" w:val="526"/>
        </w:trPr>
        <w:tc>
          <w:tcPr>
            <w:tcW w:w="492" w:type="dxa"/>
            <w:vMerge w:val="restart"/>
            <w:tcBorders>
              <w:top w:val="single" w:sz="2" w:space="0" w:color="000000"/>
              <w:right w:val="single" w:sz="2" w:space="0" w:color="000000"/>
            </w:tcBorders>
          </w:tcPr>
          <w:p w:rsidR="00A94332" w:rsidRDefault="00F84128">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before="108"/>
              <w:rPr>
                <w:sz w:val="20"/>
              </w:rPr>
            </w:pPr>
            <w:r>
              <w:rPr>
                <w:sz w:val="20"/>
              </w:rPr>
              <w:t>Zadavatel neuvedl v oznámení</w:t>
            </w:r>
          </w:p>
          <w:p w:rsidR="00A94332" w:rsidRDefault="00F84128">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A94332" w:rsidRDefault="00F84128">
            <w:pPr>
              <w:pStyle w:val="TableParagraph"/>
              <w:spacing w:before="108"/>
              <w:ind w:left="103"/>
              <w:rPr>
                <w:sz w:val="20"/>
              </w:rPr>
            </w:pPr>
            <w:r>
              <w:rPr>
                <w:sz w:val="20"/>
              </w:rPr>
              <w:t>25 %</w:t>
            </w:r>
          </w:p>
        </w:tc>
      </w:tr>
      <w:tr w:rsidR="00A94332">
        <w:trPr>
          <w:trHeight w:hRule="exact" w:val="1692"/>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A94332">
        <w:trPr>
          <w:trHeight w:hRule="exact" w:val="526"/>
        </w:trPr>
        <w:tc>
          <w:tcPr>
            <w:tcW w:w="492" w:type="dxa"/>
            <w:vMerge w:val="restart"/>
            <w:tcBorders>
              <w:top w:val="single" w:sz="2" w:space="0" w:color="000000"/>
              <w:right w:val="single" w:sz="2" w:space="0" w:color="000000"/>
            </w:tcBorders>
          </w:tcPr>
          <w:p w:rsidR="00A94332" w:rsidRDefault="00F84128">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before="108"/>
              <w:rPr>
                <w:sz w:val="20"/>
              </w:rPr>
            </w:pPr>
            <w:r>
              <w:rPr>
                <w:sz w:val="20"/>
              </w:rPr>
              <w:t>Zadavatel neuvedl v oznámení</w:t>
            </w:r>
          </w:p>
          <w:p w:rsidR="00A94332" w:rsidRDefault="00F84128">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A94332" w:rsidRDefault="00F84128">
            <w:pPr>
              <w:pStyle w:val="TableParagraph"/>
              <w:spacing w:before="108"/>
              <w:ind w:left="103"/>
              <w:rPr>
                <w:sz w:val="20"/>
              </w:rPr>
            </w:pPr>
            <w:r>
              <w:rPr>
                <w:sz w:val="20"/>
              </w:rPr>
              <w:t>25 %</w:t>
            </w:r>
          </w:p>
        </w:tc>
      </w:tr>
      <w:tr w:rsidR="00A94332">
        <w:trPr>
          <w:trHeight w:hRule="exact" w:val="1498"/>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A94332">
        <w:trPr>
          <w:trHeight w:hRule="exact" w:val="696"/>
        </w:trPr>
        <w:tc>
          <w:tcPr>
            <w:tcW w:w="492" w:type="dxa"/>
            <w:vMerge w:val="restart"/>
            <w:tcBorders>
              <w:top w:val="single" w:sz="2" w:space="0" w:color="000000"/>
              <w:right w:val="single" w:sz="2" w:space="0" w:color="000000"/>
            </w:tcBorders>
          </w:tcPr>
          <w:p w:rsidR="00A94332" w:rsidRDefault="00F84128">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115"/>
              <w:rPr>
                <w:sz w:val="20"/>
              </w:rPr>
            </w:pPr>
            <w:r>
              <w:rPr>
                <w:sz w:val="20"/>
              </w:rPr>
              <w:t>Stanovení požadavků na kvalifikaci</w:t>
            </w:r>
          </w:p>
          <w:p w:rsidR="00A94332" w:rsidRDefault="00F84128">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A94332" w:rsidRDefault="00F84128">
            <w:pPr>
              <w:pStyle w:val="TableParagraph"/>
              <w:ind w:left="103"/>
              <w:rPr>
                <w:sz w:val="20"/>
              </w:rPr>
            </w:pPr>
            <w:r>
              <w:rPr>
                <w:sz w:val="20"/>
              </w:rPr>
              <w:t>25 %</w:t>
            </w:r>
          </w:p>
        </w:tc>
      </w:tr>
      <w:tr w:rsidR="00A94332">
        <w:trPr>
          <w:trHeight w:hRule="exact" w:val="1371"/>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Pr>
                <w:sz w:val="20"/>
              </w:rPr>
            </w:pPr>
            <w:r>
              <w:rPr>
                <w:sz w:val="20"/>
              </w:rPr>
              <w:t>5 % nebo 10 % dle závažnosti porušení</w:t>
            </w:r>
          </w:p>
        </w:tc>
      </w:tr>
    </w:tbl>
    <w:p w:rsidR="00A94332" w:rsidRDefault="00A94332">
      <w:pPr>
        <w:spacing w:line="264" w:lineRule="auto"/>
        <w:rPr>
          <w:sz w:val="20"/>
        </w:rPr>
        <w:sectPr w:rsidR="00A94332">
          <w:pgSz w:w="12240" w:h="15840"/>
          <w:pgMar w:top="1140" w:right="1020" w:bottom="1600" w:left="1580" w:header="0" w:footer="146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94332">
        <w:trPr>
          <w:trHeight w:hRule="exact" w:val="548"/>
        </w:trPr>
        <w:tc>
          <w:tcPr>
            <w:tcW w:w="492" w:type="dxa"/>
            <w:tcBorders>
              <w:right w:val="single" w:sz="2" w:space="0" w:color="000000"/>
            </w:tcBorders>
            <w:shd w:val="clear" w:color="auto" w:fill="F1F1F1"/>
          </w:tcPr>
          <w:p w:rsidR="00A94332" w:rsidRDefault="00F84128">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A94332" w:rsidRDefault="00F84128">
            <w:pPr>
              <w:pStyle w:val="TableParagraph"/>
              <w:spacing w:before="108"/>
              <w:ind w:left="103"/>
              <w:rPr>
                <w:b/>
                <w:sz w:val="20"/>
              </w:rPr>
            </w:pPr>
            <w:r>
              <w:rPr>
                <w:b/>
                <w:sz w:val="20"/>
              </w:rPr>
              <w:t>Sazba finanční opravy</w:t>
            </w:r>
          </w:p>
        </w:tc>
      </w:tr>
      <w:tr w:rsidR="00A94332">
        <w:trPr>
          <w:trHeight w:hRule="exact" w:val="513"/>
        </w:trPr>
        <w:tc>
          <w:tcPr>
            <w:tcW w:w="492" w:type="dxa"/>
            <w:vMerge w:val="restart"/>
            <w:tcBorders>
              <w:right w:val="single" w:sz="2" w:space="0" w:color="000000"/>
            </w:tcBorders>
          </w:tcPr>
          <w:p w:rsidR="00A94332" w:rsidRDefault="00F84128">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A94332" w:rsidRDefault="00F84128">
            <w:pPr>
              <w:pStyle w:val="TableParagraph"/>
              <w:spacing w:before="83" w:line="264" w:lineRule="auto"/>
              <w:ind w:right="95"/>
              <w:rPr>
                <w:sz w:val="20"/>
              </w:rPr>
            </w:pPr>
            <w:r>
              <w:rPr>
                <w:sz w:val="20"/>
              </w:rPr>
              <w:t>Stanovení pravidel pro hodnocení nabídek</w:t>
            </w:r>
          </w:p>
          <w:p w:rsidR="00A94332" w:rsidRDefault="00F84128">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A94332" w:rsidRDefault="00F84128">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A94332" w:rsidRDefault="00F84128">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A94332" w:rsidRDefault="00F84128">
            <w:pPr>
              <w:pStyle w:val="TableParagraph"/>
              <w:spacing w:before="83"/>
              <w:ind w:left="103"/>
              <w:rPr>
                <w:sz w:val="20"/>
              </w:rPr>
            </w:pPr>
            <w:r>
              <w:rPr>
                <w:sz w:val="20"/>
              </w:rPr>
              <w:t>25 %</w:t>
            </w:r>
          </w:p>
        </w:tc>
      </w:tr>
      <w:tr w:rsidR="00A94332">
        <w:trPr>
          <w:trHeight w:hRule="exact" w:val="2050"/>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Pr>
                <w:sz w:val="20"/>
              </w:rPr>
            </w:pPr>
            <w:r>
              <w:rPr>
                <w:sz w:val="20"/>
              </w:rPr>
              <w:t>5 % nebo 10 % dle závažnosti porušení</w:t>
            </w:r>
          </w:p>
        </w:tc>
      </w:tr>
      <w:tr w:rsidR="00A94332">
        <w:trPr>
          <w:trHeight w:hRule="exact" w:val="523"/>
        </w:trPr>
        <w:tc>
          <w:tcPr>
            <w:tcW w:w="492" w:type="dxa"/>
            <w:vMerge w:val="restart"/>
            <w:tcBorders>
              <w:top w:val="single" w:sz="2" w:space="0" w:color="000000"/>
              <w:right w:val="single" w:sz="2" w:space="0" w:color="000000"/>
            </w:tcBorders>
          </w:tcPr>
          <w:p w:rsidR="00A94332" w:rsidRDefault="00F84128">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136"/>
              <w:jc w:val="both"/>
              <w:rPr>
                <w:sz w:val="20"/>
              </w:rPr>
            </w:pPr>
            <w:r>
              <w:rPr>
                <w:sz w:val="20"/>
              </w:rPr>
              <w:t>Stanovení technických podmínek nebo jiných podmínek účasti</w:t>
            </w:r>
          </w:p>
          <w:p w:rsidR="00A94332" w:rsidRDefault="00F84128">
            <w:pPr>
              <w:pStyle w:val="TableParagraph"/>
              <w:spacing w:before="0" w:line="264" w:lineRule="auto"/>
              <w:ind w:right="311"/>
              <w:rPr>
                <w:sz w:val="20"/>
              </w:rPr>
            </w:pPr>
            <w:r>
              <w:rPr>
                <w:sz w:val="20"/>
              </w:rPr>
              <w:t>v řízení v rozporu se zákonem nebo</w:t>
            </w:r>
          </w:p>
          <w:p w:rsidR="00A94332" w:rsidRDefault="00F84128">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w:t>
            </w:r>
            <w:r>
              <w:rPr>
                <w:sz w:val="20"/>
              </w:rPr>
              <w:t xml:space="preserve"> Zadávání VZ v OPŽP</w:t>
            </w:r>
          </w:p>
        </w:tc>
        <w:tc>
          <w:tcPr>
            <w:tcW w:w="3188" w:type="dxa"/>
            <w:tcBorders>
              <w:top w:val="single" w:sz="2" w:space="0" w:color="000000"/>
              <w:left w:val="single" w:sz="2" w:space="0" w:color="000000"/>
              <w:bottom w:val="single" w:sz="2" w:space="0" w:color="000000"/>
            </w:tcBorders>
          </w:tcPr>
          <w:p w:rsidR="00A94332" w:rsidRDefault="00F84128">
            <w:pPr>
              <w:pStyle w:val="TableParagraph"/>
              <w:ind w:left="103"/>
              <w:rPr>
                <w:sz w:val="20"/>
              </w:rPr>
            </w:pPr>
            <w:r>
              <w:rPr>
                <w:sz w:val="20"/>
              </w:rPr>
              <w:t>25 %</w:t>
            </w:r>
          </w:p>
        </w:tc>
      </w:tr>
      <w:tr w:rsidR="00A94332">
        <w:trPr>
          <w:trHeight w:hRule="exact" w:val="819"/>
        </w:trPr>
        <w:tc>
          <w:tcPr>
            <w:tcW w:w="492" w:type="dxa"/>
            <w:vMerge/>
            <w:tcBorders>
              <w:right w:val="single" w:sz="2" w:space="0" w:color="000000"/>
            </w:tcBorders>
          </w:tcPr>
          <w:p w:rsidR="00A94332" w:rsidRDefault="00A94332"/>
        </w:tc>
        <w:tc>
          <w:tcPr>
            <w:tcW w:w="2211" w:type="dxa"/>
            <w:vMerge/>
            <w:tcBorders>
              <w:left w:val="single" w:sz="2" w:space="0" w:color="000000"/>
              <w:right w:val="single" w:sz="2" w:space="0" w:color="000000"/>
            </w:tcBorders>
          </w:tcPr>
          <w:p w:rsidR="00A94332" w:rsidRDefault="00A94332"/>
        </w:tc>
        <w:tc>
          <w:tcPr>
            <w:tcW w:w="3485" w:type="dxa"/>
            <w:vMerge/>
            <w:tcBorders>
              <w:left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4" w:space="0" w:color="000000"/>
            </w:tcBorders>
          </w:tcPr>
          <w:p w:rsidR="00A94332" w:rsidRDefault="00F84128">
            <w:pPr>
              <w:pStyle w:val="TableParagraph"/>
              <w:spacing w:line="264" w:lineRule="auto"/>
              <w:ind w:left="103"/>
              <w:rPr>
                <w:sz w:val="20"/>
              </w:rPr>
            </w:pPr>
            <w:r>
              <w:rPr>
                <w:sz w:val="20"/>
              </w:rPr>
              <w:t>5 % nebo 10 % dle závažnosti porušení</w:t>
            </w:r>
          </w:p>
        </w:tc>
      </w:tr>
      <w:tr w:rsidR="00A94332">
        <w:trPr>
          <w:trHeight w:hRule="exact" w:val="1406"/>
        </w:trPr>
        <w:tc>
          <w:tcPr>
            <w:tcW w:w="492" w:type="dxa"/>
            <w:vMerge/>
            <w:tcBorders>
              <w:right w:val="single" w:sz="2" w:space="0" w:color="000000"/>
            </w:tcBorders>
          </w:tcPr>
          <w:p w:rsidR="00A94332" w:rsidRDefault="00A94332"/>
        </w:tc>
        <w:tc>
          <w:tcPr>
            <w:tcW w:w="2211" w:type="dxa"/>
            <w:vMerge/>
            <w:tcBorders>
              <w:left w:val="single" w:sz="2" w:space="0" w:color="000000"/>
              <w:right w:val="single" w:sz="2" w:space="0" w:color="000000"/>
            </w:tcBorders>
          </w:tcPr>
          <w:p w:rsidR="00A94332" w:rsidRDefault="00A94332"/>
        </w:tc>
        <w:tc>
          <w:tcPr>
            <w:tcW w:w="3485" w:type="dxa"/>
            <w:vMerge/>
            <w:tcBorders>
              <w:left w:val="single" w:sz="2" w:space="0" w:color="000000"/>
              <w:right w:val="single" w:sz="2" w:space="0" w:color="000000"/>
            </w:tcBorders>
          </w:tcPr>
          <w:p w:rsidR="00A94332" w:rsidRDefault="00A94332"/>
        </w:tc>
        <w:tc>
          <w:tcPr>
            <w:tcW w:w="3188" w:type="dxa"/>
            <w:tcBorders>
              <w:top w:val="single" w:sz="4" w:space="0" w:color="000000"/>
              <w:left w:val="single" w:sz="2" w:space="0" w:color="000000"/>
              <w:bottom w:val="single" w:sz="4" w:space="0" w:color="000000"/>
            </w:tcBorders>
          </w:tcPr>
          <w:p w:rsidR="00A94332" w:rsidRDefault="00F84128">
            <w:pPr>
              <w:pStyle w:val="TableParagraph"/>
              <w:spacing w:line="264" w:lineRule="auto"/>
              <w:ind w:left="103" w:right="173"/>
              <w:rPr>
                <w:sz w:val="20"/>
              </w:rPr>
            </w:pPr>
            <w:r>
              <w:rPr>
                <w:sz w:val="20"/>
              </w:rPr>
              <w:t>25 % v případě značkové specifikace v míře vyšší než 30 % z finančního objemu veřejné zakázky</w:t>
            </w:r>
          </w:p>
        </w:tc>
      </w:tr>
      <w:tr w:rsidR="00A94332">
        <w:trPr>
          <w:trHeight w:hRule="exact" w:val="1406"/>
        </w:trPr>
        <w:tc>
          <w:tcPr>
            <w:tcW w:w="492" w:type="dxa"/>
            <w:vMerge/>
            <w:tcBorders>
              <w:right w:val="single" w:sz="2" w:space="0" w:color="000000"/>
            </w:tcBorders>
          </w:tcPr>
          <w:p w:rsidR="00A94332" w:rsidRDefault="00A94332"/>
        </w:tc>
        <w:tc>
          <w:tcPr>
            <w:tcW w:w="2211" w:type="dxa"/>
            <w:vMerge/>
            <w:tcBorders>
              <w:left w:val="single" w:sz="2" w:space="0" w:color="000000"/>
              <w:right w:val="single" w:sz="2" w:space="0" w:color="000000"/>
            </w:tcBorders>
          </w:tcPr>
          <w:p w:rsidR="00A94332" w:rsidRDefault="00A94332"/>
        </w:tc>
        <w:tc>
          <w:tcPr>
            <w:tcW w:w="3485" w:type="dxa"/>
            <w:vMerge/>
            <w:tcBorders>
              <w:left w:val="single" w:sz="2" w:space="0" w:color="000000"/>
              <w:right w:val="single" w:sz="2" w:space="0" w:color="000000"/>
            </w:tcBorders>
          </w:tcPr>
          <w:p w:rsidR="00A94332" w:rsidRDefault="00A94332"/>
        </w:tc>
        <w:tc>
          <w:tcPr>
            <w:tcW w:w="3188" w:type="dxa"/>
            <w:tcBorders>
              <w:top w:val="single" w:sz="4" w:space="0" w:color="000000"/>
              <w:left w:val="single" w:sz="2" w:space="0" w:color="000000"/>
              <w:bottom w:val="single" w:sz="4" w:space="0" w:color="000000"/>
            </w:tcBorders>
          </w:tcPr>
          <w:p w:rsidR="00A94332" w:rsidRDefault="00F84128">
            <w:pPr>
              <w:pStyle w:val="TableParagraph"/>
              <w:spacing w:line="264" w:lineRule="auto"/>
              <w:ind w:left="103" w:right="555"/>
              <w:rPr>
                <w:sz w:val="20"/>
              </w:rPr>
            </w:pPr>
            <w:r>
              <w:rPr>
                <w:sz w:val="20"/>
              </w:rPr>
              <w:t>10 % v případě značkové specifikace v míře 20 – 30 % z finančního objemu veřejné zakázky</w:t>
            </w:r>
          </w:p>
        </w:tc>
      </w:tr>
      <w:tr w:rsidR="00A94332">
        <w:trPr>
          <w:trHeight w:hRule="exact" w:val="1404"/>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4" w:space="0" w:color="000000"/>
              <w:left w:val="single" w:sz="2" w:space="0" w:color="000000"/>
              <w:bottom w:val="single" w:sz="2" w:space="0" w:color="000000"/>
            </w:tcBorders>
          </w:tcPr>
          <w:p w:rsidR="00A94332" w:rsidRDefault="00F84128">
            <w:pPr>
              <w:pStyle w:val="TableParagraph"/>
              <w:spacing w:line="264" w:lineRule="auto"/>
              <w:ind w:left="103" w:right="489"/>
              <w:rPr>
                <w:sz w:val="20"/>
              </w:rPr>
            </w:pPr>
            <w:r>
              <w:rPr>
                <w:sz w:val="20"/>
              </w:rPr>
              <w:t>5 % v případě značkové specifikace v míře 10 &lt; 20 % z finančního objemu veřejné zakázky</w:t>
            </w:r>
          </w:p>
        </w:tc>
      </w:tr>
      <w:tr w:rsidR="00A94332">
        <w:trPr>
          <w:trHeight w:hRule="exact" w:val="523"/>
        </w:trPr>
        <w:tc>
          <w:tcPr>
            <w:tcW w:w="492" w:type="dxa"/>
            <w:vMerge w:val="restart"/>
            <w:tcBorders>
              <w:top w:val="single" w:sz="2" w:space="0" w:color="000000"/>
              <w:right w:val="single" w:sz="2" w:space="0" w:color="000000"/>
            </w:tcBorders>
          </w:tcPr>
          <w:p w:rsidR="00A94332" w:rsidRDefault="00F84128">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A94332" w:rsidRDefault="00F84128">
            <w:pPr>
              <w:pStyle w:val="TableParagraph"/>
              <w:ind w:left="103"/>
              <w:rPr>
                <w:sz w:val="20"/>
              </w:rPr>
            </w:pPr>
            <w:r>
              <w:rPr>
                <w:sz w:val="20"/>
              </w:rPr>
              <w:t>10 %</w:t>
            </w:r>
          </w:p>
        </w:tc>
      </w:tr>
      <w:tr w:rsidR="00A94332">
        <w:trPr>
          <w:trHeight w:hRule="exact" w:val="586"/>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ind w:left="103"/>
              <w:rPr>
                <w:sz w:val="20"/>
              </w:rPr>
            </w:pPr>
            <w:r>
              <w:rPr>
                <w:sz w:val="20"/>
              </w:rPr>
              <w:t>5 % dle závažnosti porušení</w:t>
            </w:r>
          </w:p>
        </w:tc>
      </w:tr>
      <w:tr w:rsidR="00A94332">
        <w:trPr>
          <w:trHeight w:hRule="exact" w:val="523"/>
        </w:trPr>
        <w:tc>
          <w:tcPr>
            <w:tcW w:w="492" w:type="dxa"/>
            <w:vMerge w:val="restart"/>
            <w:tcBorders>
              <w:top w:val="single" w:sz="2" w:space="0" w:color="000000"/>
              <w:right w:val="single" w:sz="2" w:space="0" w:color="000000"/>
            </w:tcBorders>
          </w:tcPr>
          <w:p w:rsidR="00A94332" w:rsidRDefault="00F84128">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w:t>
            </w:r>
            <w:r>
              <w:rPr>
                <w:sz w:val="20"/>
              </w:rPr>
              <w:t>rového/zadávacího řízení</w:t>
            </w:r>
          </w:p>
        </w:tc>
        <w:tc>
          <w:tcPr>
            <w:tcW w:w="3188" w:type="dxa"/>
            <w:tcBorders>
              <w:top w:val="single" w:sz="2" w:space="0" w:color="000000"/>
              <w:left w:val="single" w:sz="2" w:space="0" w:color="000000"/>
              <w:bottom w:val="single" w:sz="2" w:space="0" w:color="000000"/>
            </w:tcBorders>
          </w:tcPr>
          <w:p w:rsidR="00A94332" w:rsidRDefault="00F84128">
            <w:pPr>
              <w:pStyle w:val="TableParagraph"/>
              <w:ind w:left="103"/>
              <w:rPr>
                <w:sz w:val="20"/>
              </w:rPr>
            </w:pPr>
            <w:r>
              <w:rPr>
                <w:sz w:val="20"/>
              </w:rPr>
              <w:t>25 %</w:t>
            </w:r>
          </w:p>
        </w:tc>
      </w:tr>
      <w:tr w:rsidR="00A94332">
        <w:trPr>
          <w:trHeight w:hRule="exact" w:val="2636"/>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Pr>
                <w:sz w:val="20"/>
              </w:rPr>
            </w:pPr>
            <w:r>
              <w:rPr>
                <w:sz w:val="20"/>
              </w:rPr>
              <w:t>5 % nebo 10 % dle závažnosti porušení</w:t>
            </w:r>
          </w:p>
        </w:tc>
      </w:tr>
    </w:tbl>
    <w:p w:rsidR="00A94332" w:rsidRDefault="00A94332">
      <w:pPr>
        <w:spacing w:line="264" w:lineRule="auto"/>
        <w:rPr>
          <w:sz w:val="20"/>
        </w:rPr>
        <w:sectPr w:rsidR="00A94332">
          <w:pgSz w:w="12240" w:h="15840"/>
          <w:pgMar w:top="1140" w:right="1020" w:bottom="1600" w:left="1580" w:header="0" w:footer="146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94332">
        <w:trPr>
          <w:trHeight w:hRule="exact" w:val="548"/>
        </w:trPr>
        <w:tc>
          <w:tcPr>
            <w:tcW w:w="492" w:type="dxa"/>
            <w:tcBorders>
              <w:right w:val="single" w:sz="2" w:space="0" w:color="000000"/>
            </w:tcBorders>
            <w:shd w:val="clear" w:color="auto" w:fill="F1F1F1"/>
          </w:tcPr>
          <w:p w:rsidR="00A94332" w:rsidRDefault="00F84128">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A94332" w:rsidRDefault="00F84128">
            <w:pPr>
              <w:pStyle w:val="TableParagraph"/>
              <w:spacing w:before="108"/>
              <w:ind w:left="103"/>
              <w:rPr>
                <w:b/>
                <w:sz w:val="20"/>
              </w:rPr>
            </w:pPr>
            <w:r>
              <w:rPr>
                <w:b/>
                <w:sz w:val="20"/>
              </w:rPr>
              <w:t>Sazba finanční opravy</w:t>
            </w:r>
          </w:p>
        </w:tc>
      </w:tr>
      <w:tr w:rsidR="00A94332">
        <w:trPr>
          <w:trHeight w:hRule="exact" w:val="513"/>
        </w:trPr>
        <w:tc>
          <w:tcPr>
            <w:tcW w:w="492" w:type="dxa"/>
            <w:vMerge w:val="restart"/>
            <w:tcBorders>
              <w:right w:val="single" w:sz="2" w:space="0" w:color="000000"/>
            </w:tcBorders>
          </w:tcPr>
          <w:p w:rsidR="00A94332" w:rsidRDefault="00F84128">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A94332" w:rsidRDefault="00F84128">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A94332" w:rsidRDefault="00F84128">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A94332" w:rsidRDefault="00F84128">
            <w:pPr>
              <w:pStyle w:val="TableParagraph"/>
              <w:spacing w:before="0" w:line="264" w:lineRule="auto"/>
              <w:rPr>
                <w:sz w:val="20"/>
              </w:rPr>
            </w:pPr>
            <w:r>
              <w:rPr>
                <w:sz w:val="20"/>
              </w:rPr>
              <w:t>s dokumentem Zadávání VZ v OPŽP, jednal o nabídce, umožnil dodatečné změny nabídky nebo neza</w:t>
            </w:r>
            <w:r>
              <w:rPr>
                <w:sz w:val="20"/>
              </w:rPr>
              <w:t>jistil nezbytnou auditní stopu posouzení nebo hodnocení nabídek</w:t>
            </w:r>
          </w:p>
        </w:tc>
        <w:tc>
          <w:tcPr>
            <w:tcW w:w="3188" w:type="dxa"/>
            <w:tcBorders>
              <w:left w:val="single" w:sz="2" w:space="0" w:color="000000"/>
              <w:bottom w:val="single" w:sz="2" w:space="0" w:color="000000"/>
            </w:tcBorders>
          </w:tcPr>
          <w:p w:rsidR="00A94332" w:rsidRDefault="00F84128">
            <w:pPr>
              <w:pStyle w:val="TableParagraph"/>
              <w:spacing w:before="83"/>
              <w:ind w:left="103"/>
              <w:rPr>
                <w:sz w:val="20"/>
              </w:rPr>
            </w:pPr>
            <w:r>
              <w:rPr>
                <w:sz w:val="20"/>
              </w:rPr>
              <w:t>25 %</w:t>
            </w:r>
          </w:p>
        </w:tc>
      </w:tr>
      <w:tr w:rsidR="00A94332">
        <w:trPr>
          <w:trHeight w:hRule="exact" w:val="2635"/>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Pr>
                <w:sz w:val="20"/>
              </w:rPr>
            </w:pPr>
            <w:r>
              <w:rPr>
                <w:sz w:val="20"/>
              </w:rPr>
              <w:t>5 % nebo 10 % dle závažnosti porušení</w:t>
            </w:r>
          </w:p>
        </w:tc>
      </w:tr>
      <w:tr w:rsidR="00A94332">
        <w:trPr>
          <w:trHeight w:hRule="exact" w:val="1693"/>
        </w:trPr>
        <w:tc>
          <w:tcPr>
            <w:tcW w:w="492" w:type="dxa"/>
            <w:tcBorders>
              <w:top w:val="single" w:sz="2" w:space="0" w:color="000000"/>
              <w:bottom w:val="single" w:sz="2" w:space="0" w:color="000000"/>
              <w:right w:val="single" w:sz="2" w:space="0" w:color="000000"/>
            </w:tcBorders>
          </w:tcPr>
          <w:p w:rsidR="00A94332" w:rsidRDefault="00F84128">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A94332" w:rsidRDefault="00F84128">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A94332" w:rsidRDefault="00F84128">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A94332" w:rsidRDefault="00F84128">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A94332" w:rsidRDefault="00F84128">
            <w:pPr>
              <w:pStyle w:val="TableParagraph"/>
              <w:ind w:left="103"/>
              <w:rPr>
                <w:sz w:val="20"/>
              </w:rPr>
            </w:pPr>
            <w:r>
              <w:rPr>
                <w:sz w:val="20"/>
              </w:rPr>
              <w:t>25 %</w:t>
            </w:r>
          </w:p>
        </w:tc>
      </w:tr>
      <w:tr w:rsidR="00A94332">
        <w:trPr>
          <w:trHeight w:hRule="exact" w:val="526"/>
        </w:trPr>
        <w:tc>
          <w:tcPr>
            <w:tcW w:w="492" w:type="dxa"/>
            <w:vMerge w:val="restart"/>
            <w:tcBorders>
              <w:top w:val="single" w:sz="2" w:space="0" w:color="000000"/>
              <w:right w:val="single" w:sz="2" w:space="0" w:color="000000"/>
            </w:tcBorders>
          </w:tcPr>
          <w:p w:rsidR="00A94332" w:rsidRDefault="00F84128">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w:t>
            </w:r>
            <w:r>
              <w:rPr>
                <w:sz w:val="20"/>
              </w:rPr>
              <w:t>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A94332" w:rsidRDefault="00F84128">
            <w:pPr>
              <w:pStyle w:val="TableParagraph"/>
              <w:spacing w:before="108"/>
              <w:ind w:left="103"/>
              <w:rPr>
                <w:sz w:val="20"/>
              </w:rPr>
            </w:pPr>
            <w:r>
              <w:rPr>
                <w:sz w:val="20"/>
              </w:rPr>
              <w:t>25 %</w:t>
            </w:r>
          </w:p>
        </w:tc>
      </w:tr>
      <w:tr w:rsidR="00A94332">
        <w:trPr>
          <w:trHeight w:hRule="exact" w:val="3219"/>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Pr>
                <w:sz w:val="20"/>
              </w:rPr>
            </w:pPr>
            <w:r>
              <w:rPr>
                <w:sz w:val="20"/>
              </w:rPr>
              <w:t>5 % nebo 10 % dle závažnosti porušení</w:t>
            </w:r>
          </w:p>
        </w:tc>
      </w:tr>
      <w:tr w:rsidR="00A94332">
        <w:trPr>
          <w:trHeight w:hRule="exact" w:val="2571"/>
        </w:trPr>
        <w:tc>
          <w:tcPr>
            <w:tcW w:w="492" w:type="dxa"/>
            <w:tcBorders>
              <w:top w:val="single" w:sz="2" w:space="0" w:color="000000"/>
              <w:bottom w:val="single" w:sz="2" w:space="0" w:color="000000"/>
              <w:right w:val="single" w:sz="2" w:space="0" w:color="000000"/>
            </w:tcBorders>
          </w:tcPr>
          <w:p w:rsidR="00A94332" w:rsidRDefault="00F84128">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A94332" w:rsidRDefault="00F84128">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A94332" w:rsidRDefault="00F84128">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A94332" w:rsidRDefault="00F84128">
            <w:pPr>
              <w:pStyle w:val="TableParagraph"/>
              <w:ind w:left="103"/>
              <w:rPr>
                <w:sz w:val="20"/>
              </w:rPr>
            </w:pPr>
            <w:r>
              <w:rPr>
                <w:sz w:val="20"/>
              </w:rPr>
              <w:t>100 %</w:t>
            </w:r>
          </w:p>
        </w:tc>
      </w:tr>
      <w:tr w:rsidR="00A94332">
        <w:trPr>
          <w:trHeight w:hRule="exact" w:val="1111"/>
        </w:trPr>
        <w:tc>
          <w:tcPr>
            <w:tcW w:w="492" w:type="dxa"/>
            <w:tcBorders>
              <w:top w:val="single" w:sz="2" w:space="0" w:color="000000"/>
              <w:bottom w:val="single" w:sz="2" w:space="0" w:color="000000"/>
              <w:right w:val="single" w:sz="2" w:space="0" w:color="000000"/>
            </w:tcBorders>
          </w:tcPr>
          <w:p w:rsidR="00A94332" w:rsidRDefault="00F84128">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A94332" w:rsidRDefault="00F84128">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A94332" w:rsidRDefault="00F84128">
            <w:pPr>
              <w:pStyle w:val="TableParagraph"/>
              <w:spacing w:before="108" w:line="264" w:lineRule="auto"/>
              <w:ind w:right="689"/>
              <w:jc w:val="both"/>
              <w:rPr>
                <w:sz w:val="20"/>
              </w:rPr>
            </w:pPr>
            <w:r>
              <w:rPr>
                <w:sz w:val="20"/>
              </w:rPr>
              <w:t>Zadavatel umožnil podstatnou změnu závazku ze smlouvy na veřejnou zakázku nebo práv</w:t>
            </w:r>
          </w:p>
        </w:tc>
        <w:tc>
          <w:tcPr>
            <w:tcW w:w="3188" w:type="dxa"/>
            <w:tcBorders>
              <w:top w:val="single" w:sz="2" w:space="0" w:color="000000"/>
              <w:left w:val="single" w:sz="2" w:space="0" w:color="000000"/>
              <w:bottom w:val="single" w:sz="2" w:space="0" w:color="000000"/>
            </w:tcBorders>
          </w:tcPr>
          <w:p w:rsidR="00A94332" w:rsidRDefault="00F84128">
            <w:pPr>
              <w:pStyle w:val="TableParagraph"/>
              <w:spacing w:before="108" w:line="264" w:lineRule="auto"/>
              <w:ind w:left="103" w:right="533"/>
              <w:rPr>
                <w:sz w:val="20"/>
              </w:rPr>
            </w:pPr>
            <w:r>
              <w:rPr>
                <w:sz w:val="20"/>
              </w:rPr>
              <w:t>25 % z ceny původní veřejné zakázky</w:t>
            </w:r>
          </w:p>
        </w:tc>
      </w:tr>
    </w:tbl>
    <w:p w:rsidR="00A94332" w:rsidRDefault="00A94332">
      <w:pPr>
        <w:spacing w:line="264" w:lineRule="auto"/>
        <w:rPr>
          <w:sz w:val="20"/>
        </w:rPr>
        <w:sectPr w:rsidR="00A94332">
          <w:pgSz w:w="12240" w:h="15840"/>
          <w:pgMar w:top="1140" w:right="1020" w:bottom="1600" w:left="1580" w:header="0" w:footer="1460"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A94332">
        <w:trPr>
          <w:trHeight w:hRule="exact" w:val="548"/>
        </w:trPr>
        <w:tc>
          <w:tcPr>
            <w:tcW w:w="492" w:type="dxa"/>
            <w:tcBorders>
              <w:right w:val="single" w:sz="2" w:space="0" w:color="000000"/>
            </w:tcBorders>
            <w:shd w:val="clear" w:color="auto" w:fill="F1F1F1"/>
          </w:tcPr>
          <w:p w:rsidR="00A94332" w:rsidRDefault="00F84128">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A94332" w:rsidRDefault="00F84128">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A94332" w:rsidRDefault="00F84128">
            <w:pPr>
              <w:pStyle w:val="TableParagraph"/>
              <w:spacing w:before="108"/>
              <w:ind w:left="103"/>
              <w:rPr>
                <w:b/>
                <w:sz w:val="20"/>
              </w:rPr>
            </w:pPr>
            <w:r>
              <w:rPr>
                <w:b/>
                <w:sz w:val="20"/>
              </w:rPr>
              <w:t>Sazba finanční opravy</w:t>
            </w:r>
          </w:p>
        </w:tc>
      </w:tr>
      <w:tr w:rsidR="00A94332">
        <w:trPr>
          <w:trHeight w:hRule="exact" w:val="1631"/>
        </w:trPr>
        <w:tc>
          <w:tcPr>
            <w:tcW w:w="492" w:type="dxa"/>
            <w:tcBorders>
              <w:bottom w:val="single" w:sz="2" w:space="0" w:color="000000"/>
              <w:right w:val="single" w:sz="2" w:space="0" w:color="000000"/>
            </w:tcBorders>
          </w:tcPr>
          <w:p w:rsidR="00A94332" w:rsidRDefault="00A94332"/>
        </w:tc>
        <w:tc>
          <w:tcPr>
            <w:tcW w:w="2211" w:type="dxa"/>
            <w:tcBorders>
              <w:left w:val="single" w:sz="2" w:space="0" w:color="000000"/>
              <w:bottom w:val="single" w:sz="2" w:space="0" w:color="000000"/>
              <w:right w:val="single" w:sz="2" w:space="0" w:color="000000"/>
            </w:tcBorders>
          </w:tcPr>
          <w:p w:rsidR="00A94332" w:rsidRDefault="00A94332"/>
        </w:tc>
        <w:tc>
          <w:tcPr>
            <w:tcW w:w="3485" w:type="dxa"/>
            <w:tcBorders>
              <w:left w:val="single" w:sz="2" w:space="0" w:color="000000"/>
              <w:bottom w:val="single" w:sz="2" w:space="0" w:color="000000"/>
              <w:right w:val="single" w:sz="2" w:space="0" w:color="000000"/>
            </w:tcBorders>
          </w:tcPr>
          <w:p w:rsidR="00A94332" w:rsidRDefault="00F84128">
            <w:pPr>
              <w:pStyle w:val="TableParagraph"/>
              <w:spacing w:before="83" w:line="264" w:lineRule="auto"/>
              <w:ind w:right="113"/>
              <w:rPr>
                <w:sz w:val="20"/>
              </w:rPr>
            </w:pPr>
            <w:r>
              <w:rPr>
                <w:sz w:val="20"/>
              </w:rPr>
              <w:t>a povinností vyplývajících ze</w:t>
            </w:r>
            <w:r>
              <w:rPr>
                <w:spacing w:val="-12"/>
                <w:sz w:val="20"/>
              </w:rPr>
              <w:t xml:space="preserve"> </w:t>
            </w:r>
            <w:r>
              <w:rPr>
                <w:sz w:val="20"/>
              </w:rPr>
              <w:t>smlouvy na veřejnou zakázku v rozporu se zákonem nebo s Pokyny OPŽP, příp. s dokumentem Zadávání VZ v</w:t>
            </w:r>
            <w:r>
              <w:rPr>
                <w:spacing w:val="-8"/>
                <w:sz w:val="20"/>
              </w:rPr>
              <w:t xml:space="preserve"> </w:t>
            </w:r>
            <w:r>
              <w:rPr>
                <w:sz w:val="20"/>
              </w:rPr>
              <w:t>OPŽP</w:t>
            </w:r>
          </w:p>
        </w:tc>
        <w:tc>
          <w:tcPr>
            <w:tcW w:w="3188" w:type="dxa"/>
            <w:tcBorders>
              <w:left w:val="single" w:sz="2" w:space="0" w:color="000000"/>
              <w:bottom w:val="single" w:sz="2" w:space="0" w:color="000000"/>
            </w:tcBorders>
          </w:tcPr>
          <w:p w:rsidR="00A94332" w:rsidRDefault="00F84128">
            <w:pPr>
              <w:pStyle w:val="TableParagraph"/>
              <w:spacing w:before="203"/>
              <w:ind w:left="103"/>
              <w:rPr>
                <w:sz w:val="20"/>
              </w:rPr>
            </w:pPr>
            <w:r>
              <w:rPr>
                <w:sz w:val="20"/>
              </w:rPr>
              <w:t>a dále</w:t>
            </w:r>
          </w:p>
          <w:p w:rsidR="00A94332" w:rsidRDefault="00F84128">
            <w:pPr>
              <w:pStyle w:val="TableParagraph"/>
              <w:spacing w:before="146" w:line="264" w:lineRule="auto"/>
              <w:ind w:left="103" w:right="353"/>
              <w:rPr>
                <w:sz w:val="20"/>
              </w:rPr>
            </w:pPr>
            <w:r>
              <w:rPr>
                <w:sz w:val="20"/>
              </w:rPr>
              <w:t>100 % částky, o kterou byla případně zvýšena cena veřejné zakázky</w:t>
            </w:r>
          </w:p>
        </w:tc>
      </w:tr>
      <w:tr w:rsidR="00A94332">
        <w:trPr>
          <w:trHeight w:hRule="exact" w:val="2281"/>
        </w:trPr>
        <w:tc>
          <w:tcPr>
            <w:tcW w:w="492" w:type="dxa"/>
            <w:tcBorders>
              <w:top w:val="single" w:sz="2" w:space="0" w:color="000000"/>
              <w:bottom w:val="single" w:sz="2" w:space="0" w:color="000000"/>
              <w:right w:val="single" w:sz="2" w:space="0" w:color="000000"/>
            </w:tcBorders>
          </w:tcPr>
          <w:p w:rsidR="00A94332" w:rsidRDefault="00F84128">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A94332" w:rsidRDefault="00F84128">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A94332" w:rsidRDefault="00F84128">
            <w:pPr>
              <w:pStyle w:val="TableParagraph"/>
              <w:spacing w:line="264" w:lineRule="auto"/>
              <w:rPr>
                <w:sz w:val="20"/>
              </w:rPr>
            </w:pPr>
            <w:r>
              <w:rPr>
                <w:sz w:val="20"/>
              </w:rPr>
              <w:t>Zadavatel umožnil podstatné zúžení rozsahu plnění veřejné zakázky</w:t>
            </w:r>
          </w:p>
          <w:p w:rsidR="00A94332" w:rsidRDefault="00F84128">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Pr>
                <w:sz w:val="20"/>
              </w:rPr>
            </w:pPr>
            <w:r>
              <w:rPr>
                <w:sz w:val="20"/>
              </w:rPr>
              <w:t>25 % z ceny veřejné zakázky po zúžení rozsahu plnění</w:t>
            </w:r>
          </w:p>
          <w:p w:rsidR="00A94332" w:rsidRDefault="00F84128">
            <w:pPr>
              <w:pStyle w:val="TableParagraph"/>
              <w:spacing w:before="120"/>
              <w:ind w:left="103"/>
              <w:rPr>
                <w:sz w:val="20"/>
              </w:rPr>
            </w:pPr>
            <w:r>
              <w:rPr>
                <w:sz w:val="20"/>
              </w:rPr>
              <w:t>a dále</w:t>
            </w:r>
          </w:p>
          <w:p w:rsidR="00A94332" w:rsidRDefault="00F84128">
            <w:pPr>
              <w:pStyle w:val="TableParagraph"/>
              <w:spacing w:before="146" w:line="264" w:lineRule="auto"/>
              <w:ind w:left="103" w:right="96"/>
              <w:rPr>
                <w:sz w:val="20"/>
              </w:rPr>
            </w:pPr>
            <w:r>
              <w:rPr>
                <w:sz w:val="20"/>
              </w:rPr>
              <w:t>100 % částky, o kterou byla snížena cena veřejné zakázky</w:t>
            </w:r>
          </w:p>
        </w:tc>
      </w:tr>
      <w:tr w:rsidR="00A94332">
        <w:trPr>
          <w:trHeight w:hRule="exact" w:val="1109"/>
        </w:trPr>
        <w:tc>
          <w:tcPr>
            <w:tcW w:w="492" w:type="dxa"/>
            <w:vMerge w:val="restart"/>
            <w:tcBorders>
              <w:top w:val="single" w:sz="2" w:space="0" w:color="000000"/>
              <w:right w:val="single" w:sz="2" w:space="0" w:color="000000"/>
            </w:tcBorders>
          </w:tcPr>
          <w:p w:rsidR="00A94332" w:rsidRDefault="00F84128">
            <w:pPr>
              <w:pStyle w:val="TableParagraph"/>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A94332" w:rsidRDefault="00F84128">
            <w:pPr>
              <w:pStyle w:val="TableParagraph"/>
              <w:spacing w:before="0" w:line="264" w:lineRule="auto"/>
              <w:rPr>
                <w:sz w:val="20"/>
              </w:rPr>
            </w:pPr>
            <w:r>
              <w:rPr>
                <w:sz w:val="20"/>
              </w:rPr>
              <w:t>k provedení dodatečných stavebních prací, služeb nebo dodávek, aniž by pro t</w:t>
            </w:r>
            <w:r>
              <w:rPr>
                <w:sz w:val="20"/>
              </w:rPr>
              <w: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Pr>
                <w:sz w:val="20"/>
              </w:rPr>
            </w:pPr>
            <w:r>
              <w:rPr>
                <w:sz w:val="20"/>
              </w:rPr>
              <w:t>100 % hodnoty dodatečných stavebních prací, dodávek nebo služeb</w:t>
            </w:r>
          </w:p>
        </w:tc>
      </w:tr>
      <w:tr w:rsidR="00A94332">
        <w:trPr>
          <w:trHeight w:hRule="exact" w:val="2571"/>
        </w:trPr>
        <w:tc>
          <w:tcPr>
            <w:tcW w:w="492" w:type="dxa"/>
            <w:vMerge/>
            <w:tcBorders>
              <w:bottom w:val="single" w:sz="2" w:space="0" w:color="000000"/>
              <w:right w:val="single" w:sz="2" w:space="0" w:color="000000"/>
            </w:tcBorders>
          </w:tcPr>
          <w:p w:rsidR="00A94332" w:rsidRDefault="00A94332"/>
        </w:tc>
        <w:tc>
          <w:tcPr>
            <w:tcW w:w="2211" w:type="dxa"/>
            <w:vMerge/>
            <w:tcBorders>
              <w:left w:val="single" w:sz="2" w:space="0" w:color="000000"/>
              <w:bottom w:val="single" w:sz="2" w:space="0" w:color="000000"/>
              <w:right w:val="single" w:sz="2" w:space="0" w:color="000000"/>
            </w:tcBorders>
          </w:tcPr>
          <w:p w:rsidR="00A94332" w:rsidRDefault="00A94332"/>
        </w:tc>
        <w:tc>
          <w:tcPr>
            <w:tcW w:w="3485" w:type="dxa"/>
            <w:vMerge/>
            <w:tcBorders>
              <w:left w:val="single" w:sz="2" w:space="0" w:color="000000"/>
              <w:bottom w:val="single" w:sz="2" w:space="0" w:color="000000"/>
              <w:right w:val="single" w:sz="2" w:space="0" w:color="000000"/>
            </w:tcBorders>
          </w:tcPr>
          <w:p w:rsidR="00A94332" w:rsidRDefault="00A94332"/>
        </w:tc>
        <w:tc>
          <w:tcPr>
            <w:tcW w:w="3188" w:type="dxa"/>
            <w:tcBorders>
              <w:top w:val="single" w:sz="2" w:space="0" w:color="000000"/>
              <w:left w:val="single" w:sz="2" w:space="0" w:color="000000"/>
              <w:bottom w:val="single" w:sz="2" w:space="0" w:color="000000"/>
            </w:tcBorders>
          </w:tcPr>
          <w:p w:rsidR="00A94332" w:rsidRDefault="00F84128">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A94332">
        <w:trPr>
          <w:trHeight w:hRule="exact" w:val="526"/>
        </w:trPr>
        <w:tc>
          <w:tcPr>
            <w:tcW w:w="492" w:type="dxa"/>
            <w:vMerge w:val="restart"/>
            <w:tcBorders>
              <w:top w:val="single" w:sz="2" w:space="0" w:color="000000"/>
              <w:right w:val="single" w:sz="2" w:space="0" w:color="000000"/>
            </w:tcBorders>
          </w:tcPr>
          <w:p w:rsidR="00A94332" w:rsidRDefault="00F84128">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A94332" w:rsidRDefault="00F84128">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A94332" w:rsidRDefault="00F84128">
            <w:pPr>
              <w:pStyle w:val="TableParagraph"/>
              <w:spacing w:before="108" w:line="264" w:lineRule="auto"/>
              <w:ind w:right="87"/>
              <w:rPr>
                <w:sz w:val="20"/>
              </w:rPr>
            </w:pPr>
            <w:r>
              <w:rPr>
                <w:sz w:val="20"/>
              </w:rPr>
              <w:t>Zadavatel se dopustil jin</w:t>
            </w:r>
            <w:r>
              <w:rPr>
                <w:sz w:val="20"/>
              </w:rPr>
              <w:t>ého než výše uvedeného porušení, které mělo nebo mohlo mít vliv na výběr dodavatele, nebo které znemožnilo ověření souladu jeho postupu</w:t>
            </w:r>
          </w:p>
          <w:p w:rsidR="00A94332" w:rsidRDefault="00F84128">
            <w:pPr>
              <w:pStyle w:val="TableParagraph"/>
              <w:spacing w:before="0" w:line="264" w:lineRule="auto"/>
              <w:ind w:right="394"/>
              <w:rPr>
                <w:sz w:val="20"/>
              </w:rPr>
            </w:pPr>
            <w:r>
              <w:rPr>
                <w:sz w:val="20"/>
              </w:rPr>
              <w:t>s článkem IV bodem 2) písm. k)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A94332" w:rsidRDefault="00F84128">
            <w:pPr>
              <w:pStyle w:val="TableParagraph"/>
              <w:spacing w:before="108"/>
              <w:ind w:left="103"/>
              <w:rPr>
                <w:sz w:val="20"/>
              </w:rPr>
            </w:pPr>
            <w:r>
              <w:rPr>
                <w:sz w:val="20"/>
              </w:rPr>
              <w:t>25 %</w:t>
            </w:r>
          </w:p>
        </w:tc>
      </w:tr>
      <w:tr w:rsidR="00A94332">
        <w:trPr>
          <w:trHeight w:hRule="exact" w:val="2645"/>
        </w:trPr>
        <w:tc>
          <w:tcPr>
            <w:tcW w:w="492" w:type="dxa"/>
            <w:vMerge/>
            <w:tcBorders>
              <w:right w:val="single" w:sz="2" w:space="0" w:color="000000"/>
            </w:tcBorders>
          </w:tcPr>
          <w:p w:rsidR="00A94332" w:rsidRDefault="00A94332"/>
        </w:tc>
        <w:tc>
          <w:tcPr>
            <w:tcW w:w="2211" w:type="dxa"/>
            <w:vMerge/>
            <w:tcBorders>
              <w:left w:val="single" w:sz="2" w:space="0" w:color="000000"/>
              <w:right w:val="single" w:sz="2" w:space="0" w:color="000000"/>
            </w:tcBorders>
          </w:tcPr>
          <w:p w:rsidR="00A94332" w:rsidRDefault="00A94332"/>
        </w:tc>
        <w:tc>
          <w:tcPr>
            <w:tcW w:w="3485" w:type="dxa"/>
            <w:vMerge/>
            <w:tcBorders>
              <w:left w:val="single" w:sz="2" w:space="0" w:color="000000"/>
              <w:right w:val="single" w:sz="2" w:space="0" w:color="000000"/>
            </w:tcBorders>
          </w:tcPr>
          <w:p w:rsidR="00A94332" w:rsidRDefault="00A94332"/>
        </w:tc>
        <w:tc>
          <w:tcPr>
            <w:tcW w:w="3188" w:type="dxa"/>
            <w:tcBorders>
              <w:top w:val="single" w:sz="2" w:space="0" w:color="000000"/>
              <w:left w:val="single" w:sz="2" w:space="0" w:color="000000"/>
            </w:tcBorders>
          </w:tcPr>
          <w:p w:rsidR="00A94332" w:rsidRDefault="00F84128">
            <w:pPr>
              <w:pStyle w:val="TableParagraph"/>
              <w:spacing w:line="264" w:lineRule="auto"/>
              <w:ind w:left="103"/>
              <w:rPr>
                <w:sz w:val="20"/>
              </w:rPr>
            </w:pPr>
            <w:r>
              <w:rPr>
                <w:sz w:val="20"/>
              </w:rPr>
              <w:t>2 % nebo 5 % nebo 10 % dle závažnosti porušení</w:t>
            </w:r>
          </w:p>
        </w:tc>
      </w:tr>
    </w:tbl>
    <w:p w:rsidR="00F84128" w:rsidRDefault="00F84128"/>
    <w:sectPr w:rsidR="00F84128">
      <w:pgSz w:w="12240" w:h="15840"/>
      <w:pgMar w:top="1140" w:right="1020" w:bottom="1600" w:left="158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128" w:rsidRDefault="00F84128">
      <w:r>
        <w:separator/>
      </w:r>
    </w:p>
  </w:endnote>
  <w:endnote w:type="continuationSeparator" w:id="0">
    <w:p w:rsidR="00F84128" w:rsidRDefault="00F8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32" w:rsidRDefault="00F84128">
    <w:pPr>
      <w:pStyle w:val="Zkladntext"/>
      <w:spacing w:before="0" w:line="14" w:lineRule="auto"/>
      <w:ind w:left="0"/>
    </w:pPr>
    <w:r>
      <w:pict>
        <v:shapetype id="_x0000_t202" coordsize="21600,21600" o:spt="202" path="m,l,21600r21600,l21600,xe">
          <v:stroke joinstyle="miter"/>
          <v:path gradientshapeok="t" o:connecttype="rect"/>
        </v:shapetype>
        <v:shape id="_x0000_s2049" type="#_x0000_t202" style="position:absolute;margin-left:312.8pt;margin-top:708pt;width:14.8pt;height:15.25pt;z-index:-20032;mso-position-horizontal-relative:page;mso-position-vertical-relative:page" filled="f" stroked="f">
          <v:textbox inset="0,0,0,0">
            <w:txbxContent>
              <w:p w:rsidR="00A94332" w:rsidRDefault="00F84128">
                <w:pPr>
                  <w:pStyle w:val="Zkladntext"/>
                  <w:spacing w:before="19"/>
                  <w:ind w:left="40"/>
                </w:pPr>
                <w:r>
                  <w:fldChar w:fldCharType="begin"/>
                </w:r>
                <w:r>
                  <w:instrText xml:space="preserve"> PAGE </w:instrText>
                </w:r>
                <w:r>
                  <w:fldChar w:fldCharType="separate"/>
                </w:r>
                <w:r w:rsidR="00826305">
                  <w:rPr>
                    <w:noProof/>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32" w:rsidRDefault="00F84128">
    <w:pPr>
      <w:pStyle w:val="Zkladntext"/>
      <w:spacing w:before="0" w:line="14" w:lineRule="auto"/>
      <w:ind w:left="0"/>
    </w:pPr>
    <w:r>
      <w:pict>
        <v:shapetype id="_x0000_t202" coordsize="21600,21600" o:spt="202" path="m,l,21600r21600,l21600,xe">
          <v:stroke joinstyle="miter"/>
          <v:path gradientshapeok="t" o:connecttype="rect"/>
        </v:shapetype>
        <v:shape id="_x0000_s2050" type="#_x0000_t202" style="position:absolute;margin-left:312.8pt;margin-top:708pt;width:14.8pt;height:15.25pt;z-index:-20056;mso-position-horizontal-relative:page;mso-position-vertical-relative:page" filled="f" stroked="f">
          <v:textbox inset="0,0,0,0">
            <w:txbxContent>
              <w:p w:rsidR="00A94332" w:rsidRDefault="00F84128">
                <w:pPr>
                  <w:pStyle w:val="Zkladntext"/>
                  <w:spacing w:before="19"/>
                  <w:ind w:left="40"/>
                </w:pPr>
                <w:r>
                  <w:fldChar w:fldCharType="begin"/>
                </w:r>
                <w:r>
                  <w:instrText xml:space="preserve"> PAGE </w:instrText>
                </w:r>
                <w:r>
                  <w:fldChar w:fldCharType="separate"/>
                </w:r>
                <w:r w:rsidR="00826305">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128" w:rsidRDefault="00F84128">
      <w:r>
        <w:separator/>
      </w:r>
    </w:p>
  </w:footnote>
  <w:footnote w:type="continuationSeparator" w:id="0">
    <w:p w:rsidR="00F84128" w:rsidRDefault="00F84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61B86"/>
    <w:multiLevelType w:val="hybridMultilevel"/>
    <w:tmpl w:val="4BA6887A"/>
    <w:lvl w:ilvl="0" w:tplc="1C58A0E8">
      <w:start w:val="1"/>
      <w:numFmt w:val="decimal"/>
      <w:lvlText w:val="%1)"/>
      <w:lvlJc w:val="left"/>
      <w:pPr>
        <w:ind w:left="385" w:hanging="284"/>
        <w:jc w:val="left"/>
      </w:pPr>
      <w:rPr>
        <w:rFonts w:ascii="Segoe UI" w:eastAsia="Segoe UI" w:hAnsi="Segoe UI" w:cs="Segoe UI" w:hint="default"/>
        <w:w w:val="99"/>
        <w:sz w:val="20"/>
        <w:szCs w:val="20"/>
      </w:rPr>
    </w:lvl>
    <w:lvl w:ilvl="1" w:tplc="7728CE6C">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C45A3F5C">
      <w:numFmt w:val="bullet"/>
      <w:lvlText w:val="-"/>
      <w:lvlJc w:val="left"/>
      <w:pPr>
        <w:ind w:left="783" w:hanging="286"/>
      </w:pPr>
      <w:rPr>
        <w:rFonts w:ascii="Segoe UI" w:eastAsia="Segoe UI" w:hAnsi="Segoe UI" w:cs="Segoe UI" w:hint="default"/>
        <w:w w:val="99"/>
        <w:sz w:val="20"/>
        <w:szCs w:val="20"/>
      </w:rPr>
    </w:lvl>
    <w:lvl w:ilvl="3" w:tplc="FE7EF570">
      <w:numFmt w:val="bullet"/>
      <w:lvlText w:val="•"/>
      <w:lvlJc w:val="left"/>
      <w:pPr>
        <w:ind w:left="930" w:hanging="286"/>
      </w:pPr>
      <w:rPr>
        <w:rFonts w:hint="default"/>
      </w:rPr>
    </w:lvl>
    <w:lvl w:ilvl="4" w:tplc="5740B222">
      <w:numFmt w:val="bullet"/>
      <w:lvlText w:val="•"/>
      <w:lvlJc w:val="left"/>
      <w:pPr>
        <w:ind w:left="1081" w:hanging="286"/>
      </w:pPr>
      <w:rPr>
        <w:rFonts w:hint="default"/>
      </w:rPr>
    </w:lvl>
    <w:lvl w:ilvl="5" w:tplc="403EF62C">
      <w:numFmt w:val="bullet"/>
      <w:lvlText w:val="•"/>
      <w:lvlJc w:val="left"/>
      <w:pPr>
        <w:ind w:left="1232" w:hanging="286"/>
      </w:pPr>
      <w:rPr>
        <w:rFonts w:hint="default"/>
      </w:rPr>
    </w:lvl>
    <w:lvl w:ilvl="6" w:tplc="BAF26654">
      <w:numFmt w:val="bullet"/>
      <w:lvlText w:val="•"/>
      <w:lvlJc w:val="left"/>
      <w:pPr>
        <w:ind w:left="1383" w:hanging="286"/>
      </w:pPr>
      <w:rPr>
        <w:rFonts w:hint="default"/>
      </w:rPr>
    </w:lvl>
    <w:lvl w:ilvl="7" w:tplc="F9BEB666">
      <w:numFmt w:val="bullet"/>
      <w:lvlText w:val="•"/>
      <w:lvlJc w:val="left"/>
      <w:pPr>
        <w:ind w:left="1534" w:hanging="286"/>
      </w:pPr>
      <w:rPr>
        <w:rFonts w:hint="default"/>
      </w:rPr>
    </w:lvl>
    <w:lvl w:ilvl="8" w:tplc="F028BF96">
      <w:numFmt w:val="bullet"/>
      <w:lvlText w:val="•"/>
      <w:lvlJc w:val="left"/>
      <w:pPr>
        <w:ind w:left="1684" w:hanging="286"/>
      </w:pPr>
      <w:rPr>
        <w:rFonts w:hint="default"/>
      </w:rPr>
    </w:lvl>
  </w:abstractNum>
  <w:abstractNum w:abstractNumId="1" w15:restartNumberingAfterBreak="0">
    <w:nsid w:val="37102EC0"/>
    <w:multiLevelType w:val="hybridMultilevel"/>
    <w:tmpl w:val="7AEACF64"/>
    <w:lvl w:ilvl="0" w:tplc="D40EA27E">
      <w:start w:val="1"/>
      <w:numFmt w:val="decimal"/>
      <w:lvlText w:val="%1)"/>
      <w:lvlJc w:val="left"/>
      <w:pPr>
        <w:ind w:left="385" w:hanging="284"/>
        <w:jc w:val="left"/>
      </w:pPr>
      <w:rPr>
        <w:rFonts w:ascii="Segoe UI" w:eastAsia="Segoe UI" w:hAnsi="Segoe UI" w:cs="Segoe UI" w:hint="default"/>
        <w:w w:val="99"/>
        <w:sz w:val="20"/>
        <w:szCs w:val="20"/>
      </w:rPr>
    </w:lvl>
    <w:lvl w:ilvl="1" w:tplc="3D72D14A">
      <w:numFmt w:val="bullet"/>
      <w:lvlText w:val="•"/>
      <w:lvlJc w:val="left"/>
      <w:pPr>
        <w:ind w:left="1304" w:hanging="284"/>
      </w:pPr>
      <w:rPr>
        <w:rFonts w:hint="default"/>
      </w:rPr>
    </w:lvl>
    <w:lvl w:ilvl="2" w:tplc="84A2D99A">
      <w:numFmt w:val="bullet"/>
      <w:lvlText w:val="•"/>
      <w:lvlJc w:val="left"/>
      <w:pPr>
        <w:ind w:left="2228" w:hanging="284"/>
      </w:pPr>
      <w:rPr>
        <w:rFonts w:hint="default"/>
      </w:rPr>
    </w:lvl>
    <w:lvl w:ilvl="3" w:tplc="753ACF1C">
      <w:numFmt w:val="bullet"/>
      <w:lvlText w:val="•"/>
      <w:lvlJc w:val="left"/>
      <w:pPr>
        <w:ind w:left="3152" w:hanging="284"/>
      </w:pPr>
      <w:rPr>
        <w:rFonts w:hint="default"/>
      </w:rPr>
    </w:lvl>
    <w:lvl w:ilvl="4" w:tplc="025019B4">
      <w:numFmt w:val="bullet"/>
      <w:lvlText w:val="•"/>
      <w:lvlJc w:val="left"/>
      <w:pPr>
        <w:ind w:left="4076" w:hanging="284"/>
      </w:pPr>
      <w:rPr>
        <w:rFonts w:hint="default"/>
      </w:rPr>
    </w:lvl>
    <w:lvl w:ilvl="5" w:tplc="97A038C0">
      <w:numFmt w:val="bullet"/>
      <w:lvlText w:val="•"/>
      <w:lvlJc w:val="left"/>
      <w:pPr>
        <w:ind w:left="5000" w:hanging="284"/>
      </w:pPr>
      <w:rPr>
        <w:rFonts w:hint="default"/>
      </w:rPr>
    </w:lvl>
    <w:lvl w:ilvl="6" w:tplc="88FA5690">
      <w:numFmt w:val="bullet"/>
      <w:lvlText w:val="•"/>
      <w:lvlJc w:val="left"/>
      <w:pPr>
        <w:ind w:left="5924" w:hanging="284"/>
      </w:pPr>
      <w:rPr>
        <w:rFonts w:hint="default"/>
      </w:rPr>
    </w:lvl>
    <w:lvl w:ilvl="7" w:tplc="5498C17C">
      <w:numFmt w:val="bullet"/>
      <w:lvlText w:val="•"/>
      <w:lvlJc w:val="left"/>
      <w:pPr>
        <w:ind w:left="6848" w:hanging="284"/>
      </w:pPr>
      <w:rPr>
        <w:rFonts w:hint="default"/>
      </w:rPr>
    </w:lvl>
    <w:lvl w:ilvl="8" w:tplc="50CAE46A">
      <w:numFmt w:val="bullet"/>
      <w:lvlText w:val="•"/>
      <w:lvlJc w:val="left"/>
      <w:pPr>
        <w:ind w:left="7772" w:hanging="284"/>
      </w:pPr>
      <w:rPr>
        <w:rFonts w:hint="default"/>
      </w:rPr>
    </w:lvl>
  </w:abstractNum>
  <w:abstractNum w:abstractNumId="2" w15:restartNumberingAfterBreak="0">
    <w:nsid w:val="3D4B1999"/>
    <w:multiLevelType w:val="hybridMultilevel"/>
    <w:tmpl w:val="4C641636"/>
    <w:lvl w:ilvl="0" w:tplc="8E2CDAD4">
      <w:start w:val="1"/>
      <w:numFmt w:val="decimal"/>
      <w:lvlText w:val="%1)"/>
      <w:lvlJc w:val="left"/>
      <w:pPr>
        <w:ind w:left="385" w:hanging="284"/>
        <w:jc w:val="right"/>
      </w:pPr>
      <w:rPr>
        <w:rFonts w:ascii="Segoe UI" w:eastAsia="Segoe UI" w:hAnsi="Segoe UI" w:cs="Segoe UI" w:hint="default"/>
        <w:w w:val="99"/>
        <w:sz w:val="20"/>
        <w:szCs w:val="20"/>
      </w:rPr>
    </w:lvl>
    <w:lvl w:ilvl="1" w:tplc="A9D015AC">
      <w:start w:val="1"/>
      <w:numFmt w:val="lowerLetter"/>
      <w:lvlText w:val="%2)"/>
      <w:lvlJc w:val="left"/>
      <w:pPr>
        <w:ind w:left="882" w:hanging="284"/>
        <w:jc w:val="left"/>
      </w:pPr>
      <w:rPr>
        <w:rFonts w:ascii="Segoe UI" w:eastAsia="Segoe UI" w:hAnsi="Segoe UI" w:cs="Segoe UI" w:hint="default"/>
        <w:spacing w:val="-1"/>
        <w:w w:val="99"/>
        <w:sz w:val="20"/>
        <w:szCs w:val="20"/>
      </w:rPr>
    </w:lvl>
    <w:lvl w:ilvl="2" w:tplc="E8580966">
      <w:numFmt w:val="bullet"/>
      <w:lvlText w:val="•"/>
      <w:lvlJc w:val="left"/>
      <w:pPr>
        <w:ind w:left="1851" w:hanging="284"/>
      </w:pPr>
      <w:rPr>
        <w:rFonts w:hint="default"/>
      </w:rPr>
    </w:lvl>
    <w:lvl w:ilvl="3" w:tplc="E1A03EEC">
      <w:numFmt w:val="bullet"/>
      <w:lvlText w:val="•"/>
      <w:lvlJc w:val="left"/>
      <w:pPr>
        <w:ind w:left="2822" w:hanging="284"/>
      </w:pPr>
      <w:rPr>
        <w:rFonts w:hint="default"/>
      </w:rPr>
    </w:lvl>
    <w:lvl w:ilvl="4" w:tplc="58CCED64">
      <w:numFmt w:val="bullet"/>
      <w:lvlText w:val="•"/>
      <w:lvlJc w:val="left"/>
      <w:pPr>
        <w:ind w:left="3793" w:hanging="284"/>
      </w:pPr>
      <w:rPr>
        <w:rFonts w:hint="default"/>
      </w:rPr>
    </w:lvl>
    <w:lvl w:ilvl="5" w:tplc="D5862E3A">
      <w:numFmt w:val="bullet"/>
      <w:lvlText w:val="•"/>
      <w:lvlJc w:val="left"/>
      <w:pPr>
        <w:ind w:left="4764" w:hanging="284"/>
      </w:pPr>
      <w:rPr>
        <w:rFonts w:hint="default"/>
      </w:rPr>
    </w:lvl>
    <w:lvl w:ilvl="6" w:tplc="D5969030">
      <w:numFmt w:val="bullet"/>
      <w:lvlText w:val="•"/>
      <w:lvlJc w:val="left"/>
      <w:pPr>
        <w:ind w:left="5735" w:hanging="284"/>
      </w:pPr>
      <w:rPr>
        <w:rFonts w:hint="default"/>
      </w:rPr>
    </w:lvl>
    <w:lvl w:ilvl="7" w:tplc="0C26483C">
      <w:numFmt w:val="bullet"/>
      <w:lvlText w:val="•"/>
      <w:lvlJc w:val="left"/>
      <w:pPr>
        <w:ind w:left="6706" w:hanging="284"/>
      </w:pPr>
      <w:rPr>
        <w:rFonts w:hint="default"/>
      </w:rPr>
    </w:lvl>
    <w:lvl w:ilvl="8" w:tplc="8132C6C2">
      <w:numFmt w:val="bullet"/>
      <w:lvlText w:val="•"/>
      <w:lvlJc w:val="left"/>
      <w:pPr>
        <w:ind w:left="7677" w:hanging="284"/>
      </w:pPr>
      <w:rPr>
        <w:rFonts w:hint="default"/>
      </w:rPr>
    </w:lvl>
  </w:abstractNum>
  <w:abstractNum w:abstractNumId="3" w15:restartNumberingAfterBreak="0">
    <w:nsid w:val="4CAE05F3"/>
    <w:multiLevelType w:val="hybridMultilevel"/>
    <w:tmpl w:val="D4B246F0"/>
    <w:lvl w:ilvl="0" w:tplc="EF8C612C">
      <w:start w:val="1"/>
      <w:numFmt w:val="decimal"/>
      <w:lvlText w:val="%1)"/>
      <w:lvlJc w:val="left"/>
      <w:pPr>
        <w:ind w:left="385" w:hanging="284"/>
        <w:jc w:val="left"/>
      </w:pPr>
      <w:rPr>
        <w:rFonts w:ascii="Segoe UI" w:eastAsia="Segoe UI" w:hAnsi="Segoe UI" w:cs="Segoe UI" w:hint="default"/>
        <w:w w:val="99"/>
        <w:sz w:val="20"/>
        <w:szCs w:val="20"/>
      </w:rPr>
    </w:lvl>
    <w:lvl w:ilvl="1" w:tplc="470AB3B2">
      <w:start w:val="1"/>
      <w:numFmt w:val="upperRoman"/>
      <w:lvlText w:val="%2."/>
      <w:lvlJc w:val="left"/>
      <w:pPr>
        <w:ind w:left="525" w:hanging="284"/>
        <w:jc w:val="right"/>
      </w:pPr>
      <w:rPr>
        <w:rFonts w:ascii="Segoe UI" w:eastAsia="Segoe UI" w:hAnsi="Segoe UI" w:cs="Segoe UI" w:hint="default"/>
        <w:spacing w:val="-1"/>
        <w:w w:val="99"/>
        <w:sz w:val="20"/>
        <w:szCs w:val="20"/>
      </w:rPr>
    </w:lvl>
    <w:lvl w:ilvl="2" w:tplc="30FCA0C0">
      <w:numFmt w:val="bullet"/>
      <w:lvlText w:val="•"/>
      <w:lvlJc w:val="left"/>
      <w:pPr>
        <w:ind w:left="1531" w:hanging="284"/>
      </w:pPr>
      <w:rPr>
        <w:rFonts w:hint="default"/>
      </w:rPr>
    </w:lvl>
    <w:lvl w:ilvl="3" w:tplc="518CF130">
      <w:numFmt w:val="bullet"/>
      <w:lvlText w:val="•"/>
      <w:lvlJc w:val="left"/>
      <w:pPr>
        <w:ind w:left="2542" w:hanging="284"/>
      </w:pPr>
      <w:rPr>
        <w:rFonts w:hint="default"/>
      </w:rPr>
    </w:lvl>
    <w:lvl w:ilvl="4" w:tplc="52804926">
      <w:numFmt w:val="bullet"/>
      <w:lvlText w:val="•"/>
      <w:lvlJc w:val="left"/>
      <w:pPr>
        <w:ind w:left="3553" w:hanging="284"/>
      </w:pPr>
      <w:rPr>
        <w:rFonts w:hint="default"/>
      </w:rPr>
    </w:lvl>
    <w:lvl w:ilvl="5" w:tplc="90FA65F8">
      <w:numFmt w:val="bullet"/>
      <w:lvlText w:val="•"/>
      <w:lvlJc w:val="left"/>
      <w:pPr>
        <w:ind w:left="4564" w:hanging="284"/>
      </w:pPr>
      <w:rPr>
        <w:rFonts w:hint="default"/>
      </w:rPr>
    </w:lvl>
    <w:lvl w:ilvl="6" w:tplc="340E4DB4">
      <w:numFmt w:val="bullet"/>
      <w:lvlText w:val="•"/>
      <w:lvlJc w:val="left"/>
      <w:pPr>
        <w:ind w:left="5575" w:hanging="284"/>
      </w:pPr>
      <w:rPr>
        <w:rFonts w:hint="default"/>
      </w:rPr>
    </w:lvl>
    <w:lvl w:ilvl="7" w:tplc="4EDE0818">
      <w:numFmt w:val="bullet"/>
      <w:lvlText w:val="•"/>
      <w:lvlJc w:val="left"/>
      <w:pPr>
        <w:ind w:left="6586" w:hanging="284"/>
      </w:pPr>
      <w:rPr>
        <w:rFonts w:hint="default"/>
      </w:rPr>
    </w:lvl>
    <w:lvl w:ilvl="8" w:tplc="FC260204">
      <w:numFmt w:val="bullet"/>
      <w:lvlText w:val="•"/>
      <w:lvlJc w:val="left"/>
      <w:pPr>
        <w:ind w:left="7597" w:hanging="284"/>
      </w:pPr>
      <w:rPr>
        <w:rFonts w:hint="default"/>
      </w:rPr>
    </w:lvl>
  </w:abstractNum>
  <w:abstractNum w:abstractNumId="4" w15:restartNumberingAfterBreak="0">
    <w:nsid w:val="509D4DEC"/>
    <w:multiLevelType w:val="hybridMultilevel"/>
    <w:tmpl w:val="5DE6CA20"/>
    <w:lvl w:ilvl="0" w:tplc="E816581E">
      <w:start w:val="1"/>
      <w:numFmt w:val="decimal"/>
      <w:lvlText w:val="%1)"/>
      <w:lvlJc w:val="left"/>
      <w:pPr>
        <w:ind w:left="385" w:hanging="284"/>
        <w:jc w:val="left"/>
      </w:pPr>
      <w:rPr>
        <w:rFonts w:ascii="Segoe UI" w:eastAsia="Segoe UI" w:hAnsi="Segoe UI" w:cs="Segoe UI" w:hint="default"/>
        <w:w w:val="99"/>
        <w:sz w:val="20"/>
        <w:szCs w:val="20"/>
      </w:rPr>
    </w:lvl>
    <w:lvl w:ilvl="1" w:tplc="F8324360">
      <w:numFmt w:val="bullet"/>
      <w:lvlText w:val="•"/>
      <w:lvlJc w:val="left"/>
      <w:pPr>
        <w:ind w:left="1304" w:hanging="284"/>
      </w:pPr>
      <w:rPr>
        <w:rFonts w:hint="default"/>
      </w:rPr>
    </w:lvl>
    <w:lvl w:ilvl="2" w:tplc="4E381E00">
      <w:numFmt w:val="bullet"/>
      <w:lvlText w:val="•"/>
      <w:lvlJc w:val="left"/>
      <w:pPr>
        <w:ind w:left="2228" w:hanging="284"/>
      </w:pPr>
      <w:rPr>
        <w:rFonts w:hint="default"/>
      </w:rPr>
    </w:lvl>
    <w:lvl w:ilvl="3" w:tplc="3B4AF618">
      <w:numFmt w:val="bullet"/>
      <w:lvlText w:val="•"/>
      <w:lvlJc w:val="left"/>
      <w:pPr>
        <w:ind w:left="3152" w:hanging="284"/>
      </w:pPr>
      <w:rPr>
        <w:rFonts w:hint="default"/>
      </w:rPr>
    </w:lvl>
    <w:lvl w:ilvl="4" w:tplc="96DC0430">
      <w:numFmt w:val="bullet"/>
      <w:lvlText w:val="•"/>
      <w:lvlJc w:val="left"/>
      <w:pPr>
        <w:ind w:left="4076" w:hanging="284"/>
      </w:pPr>
      <w:rPr>
        <w:rFonts w:hint="default"/>
      </w:rPr>
    </w:lvl>
    <w:lvl w:ilvl="5" w:tplc="10E23530">
      <w:numFmt w:val="bullet"/>
      <w:lvlText w:val="•"/>
      <w:lvlJc w:val="left"/>
      <w:pPr>
        <w:ind w:left="5000" w:hanging="284"/>
      </w:pPr>
      <w:rPr>
        <w:rFonts w:hint="default"/>
      </w:rPr>
    </w:lvl>
    <w:lvl w:ilvl="6" w:tplc="E7707944">
      <w:numFmt w:val="bullet"/>
      <w:lvlText w:val="•"/>
      <w:lvlJc w:val="left"/>
      <w:pPr>
        <w:ind w:left="5924" w:hanging="284"/>
      </w:pPr>
      <w:rPr>
        <w:rFonts w:hint="default"/>
      </w:rPr>
    </w:lvl>
    <w:lvl w:ilvl="7" w:tplc="850C9434">
      <w:numFmt w:val="bullet"/>
      <w:lvlText w:val="•"/>
      <w:lvlJc w:val="left"/>
      <w:pPr>
        <w:ind w:left="6848" w:hanging="284"/>
      </w:pPr>
      <w:rPr>
        <w:rFonts w:hint="default"/>
      </w:rPr>
    </w:lvl>
    <w:lvl w:ilvl="8" w:tplc="2EA495C6">
      <w:numFmt w:val="bullet"/>
      <w:lvlText w:val="•"/>
      <w:lvlJc w:val="left"/>
      <w:pPr>
        <w:ind w:left="7772" w:hanging="284"/>
      </w:pPr>
      <w:rPr>
        <w:rFonts w:hint="default"/>
      </w:rPr>
    </w:lvl>
  </w:abstractNum>
  <w:abstractNum w:abstractNumId="5" w15:restartNumberingAfterBreak="0">
    <w:nsid w:val="5EB6432D"/>
    <w:multiLevelType w:val="hybridMultilevel"/>
    <w:tmpl w:val="BF721782"/>
    <w:lvl w:ilvl="0" w:tplc="37E22A96">
      <w:start w:val="1"/>
      <w:numFmt w:val="decimal"/>
      <w:lvlText w:val="%1)"/>
      <w:lvlJc w:val="left"/>
      <w:pPr>
        <w:ind w:left="385" w:hanging="284"/>
        <w:jc w:val="left"/>
      </w:pPr>
      <w:rPr>
        <w:rFonts w:ascii="Segoe UI" w:eastAsia="Segoe UI" w:hAnsi="Segoe UI" w:cs="Segoe UI" w:hint="default"/>
        <w:w w:val="99"/>
        <w:sz w:val="20"/>
        <w:szCs w:val="20"/>
      </w:rPr>
    </w:lvl>
    <w:lvl w:ilvl="1" w:tplc="44E8C34A">
      <w:numFmt w:val="bullet"/>
      <w:lvlText w:val="•"/>
      <w:lvlJc w:val="left"/>
      <w:pPr>
        <w:ind w:left="1304" w:hanging="284"/>
      </w:pPr>
      <w:rPr>
        <w:rFonts w:hint="default"/>
      </w:rPr>
    </w:lvl>
    <w:lvl w:ilvl="2" w:tplc="88280D7A">
      <w:numFmt w:val="bullet"/>
      <w:lvlText w:val="•"/>
      <w:lvlJc w:val="left"/>
      <w:pPr>
        <w:ind w:left="2228" w:hanging="284"/>
      </w:pPr>
      <w:rPr>
        <w:rFonts w:hint="default"/>
      </w:rPr>
    </w:lvl>
    <w:lvl w:ilvl="3" w:tplc="533A27F2">
      <w:numFmt w:val="bullet"/>
      <w:lvlText w:val="•"/>
      <w:lvlJc w:val="left"/>
      <w:pPr>
        <w:ind w:left="3152" w:hanging="284"/>
      </w:pPr>
      <w:rPr>
        <w:rFonts w:hint="default"/>
      </w:rPr>
    </w:lvl>
    <w:lvl w:ilvl="4" w:tplc="EF1802B4">
      <w:numFmt w:val="bullet"/>
      <w:lvlText w:val="•"/>
      <w:lvlJc w:val="left"/>
      <w:pPr>
        <w:ind w:left="4076" w:hanging="284"/>
      </w:pPr>
      <w:rPr>
        <w:rFonts w:hint="default"/>
      </w:rPr>
    </w:lvl>
    <w:lvl w:ilvl="5" w:tplc="ED00C932">
      <w:numFmt w:val="bullet"/>
      <w:lvlText w:val="•"/>
      <w:lvlJc w:val="left"/>
      <w:pPr>
        <w:ind w:left="5000" w:hanging="284"/>
      </w:pPr>
      <w:rPr>
        <w:rFonts w:hint="default"/>
      </w:rPr>
    </w:lvl>
    <w:lvl w:ilvl="6" w:tplc="FDDEF456">
      <w:numFmt w:val="bullet"/>
      <w:lvlText w:val="•"/>
      <w:lvlJc w:val="left"/>
      <w:pPr>
        <w:ind w:left="5924" w:hanging="284"/>
      </w:pPr>
      <w:rPr>
        <w:rFonts w:hint="default"/>
      </w:rPr>
    </w:lvl>
    <w:lvl w:ilvl="7" w:tplc="4EC07612">
      <w:numFmt w:val="bullet"/>
      <w:lvlText w:val="•"/>
      <w:lvlJc w:val="left"/>
      <w:pPr>
        <w:ind w:left="6848" w:hanging="284"/>
      </w:pPr>
      <w:rPr>
        <w:rFonts w:hint="default"/>
      </w:rPr>
    </w:lvl>
    <w:lvl w:ilvl="8" w:tplc="F2A2D308">
      <w:numFmt w:val="bullet"/>
      <w:lvlText w:val="•"/>
      <w:lvlJc w:val="left"/>
      <w:pPr>
        <w:ind w:left="7772" w:hanging="284"/>
      </w:pPr>
      <w:rPr>
        <w:rFonts w:hint="default"/>
      </w:r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94332"/>
    <w:rsid w:val="00826305"/>
    <w:rsid w:val="00A94332"/>
    <w:rsid w:val="00F8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5CE63B"/>
  <w15:docId w15:val="{110343A8-36EF-4095-9197-0886FD21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3137"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4364</Words>
  <Characters>25750</Characters>
  <Application>Microsoft Office Word</Application>
  <DocSecurity>0</DocSecurity>
  <Lines>214</Lines>
  <Paragraphs>60</Paragraphs>
  <ScaleCrop>false</ScaleCrop>
  <Company>SFZP</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2</cp:revision>
  <dcterms:created xsi:type="dcterms:W3CDTF">2021-01-08T11:09:00Z</dcterms:created>
  <dcterms:modified xsi:type="dcterms:W3CDTF">2021-01-08T10:11:00Z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Microsoft® Word 2016</vt:lpwstr>
  </property>
  <property fmtid="{D5CDD505-2E9C-101B-9397-08002B2CF9AE}" pid="4" name="LastSaved">
    <vt:filetime>2021-01-08T00:00:00Z</vt:filetime>
  </property>
</Properties>
</file>