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423545" distB="0" distL="0" distR="0" simplePos="0" relativeHeight="125829378" behindDoc="0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423545</wp:posOffset>
                </wp:positionV>
                <wp:extent cx="3879850" cy="37211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79850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3.899999999999999pt;margin-top:33.350000000000001pt;width:305.5pt;height:29.300000000000001pt;z-index:-125829375;mso-wrap-distance-left:0;mso-wrap-distance-top:33.3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38455" distL="0" distR="0" simplePos="0" relativeHeight="125829380" behindDoc="0" locked="0" layoutInCell="1" allowOverlap="1">
                <wp:simplePos x="0" y="0"/>
                <wp:positionH relativeFrom="page">
                  <wp:posOffset>5331460</wp:posOffset>
                </wp:positionH>
                <wp:positionV relativeFrom="paragraph">
                  <wp:posOffset>0</wp:posOffset>
                </wp:positionV>
                <wp:extent cx="2038985" cy="45720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8985" cy="457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SILNÍC VYSOČINY příspěvková orgrjnizace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19.80000000000001pt;margin-top:0;width:160.55000000000001pt;height:36.pt;z-index:-125829373;mso-wrap-distance-left:0;mso-wrap-distance-right:0;mso-wrap-distance-bottom:26.6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SILNÍC VYSOČINY příspěvková orgrjnizace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drawing>
          <wp:anchor distT="0" distB="0" distL="12700" distR="12700" simplePos="0" relativeHeight="125829382" behindDoc="0" locked="0" layoutInCell="1" allowOverlap="1">
            <wp:simplePos x="0" y="0"/>
            <wp:positionH relativeFrom="page">
              <wp:posOffset>3219450</wp:posOffset>
            </wp:positionH>
            <wp:positionV relativeFrom="paragraph">
              <wp:posOffset>114300</wp:posOffset>
            </wp:positionV>
            <wp:extent cx="1432560" cy="457200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32560" cy="45720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63"/>
        <w:gridCol w:w="6936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3"/>
        <w:gridCol w:w="6931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3"/>
        <w:gridCol w:w="6931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Zhotovitel“)</w:t>
      </w:r>
    </w:p>
    <w:p>
      <w:pPr>
        <w:widowControl w:val="0"/>
        <w:spacing w:after="359" w:line="1" w:lineRule="exact"/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36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4"/>
      <w:bookmarkEnd w:id="5"/>
    </w:p>
    <w:tbl>
      <w:tblPr>
        <w:tblOverlap w:val="never"/>
        <w:jc w:val="center"/>
        <w:tblLayout w:type="fixed"/>
      </w:tblPr>
      <w:tblGrid>
        <w:gridCol w:w="1963"/>
        <w:gridCol w:w="6931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Zadní Zhořec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Zadní Zhořec 44, 594 44 Radostín nad Oslavou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Mgr. Antonínem Klusákem - starostou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00599956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5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20" w:line="266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8" w:val="left"/>
        </w:tabs>
        <w:bidi w:val="0"/>
        <w:spacing w:before="0" w:after="32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rozsahu: posyp komunikace inertním materiálem v obci Zadní Zhořec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32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300" w:line="298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8"/>
      <w:bookmarkEnd w:id="9"/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300" w:line="288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 komunikaci - posyp inertním materiálem komunikace v obci Zadní Zhořec a to v úseku 0,200 km 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10"/>
      <w:bookmarkEnd w:id="11"/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2020/2021, a to konkrétně od 15.12.2020 do 31.3.2021 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2"/>
      <w:bookmarkEnd w:id="13"/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4"/>
      <w:bookmarkEnd w:id="15"/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6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4205" w:val="right"/>
          <w:tab w:pos="4968" w:val="left"/>
          <w:tab w:leader="dot" w:pos="7555" w:val="left"/>
        </w:tabs>
        <w:bidi w:val="0"/>
        <w:spacing w:before="0" w:after="9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Jihlavě dne </w:t>
        <w:tab/>
      </w:r>
      <w:r>
        <w:rPr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Zo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  <w:t>V Zadním Zhořci dne</w:t>
        <w:tab/>
        <w:t>8_.. 12&gt;. -2020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6286" w:val="left"/>
        </w:tabs>
        <w:bidi w:val="0"/>
        <w:spacing w:before="0" w:after="0" w:line="240" w:lineRule="auto"/>
        <w:ind w:left="11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</w:t>
        <w:tab/>
        <w:t>Za Objednatele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6001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Radovan Necřá</w:t>
        <w:tab/>
        <w:t>Mgr. Antonín Klusák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5733" w:val="left"/>
        </w:tabs>
        <w:bidi w:val="0"/>
        <w:spacing w:before="0" w:after="500" w:line="240" w:lineRule="auto"/>
        <w:ind w:left="0" w:right="0" w:firstLine="88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338" w:left="911" w:right="1452" w:bottom="1262" w:header="910" w:footer="834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ředitel organizace</w:t>
        <w:tab/>
        <w:t>starosta obce Zadní Zhořec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1.11.2020 do 31.03.2021</w:t>
      </w:r>
      <w:bookmarkEnd w:id="16"/>
      <w:bookmarkEnd w:id="17"/>
    </w:p>
    <w:tbl>
      <w:tblPr>
        <w:tblOverlap w:val="never"/>
        <w:jc w:val="center"/>
        <w:tblLayout w:type="fixed"/>
      </w:tblPr>
      <w:tblGrid>
        <w:gridCol w:w="6101"/>
        <w:gridCol w:w="854"/>
        <w:gridCol w:w="2011"/>
      </w:tblGrid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n?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420" w:left="915" w:right="1447" w:bottom="1420" w:header="992" w:footer="99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">
    <w:name w:val="Základní text (4)_"/>
    <w:basedOn w:val="DefaultParagraphFont"/>
    <w:link w:val="Style6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Nadpis #2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ind w:firstLine="18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line="317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FFFFFF"/>
      <w:spacing w:after="320"/>
      <w:ind w:firstLine="36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after="27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after="27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