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448310</wp:posOffset>
                </wp:positionV>
                <wp:extent cx="3907790" cy="3594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0779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5pt;margin-top:35.299999999999997pt;width:307.69999999999999pt;height:28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890270" distB="0" distL="12700" distR="2545080" simplePos="0" relativeHeight="125829380" behindDoc="0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902970</wp:posOffset>
            </wp:positionV>
            <wp:extent cx="1456690" cy="4572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35610" distB="454025" distL="1899285" distR="73660" simplePos="0" relativeHeight="125829381" behindDoc="0" locked="0" layoutInCell="1" allowOverlap="1">
            <wp:simplePos x="0" y="0"/>
            <wp:positionH relativeFrom="page">
              <wp:posOffset>5132705</wp:posOffset>
            </wp:positionH>
            <wp:positionV relativeFrom="paragraph">
              <wp:posOffset>448310</wp:posOffset>
            </wp:positionV>
            <wp:extent cx="2042160" cy="45720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42160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12700</wp:posOffset>
                </wp:positionV>
                <wp:extent cx="2078990" cy="44513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899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5.85000000000002pt;margin-top:1.pt;width:163.69999999999999pt;height:35.04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4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29154/2020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2294"/>
        <w:gridCol w:w="724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94"/>
        <w:gridCol w:w="7243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94"/>
        <w:gridCol w:w="7243"/>
      </w:tblGrid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52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,Zhotovitel“) 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94"/>
        <w:gridCol w:w="724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Serviscentrum Vysočina s.r.o.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457/10, 586 01 Jihlava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Jaroslavem Reitermannem - jednatel společnosti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017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26272211</w:t>
              <w:tab/>
              <w:t>DIČ : CZ26272211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..Objednatel")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/>
        <w:ind w:left="3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6" w:val="left"/>
        </w:tabs>
        <w:bidi w:val="0"/>
        <w:spacing w:before="0" w:after="32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pouze posyp chemickým materiálem v délce 500,00 m.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64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320" w:line="271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věl. I odst. 1 této Smlouvy vždy po telefonické objednávce Objednatele. Telefon dispečera ZÚ Jihlava : 567 117 117.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20" w:line="264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MK v areálu společnosti ul. Kosovská 457/10 Jihlava.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30.11.2020 do 31.3.2021.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28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IV. Cena díla a fakturace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28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91" w:left="960" w:right="1369" w:bottom="1901" w:header="963" w:footer="147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23215" distB="0" distL="0" distR="0" simplePos="0" relativeHeight="125829382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323215</wp:posOffset>
                </wp:positionV>
                <wp:extent cx="880745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650000000000006pt;margin-top:25.449999999999999pt;width:69.349999999999994pt;height:15.85pt;z-index:-125829371;mso-wrap-distance-left:0;mso-wrap-distance-top:25.4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8600" distB="94615" distL="0" distR="0" simplePos="0" relativeHeight="125829384" behindDoc="0" locked="0" layoutInCell="1" allowOverlap="1">
                <wp:simplePos x="0" y="0"/>
                <wp:positionH relativeFrom="page">
                  <wp:posOffset>1990725</wp:posOffset>
                </wp:positionH>
                <wp:positionV relativeFrom="paragraph">
                  <wp:posOffset>228600</wp:posOffset>
                </wp:positionV>
                <wp:extent cx="786130" cy="2012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0 2, 12, 2020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6.75pt;margin-top:18.pt;width:61.899999999999999pt;height:15.85pt;z-index:-125829369;mso-wrap-distance-left:0;mso-wrap-distance-top:18.pt;mso-wrap-distance-right:0;mso-wrap-distance-bottom:7.45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0 2, 12, 2020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0040" distB="3175" distL="0" distR="0" simplePos="0" relativeHeight="125829386" behindDoc="0" locked="0" layoutInCell="1" allowOverlap="1">
                <wp:simplePos x="0" y="0"/>
                <wp:positionH relativeFrom="page">
                  <wp:posOffset>4498975</wp:posOffset>
                </wp:positionH>
                <wp:positionV relativeFrom="paragraph">
                  <wp:posOffset>320040</wp:posOffset>
                </wp:positionV>
                <wp:extent cx="880745" cy="20129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4.25pt;margin-top:25.199999999999999pt;width:69.349999999999994pt;height:15.85pt;z-index:-125829367;mso-wrap-distance-left:0;mso-wrap-distance-top:25.199999999999999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4" w:left="0" w:right="0" w:bottom="13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12700</wp:posOffset>
                </wp:positionV>
                <wp:extent cx="1276985" cy="62484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6985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44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7j&amp;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Zhotovitelé 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2.549999999999997pt;margin-top:1.pt;width:100.55pt;height:49.200000000000003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440"/>
                        <w:jc w:val="left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7j&amp;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Zhotovitelé 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4" w:left="1205" w:right="1699" w:bottom="137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Jaroslav Reitermann</w:t>
        <w:br/>
        <w:t>jednatel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15"/>
        <w:gridCol w:w="854"/>
        <w:gridCol w:w="2026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26" w:left="1205" w:right="1699" w:bottom="1426" w:header="998" w:footer="99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 (4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Nadpis #2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Základní text (5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17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54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320"/>
      <w:ind w:firstLine="34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after="640"/>
      <w:ind w:left="10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line="39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ind w:left="3480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