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right" w:tblpY="-450"/>
        <w:tblW w:w="9447" w:type="dxa"/>
        <w:tblLayout w:type="fixed"/>
        <w:tblLook w:val="0000" w:firstRow="0" w:lastRow="0" w:firstColumn="0" w:lastColumn="0" w:noHBand="0" w:noVBand="0"/>
      </w:tblPr>
      <w:tblGrid>
        <w:gridCol w:w="9447"/>
      </w:tblGrid>
      <w:tr w:rsidR="0072006E" w:rsidRPr="005B5F14" w14:paraId="612EBA8B" w14:textId="77777777" w:rsidTr="00C61E09">
        <w:trPr>
          <w:cantSplit/>
          <w:trHeight w:hRule="exact" w:val="13249"/>
        </w:trPr>
        <w:tc>
          <w:tcPr>
            <w:tcW w:w="9447" w:type="dxa"/>
            <w:tcBorders>
              <w:top w:val="thinThickSmallGap" w:sz="18" w:space="0" w:color="808080"/>
              <w:left w:val="thinThickSmallGap" w:sz="18" w:space="0" w:color="808080"/>
              <w:bottom w:val="thickThinSmallGap" w:sz="18" w:space="0" w:color="808080"/>
              <w:right w:val="thickThinSmallGap" w:sz="18" w:space="0" w:color="808080"/>
            </w:tcBorders>
            <w:shd w:val="clear" w:color="auto" w:fill="auto"/>
          </w:tcPr>
          <w:tbl>
            <w:tblPr>
              <w:tblpPr w:leftFromText="141" w:rightFromText="141" w:horzAnchor="page" w:tblpY="-750"/>
              <w:tblOverlap w:val="never"/>
              <w:tblW w:w="9363" w:type="dxa"/>
              <w:tblLayout w:type="fixed"/>
              <w:tblLook w:val="0000" w:firstRow="0" w:lastRow="0" w:firstColumn="0" w:lastColumn="0" w:noHBand="0" w:noVBand="0"/>
            </w:tblPr>
            <w:tblGrid>
              <w:gridCol w:w="9363"/>
            </w:tblGrid>
            <w:tr w:rsidR="0072006E" w:rsidRPr="005B5F14" w14:paraId="641BCBF6" w14:textId="77777777" w:rsidTr="00C61E09">
              <w:trPr>
                <w:trHeight w:val="559"/>
              </w:trPr>
              <w:tc>
                <w:tcPr>
                  <w:tcW w:w="9363" w:type="dxa"/>
                  <w:shd w:val="clear" w:color="auto" w:fill="auto"/>
                </w:tcPr>
                <w:p w14:paraId="71957478" w14:textId="77777777" w:rsidR="0072006E" w:rsidRPr="005B5F14" w:rsidRDefault="0072006E" w:rsidP="00C61E09">
                  <w:pPr>
                    <w:rPr>
                      <w:rFonts w:ascii="Arial" w:hAnsi="Arial" w:cs="Arial"/>
                    </w:rPr>
                  </w:pPr>
                </w:p>
                <w:p w14:paraId="0DA224E5" w14:textId="77777777" w:rsidR="0072006E" w:rsidRPr="005B5F14" w:rsidRDefault="0072006E" w:rsidP="00C61E09">
                  <w:pPr>
                    <w:rPr>
                      <w:rFonts w:ascii="Arial" w:hAnsi="Arial" w:cs="Arial"/>
                      <w:b/>
                      <w:spacing w:val="8"/>
                      <w:sz w:val="32"/>
                      <w:szCs w:val="32"/>
                    </w:rPr>
                  </w:pPr>
                  <w:bookmarkStart w:id="0" w:name="Title"/>
                  <w:bookmarkEnd w:id="0"/>
                </w:p>
                <w:p w14:paraId="206E1E10" w14:textId="77777777" w:rsidR="0072006E" w:rsidRPr="005B5F14" w:rsidRDefault="0072006E" w:rsidP="00C61E09">
                  <w:pPr>
                    <w:rPr>
                      <w:rFonts w:ascii="Arial" w:hAnsi="Arial" w:cs="Arial"/>
                      <w:b/>
                      <w:spacing w:val="8"/>
                      <w:sz w:val="32"/>
                      <w:szCs w:val="32"/>
                    </w:rPr>
                  </w:pPr>
                </w:p>
                <w:p w14:paraId="3B84207B" w14:textId="77777777" w:rsidR="0072006E" w:rsidRPr="005B5F14" w:rsidRDefault="0072006E" w:rsidP="00C61E09">
                  <w:pPr>
                    <w:rPr>
                      <w:rFonts w:ascii="Arial" w:hAnsi="Arial" w:cs="Arial"/>
                      <w:b/>
                      <w:spacing w:val="8"/>
                      <w:sz w:val="32"/>
                      <w:szCs w:val="32"/>
                    </w:rPr>
                  </w:pPr>
                </w:p>
                <w:p w14:paraId="56DEF243" w14:textId="77777777" w:rsidR="0072006E" w:rsidRPr="005B5F14" w:rsidRDefault="0072006E" w:rsidP="00C61E09">
                  <w:pPr>
                    <w:rPr>
                      <w:rFonts w:ascii="Arial" w:hAnsi="Arial" w:cs="Arial"/>
                      <w:b/>
                      <w:spacing w:val="8"/>
                      <w:sz w:val="32"/>
                      <w:szCs w:val="32"/>
                    </w:rPr>
                  </w:pPr>
                </w:p>
                <w:p w14:paraId="4200DD8A" w14:textId="77777777" w:rsidR="0072006E" w:rsidRPr="005B5F14" w:rsidRDefault="0072006E" w:rsidP="00C61E09">
                  <w:pPr>
                    <w:rPr>
                      <w:rFonts w:ascii="Arial" w:hAnsi="Arial" w:cs="Arial"/>
                      <w:b/>
                      <w:spacing w:val="8"/>
                      <w:sz w:val="32"/>
                      <w:szCs w:val="32"/>
                    </w:rPr>
                  </w:pPr>
                </w:p>
                <w:p w14:paraId="363FD1DF" w14:textId="77777777" w:rsidR="0072006E" w:rsidRPr="005B5F14" w:rsidRDefault="0072006E" w:rsidP="00C61E09">
                  <w:pPr>
                    <w:rPr>
                      <w:rFonts w:ascii="Arial" w:hAnsi="Arial" w:cs="Arial"/>
                      <w:b/>
                      <w:spacing w:val="8"/>
                      <w:sz w:val="32"/>
                      <w:szCs w:val="32"/>
                    </w:rPr>
                  </w:pPr>
                </w:p>
                <w:p w14:paraId="49633094" w14:textId="77777777" w:rsidR="0072006E" w:rsidRPr="005B5F14" w:rsidRDefault="0072006E" w:rsidP="00C61E09">
                  <w:pPr>
                    <w:rPr>
                      <w:rFonts w:ascii="Arial" w:hAnsi="Arial" w:cs="Arial"/>
                      <w:b/>
                      <w:spacing w:val="8"/>
                      <w:sz w:val="32"/>
                      <w:szCs w:val="32"/>
                    </w:rPr>
                  </w:pPr>
                </w:p>
                <w:p w14:paraId="7D4B6C10" w14:textId="77777777" w:rsidR="0072006E" w:rsidRPr="005B5F14" w:rsidRDefault="0072006E" w:rsidP="00C61E09">
                  <w:pPr>
                    <w:rPr>
                      <w:rFonts w:ascii="Arial" w:hAnsi="Arial" w:cs="Arial"/>
                      <w:b/>
                      <w:spacing w:val="8"/>
                      <w:sz w:val="32"/>
                      <w:szCs w:val="32"/>
                    </w:rPr>
                  </w:pPr>
                </w:p>
                <w:p w14:paraId="517D9AE5" w14:textId="77777777" w:rsidR="0072006E" w:rsidRPr="005B5F14" w:rsidRDefault="0072006E" w:rsidP="00C61E09">
                  <w:pPr>
                    <w:rPr>
                      <w:rFonts w:ascii="Arial" w:hAnsi="Arial" w:cs="Arial"/>
                      <w:b/>
                      <w:spacing w:val="8"/>
                      <w:sz w:val="32"/>
                      <w:szCs w:val="32"/>
                    </w:rPr>
                  </w:pPr>
                </w:p>
                <w:p w14:paraId="5AAC3169" w14:textId="77777777" w:rsidR="0072006E" w:rsidRPr="005B5F14" w:rsidRDefault="0072006E" w:rsidP="00C61E09">
                  <w:pPr>
                    <w:rPr>
                      <w:rFonts w:ascii="Arial" w:hAnsi="Arial" w:cs="Arial"/>
                      <w:b/>
                      <w:spacing w:val="8"/>
                      <w:sz w:val="32"/>
                      <w:szCs w:val="32"/>
                    </w:rPr>
                  </w:pPr>
                </w:p>
                <w:p w14:paraId="1AF06A67" w14:textId="77777777" w:rsidR="0072006E" w:rsidRPr="005B5F14" w:rsidRDefault="0072006E" w:rsidP="00C61E09">
                  <w:pPr>
                    <w:rPr>
                      <w:rFonts w:ascii="Arial" w:hAnsi="Arial" w:cs="Arial"/>
                      <w:b/>
                      <w:spacing w:val="8"/>
                      <w:sz w:val="32"/>
                      <w:szCs w:val="32"/>
                    </w:rPr>
                  </w:pPr>
                </w:p>
                <w:p w14:paraId="142EC26B" w14:textId="0829A931" w:rsidR="0072006E" w:rsidRPr="005B5F14" w:rsidRDefault="00FA0016" w:rsidP="00C61E09">
                  <w:pPr>
                    <w:jc w:val="center"/>
                    <w:rPr>
                      <w:rFonts w:ascii="Arial" w:hAnsi="Arial" w:cs="Arial"/>
                      <w:b/>
                      <w:spacing w:val="8"/>
                      <w:sz w:val="32"/>
                      <w:szCs w:val="32"/>
                    </w:rPr>
                  </w:pPr>
                  <w:r w:rsidRPr="005B5F14">
                    <w:rPr>
                      <w:rFonts w:ascii="Arial" w:hAnsi="Arial" w:cs="Arial"/>
                      <w:b/>
                      <w:spacing w:val="8"/>
                      <w:sz w:val="32"/>
                      <w:szCs w:val="32"/>
                    </w:rPr>
                    <w:t>Licenční smlouva</w:t>
                  </w:r>
                </w:p>
                <w:p w14:paraId="566B0E98" w14:textId="77777777" w:rsidR="0072006E" w:rsidRPr="005B5F14" w:rsidRDefault="0072006E" w:rsidP="00FA0016">
                  <w:pPr>
                    <w:jc w:val="center"/>
                    <w:rPr>
                      <w:rFonts w:ascii="Arial" w:hAnsi="Arial" w:cs="Arial"/>
                    </w:rPr>
                  </w:pPr>
                </w:p>
              </w:tc>
            </w:tr>
          </w:tbl>
          <w:p w14:paraId="196C880B" w14:textId="77777777" w:rsidR="0072006E" w:rsidRPr="005B5F14" w:rsidRDefault="0072006E" w:rsidP="00C61E09">
            <w:pPr>
              <w:rPr>
                <w:rFonts w:ascii="Arial" w:hAnsi="Arial" w:cs="Arial"/>
              </w:rPr>
            </w:pPr>
            <w:bookmarkStart w:id="1" w:name="Contractor1"/>
            <w:bookmarkEnd w:id="1"/>
          </w:p>
          <w:p w14:paraId="73ABC225" w14:textId="77777777" w:rsidR="0072006E" w:rsidRPr="005B5F14" w:rsidRDefault="0072006E" w:rsidP="00C61E09">
            <w:pPr>
              <w:jc w:val="center"/>
              <w:rPr>
                <w:rStyle w:val="Siln"/>
                <w:rFonts w:ascii="Arial" w:hAnsi="Arial" w:cs="Arial"/>
              </w:rPr>
            </w:pPr>
            <w:r w:rsidRPr="005B5F14">
              <w:rPr>
                <w:rStyle w:val="Siln"/>
                <w:rFonts w:ascii="Arial" w:hAnsi="Arial" w:cs="Arial"/>
              </w:rPr>
              <w:t xml:space="preserve">České vysoké učení technické v Praze, </w:t>
            </w:r>
            <w:r w:rsidRPr="005B5F14">
              <w:rPr>
                <w:rStyle w:val="Siln"/>
                <w:rFonts w:ascii="Arial" w:hAnsi="Arial" w:cs="Arial"/>
              </w:rPr>
              <w:br/>
              <w:t>Univerzitní centrum energeticky efektivních budov</w:t>
            </w:r>
          </w:p>
          <w:p w14:paraId="1F43EF78" w14:textId="77777777" w:rsidR="0072006E" w:rsidRPr="005B5F14" w:rsidRDefault="0072006E" w:rsidP="00C61E09">
            <w:pPr>
              <w:rPr>
                <w:rFonts w:ascii="Arial" w:hAnsi="Arial" w:cs="Arial"/>
              </w:rPr>
            </w:pPr>
          </w:p>
          <w:p w14:paraId="0C4682F9" w14:textId="77777777" w:rsidR="0072006E" w:rsidRPr="005B5F14" w:rsidRDefault="0072006E" w:rsidP="00C61E09">
            <w:pPr>
              <w:jc w:val="center"/>
              <w:rPr>
                <w:rFonts w:ascii="Arial" w:hAnsi="Arial" w:cs="Arial"/>
              </w:rPr>
            </w:pPr>
            <w:r w:rsidRPr="005B5F14">
              <w:rPr>
                <w:rFonts w:ascii="Arial" w:hAnsi="Arial" w:cs="Arial"/>
              </w:rPr>
              <w:t>a</w:t>
            </w:r>
          </w:p>
          <w:p w14:paraId="081B3CAA" w14:textId="77777777" w:rsidR="0072006E" w:rsidRPr="005B5F14" w:rsidRDefault="0072006E" w:rsidP="00C61E09">
            <w:pPr>
              <w:rPr>
                <w:rFonts w:ascii="Arial" w:hAnsi="Arial" w:cs="Arial"/>
              </w:rPr>
            </w:pPr>
          </w:p>
          <w:p w14:paraId="17F2EDB3" w14:textId="77777777" w:rsidR="0072006E" w:rsidRPr="005B5F14" w:rsidRDefault="0072006E" w:rsidP="00C61E09">
            <w:pPr>
              <w:rPr>
                <w:rFonts w:ascii="Arial" w:hAnsi="Arial" w:cs="Arial"/>
              </w:rPr>
            </w:pPr>
          </w:p>
          <w:p w14:paraId="4F03D5D2" w14:textId="1AA451C1" w:rsidR="00BE6A17" w:rsidRDefault="00FA7EFB" w:rsidP="00C61E09">
            <w:pPr>
              <w:jc w:val="center"/>
              <w:rPr>
                <w:rFonts w:ascii="Arial" w:hAnsi="Arial" w:cs="Arial"/>
                <w:b/>
              </w:rPr>
            </w:pPr>
            <w:r w:rsidRPr="00FA7EFB">
              <w:rPr>
                <w:rFonts w:ascii="Arial" w:hAnsi="Arial" w:cs="Arial"/>
                <w:b/>
              </w:rPr>
              <w:t>DAMGAARD Consulting s.r.o.</w:t>
            </w:r>
          </w:p>
          <w:p w14:paraId="32083297" w14:textId="77777777" w:rsidR="00BE6A17" w:rsidRPr="00BE6A17" w:rsidRDefault="00BE6A17" w:rsidP="00BE6A17">
            <w:pPr>
              <w:rPr>
                <w:rFonts w:ascii="Arial" w:hAnsi="Arial" w:cs="Arial"/>
              </w:rPr>
            </w:pPr>
          </w:p>
          <w:p w14:paraId="5AA05EF4" w14:textId="77777777" w:rsidR="00BE6A17" w:rsidRPr="00BE6A17" w:rsidRDefault="00BE6A17" w:rsidP="00BE6A17">
            <w:pPr>
              <w:rPr>
                <w:rFonts w:ascii="Arial" w:hAnsi="Arial" w:cs="Arial"/>
              </w:rPr>
            </w:pPr>
          </w:p>
          <w:p w14:paraId="01694CFF" w14:textId="77777777" w:rsidR="00BE6A17" w:rsidRPr="00BE6A17" w:rsidRDefault="00BE6A17" w:rsidP="00BE6A17">
            <w:pPr>
              <w:rPr>
                <w:rFonts w:ascii="Arial" w:hAnsi="Arial" w:cs="Arial"/>
              </w:rPr>
            </w:pPr>
          </w:p>
          <w:p w14:paraId="19344B47" w14:textId="77777777" w:rsidR="00BE6A17" w:rsidRPr="00BE6A17" w:rsidRDefault="00BE6A17" w:rsidP="00BE6A17">
            <w:pPr>
              <w:rPr>
                <w:rFonts w:ascii="Arial" w:hAnsi="Arial" w:cs="Arial"/>
              </w:rPr>
            </w:pPr>
          </w:p>
          <w:p w14:paraId="470BA2A8" w14:textId="77777777" w:rsidR="00BE6A17" w:rsidRPr="00BE6A17" w:rsidRDefault="00BE6A17" w:rsidP="00BE6A17">
            <w:pPr>
              <w:rPr>
                <w:rFonts w:ascii="Arial" w:hAnsi="Arial" w:cs="Arial"/>
              </w:rPr>
            </w:pPr>
          </w:p>
          <w:p w14:paraId="59B87B85" w14:textId="77777777" w:rsidR="00BE6A17" w:rsidRPr="00BE6A17" w:rsidRDefault="00BE6A17" w:rsidP="00BE6A17">
            <w:pPr>
              <w:rPr>
                <w:rFonts w:ascii="Arial" w:hAnsi="Arial" w:cs="Arial"/>
              </w:rPr>
            </w:pPr>
          </w:p>
          <w:p w14:paraId="3D72A9C8" w14:textId="77777777" w:rsidR="00BE6A17" w:rsidRPr="00BE6A17" w:rsidRDefault="00BE6A17" w:rsidP="00BE6A17">
            <w:pPr>
              <w:rPr>
                <w:rFonts w:ascii="Arial" w:hAnsi="Arial" w:cs="Arial"/>
              </w:rPr>
            </w:pPr>
          </w:p>
          <w:p w14:paraId="5089419C" w14:textId="77777777" w:rsidR="00BE6A17" w:rsidRPr="00BE6A17" w:rsidRDefault="00BE6A17" w:rsidP="00BE6A17">
            <w:pPr>
              <w:rPr>
                <w:rFonts w:ascii="Arial" w:hAnsi="Arial" w:cs="Arial"/>
              </w:rPr>
            </w:pPr>
          </w:p>
          <w:p w14:paraId="2CE109BE" w14:textId="5EDF5805" w:rsidR="0072006E" w:rsidRPr="00BE6A17" w:rsidRDefault="00BE6A17" w:rsidP="00BE6A17">
            <w:pPr>
              <w:tabs>
                <w:tab w:val="left" w:pos="5400"/>
              </w:tabs>
              <w:rPr>
                <w:rFonts w:ascii="Arial" w:hAnsi="Arial" w:cs="Arial"/>
              </w:rPr>
            </w:pPr>
            <w:r>
              <w:rPr>
                <w:rFonts w:ascii="Arial" w:hAnsi="Arial" w:cs="Arial"/>
              </w:rPr>
              <w:tab/>
            </w:r>
          </w:p>
        </w:tc>
      </w:tr>
    </w:tbl>
    <w:p w14:paraId="266FDDCF" w14:textId="77777777" w:rsidR="00FA0016" w:rsidRPr="005B5F14" w:rsidRDefault="00FA0016" w:rsidP="00FA0016">
      <w:pPr>
        <w:pStyle w:val="Default"/>
        <w:spacing w:line="240" w:lineRule="auto"/>
        <w:jc w:val="center"/>
        <w:rPr>
          <w:rFonts w:ascii="Arial" w:hAnsi="Arial" w:cs="Arial"/>
          <w:b/>
          <w:bCs/>
          <w:sz w:val="36"/>
          <w:szCs w:val="36"/>
        </w:rPr>
      </w:pPr>
      <w:r w:rsidRPr="005B5F14">
        <w:rPr>
          <w:rFonts w:ascii="Arial" w:hAnsi="Arial" w:cs="Arial"/>
          <w:b/>
          <w:bCs/>
          <w:sz w:val="48"/>
          <w:szCs w:val="48"/>
        </w:rPr>
        <w:lastRenderedPageBreak/>
        <w:t xml:space="preserve">Licenční smlouva </w:t>
      </w:r>
    </w:p>
    <w:p w14:paraId="2C9D184E" w14:textId="37254B25" w:rsidR="00FA0016" w:rsidRPr="005B5F14" w:rsidRDefault="00FA0016" w:rsidP="00FA0016">
      <w:pPr>
        <w:pStyle w:val="Default"/>
        <w:spacing w:line="240" w:lineRule="auto"/>
        <w:jc w:val="center"/>
        <w:rPr>
          <w:rFonts w:ascii="Arial" w:hAnsi="Arial" w:cs="Arial"/>
          <w:i/>
        </w:rPr>
      </w:pPr>
      <w:r w:rsidRPr="005B5F14">
        <w:rPr>
          <w:rFonts w:ascii="Arial" w:hAnsi="Arial" w:cs="Arial"/>
          <w:b/>
          <w:bCs/>
          <w:sz w:val="36"/>
          <w:szCs w:val="36"/>
        </w:rPr>
        <w:t>k</w:t>
      </w:r>
      <w:r w:rsidR="00E0293F" w:rsidRPr="005B5F14">
        <w:rPr>
          <w:rFonts w:ascii="Arial" w:hAnsi="Arial" w:cs="Arial"/>
          <w:b/>
          <w:bCs/>
          <w:sz w:val="36"/>
          <w:szCs w:val="36"/>
        </w:rPr>
        <w:t> průmyslovému vlastnictví</w:t>
      </w:r>
    </w:p>
    <w:p w14:paraId="21BA3477" w14:textId="77777777" w:rsidR="00FA0016" w:rsidRPr="005B5F14" w:rsidRDefault="00FA0016" w:rsidP="00FA0016">
      <w:pPr>
        <w:pStyle w:val="Default"/>
        <w:spacing w:line="240" w:lineRule="auto"/>
        <w:jc w:val="center"/>
        <w:rPr>
          <w:rFonts w:ascii="Arial" w:hAnsi="Arial" w:cs="Arial"/>
          <w:i/>
        </w:rPr>
      </w:pPr>
    </w:p>
    <w:p w14:paraId="7F7B81AF" w14:textId="77777777" w:rsidR="00FA0016" w:rsidRPr="005B5F14" w:rsidRDefault="00FA0016" w:rsidP="00FA0016">
      <w:pPr>
        <w:pStyle w:val="Default"/>
        <w:spacing w:line="240" w:lineRule="auto"/>
        <w:jc w:val="center"/>
        <w:rPr>
          <w:rFonts w:ascii="Arial" w:hAnsi="Arial" w:cs="Arial"/>
          <w:i/>
        </w:rPr>
      </w:pPr>
      <w:r w:rsidRPr="005B5F14">
        <w:rPr>
          <w:rFonts w:ascii="Arial" w:hAnsi="Arial" w:cs="Arial"/>
          <w:i/>
        </w:rPr>
        <w:t>uzavřená dle § 1746 odst. 2 a § 2358 a násl. zákona č. 89/2012 Sb., občanský zákoník v platném znění níže uvedeného dne, měsíce a roku mezi těmito smluvními stranami:</w:t>
      </w:r>
    </w:p>
    <w:p w14:paraId="402B0937" w14:textId="77777777" w:rsidR="00FA0016" w:rsidRPr="005B5F14" w:rsidRDefault="00FA0016" w:rsidP="00FA0016">
      <w:pPr>
        <w:pStyle w:val="Default"/>
        <w:spacing w:line="240" w:lineRule="auto"/>
        <w:rPr>
          <w:rFonts w:ascii="Arial" w:hAnsi="Arial" w:cs="Arial"/>
        </w:rPr>
      </w:pPr>
    </w:p>
    <w:p w14:paraId="4E0D5986" w14:textId="77777777" w:rsidR="00FA0016" w:rsidRPr="005B5F14" w:rsidRDefault="00FA0016" w:rsidP="00FA0016">
      <w:pPr>
        <w:pStyle w:val="Default"/>
        <w:spacing w:line="240" w:lineRule="auto"/>
        <w:rPr>
          <w:rFonts w:ascii="Arial" w:hAnsi="Arial" w:cs="Arial"/>
          <w:b/>
          <w:bCs/>
        </w:rPr>
      </w:pPr>
    </w:p>
    <w:tbl>
      <w:tblPr>
        <w:tblW w:w="9266" w:type="dxa"/>
        <w:tblInd w:w="18" w:type="dxa"/>
        <w:tblLayout w:type="fixed"/>
        <w:tblCellMar>
          <w:left w:w="70" w:type="dxa"/>
          <w:right w:w="70" w:type="dxa"/>
        </w:tblCellMar>
        <w:tblLook w:val="0000" w:firstRow="0" w:lastRow="0" w:firstColumn="0" w:lastColumn="0" w:noHBand="0" w:noVBand="0"/>
      </w:tblPr>
      <w:tblGrid>
        <w:gridCol w:w="4447"/>
        <w:gridCol w:w="4819"/>
      </w:tblGrid>
      <w:tr w:rsidR="00FA0016" w:rsidRPr="005B5F14" w14:paraId="49336FC7" w14:textId="77777777" w:rsidTr="00D044C0">
        <w:trPr>
          <w:cantSplit/>
        </w:trPr>
        <w:tc>
          <w:tcPr>
            <w:tcW w:w="4447" w:type="dxa"/>
          </w:tcPr>
          <w:p w14:paraId="3CB26E1E"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Obchodní firma:</w:t>
            </w:r>
          </w:p>
          <w:p w14:paraId="71303BA6" w14:textId="581047B3" w:rsidR="005A43EC" w:rsidRPr="005B5F14" w:rsidRDefault="005A43EC" w:rsidP="00D044C0">
            <w:pPr>
              <w:spacing w:line="240" w:lineRule="auto"/>
              <w:rPr>
                <w:rFonts w:ascii="Arial" w:hAnsi="Arial" w:cs="Arial"/>
                <w:sz w:val="24"/>
                <w:szCs w:val="24"/>
              </w:rPr>
            </w:pPr>
            <w:r w:rsidRPr="005B5F14">
              <w:rPr>
                <w:rFonts w:ascii="Arial" w:hAnsi="Arial" w:cs="Arial"/>
                <w:sz w:val="24"/>
                <w:szCs w:val="24"/>
              </w:rPr>
              <w:t>Pracoviště:</w:t>
            </w:r>
          </w:p>
        </w:tc>
        <w:tc>
          <w:tcPr>
            <w:tcW w:w="4819" w:type="dxa"/>
          </w:tcPr>
          <w:p w14:paraId="626D4491"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České vysoké učení technické v Praze</w:t>
            </w:r>
          </w:p>
          <w:p w14:paraId="14EC52DC" w14:textId="6A1186C3" w:rsidR="00FA0016" w:rsidRPr="005B5F14" w:rsidRDefault="005A43EC" w:rsidP="00D044C0">
            <w:pPr>
              <w:spacing w:line="240" w:lineRule="auto"/>
              <w:rPr>
                <w:rFonts w:ascii="Arial" w:hAnsi="Arial" w:cs="Arial"/>
                <w:sz w:val="24"/>
                <w:szCs w:val="24"/>
              </w:rPr>
            </w:pPr>
            <w:r w:rsidRPr="005B5F14">
              <w:rPr>
                <w:rFonts w:ascii="Arial" w:hAnsi="Arial" w:cs="Arial"/>
                <w:sz w:val="24"/>
                <w:szCs w:val="24"/>
              </w:rPr>
              <w:t>Univerzitní centrum energeticky efektivních budov</w:t>
            </w:r>
          </w:p>
        </w:tc>
      </w:tr>
      <w:tr w:rsidR="00FA0016" w:rsidRPr="005B5F14" w14:paraId="0B9CB763" w14:textId="77777777" w:rsidTr="00D044C0">
        <w:trPr>
          <w:cantSplit/>
        </w:trPr>
        <w:tc>
          <w:tcPr>
            <w:tcW w:w="4447" w:type="dxa"/>
          </w:tcPr>
          <w:p w14:paraId="5554056D"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Se sídlem:</w:t>
            </w:r>
          </w:p>
        </w:tc>
        <w:tc>
          <w:tcPr>
            <w:tcW w:w="4819" w:type="dxa"/>
          </w:tcPr>
          <w:p w14:paraId="1361022A"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Jugoslávských partyzánů 1580/3, 160 00 Praha 6</w:t>
            </w:r>
          </w:p>
        </w:tc>
      </w:tr>
      <w:tr w:rsidR="00FA0016" w:rsidRPr="005B5F14" w14:paraId="5826139F" w14:textId="77777777" w:rsidTr="00D044C0">
        <w:trPr>
          <w:cantSplit/>
        </w:trPr>
        <w:tc>
          <w:tcPr>
            <w:tcW w:w="4447" w:type="dxa"/>
          </w:tcPr>
          <w:p w14:paraId="1634184D"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Zastoupen:</w:t>
            </w:r>
          </w:p>
        </w:tc>
        <w:tc>
          <w:tcPr>
            <w:tcW w:w="4819" w:type="dxa"/>
          </w:tcPr>
          <w:p w14:paraId="6794F273"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 xml:space="preserve">doc. Ing. Lukášem Ferklem, Ph.D., ředitelem Univerzitního centra energeticky efektivních budov ČVUT v Praze, Buštěhrad, Třinecká 1024, PSČ 273 43, na základě pověření rektora </w:t>
            </w:r>
          </w:p>
        </w:tc>
      </w:tr>
      <w:tr w:rsidR="00FA0016" w:rsidRPr="005B5F14" w14:paraId="5DB33036" w14:textId="77777777" w:rsidTr="00D044C0">
        <w:trPr>
          <w:cantSplit/>
        </w:trPr>
        <w:tc>
          <w:tcPr>
            <w:tcW w:w="4447" w:type="dxa"/>
          </w:tcPr>
          <w:p w14:paraId="47CB9F8A"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IČ:</w:t>
            </w:r>
          </w:p>
        </w:tc>
        <w:tc>
          <w:tcPr>
            <w:tcW w:w="4819" w:type="dxa"/>
          </w:tcPr>
          <w:p w14:paraId="69B456BC"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68407700</w:t>
            </w:r>
          </w:p>
          <w:p w14:paraId="46704FD3" w14:textId="77777777" w:rsidR="00FA0016" w:rsidRPr="005B5F14" w:rsidRDefault="00FA0016" w:rsidP="00D044C0">
            <w:pPr>
              <w:spacing w:line="240" w:lineRule="auto"/>
              <w:rPr>
                <w:rFonts w:ascii="Arial" w:hAnsi="Arial" w:cs="Arial"/>
                <w:sz w:val="24"/>
                <w:szCs w:val="24"/>
              </w:rPr>
            </w:pPr>
          </w:p>
        </w:tc>
      </w:tr>
      <w:tr w:rsidR="00FA0016" w:rsidRPr="005B5F14" w14:paraId="3039F148" w14:textId="77777777" w:rsidTr="00D044C0">
        <w:trPr>
          <w:cantSplit/>
        </w:trPr>
        <w:tc>
          <w:tcPr>
            <w:tcW w:w="4447" w:type="dxa"/>
          </w:tcPr>
          <w:p w14:paraId="3E4D6A4C" w14:textId="77777777" w:rsidR="00FA0016" w:rsidRPr="005B5F14" w:rsidRDefault="00FA0016" w:rsidP="00D044C0">
            <w:pPr>
              <w:spacing w:line="240" w:lineRule="auto"/>
              <w:rPr>
                <w:rFonts w:ascii="Arial" w:hAnsi="Arial" w:cs="Arial"/>
                <w:i/>
                <w:sz w:val="24"/>
                <w:szCs w:val="24"/>
              </w:rPr>
            </w:pPr>
            <w:r w:rsidRPr="005B5F14">
              <w:rPr>
                <w:rFonts w:ascii="Arial" w:hAnsi="Arial" w:cs="Arial"/>
                <w:i/>
                <w:sz w:val="24"/>
                <w:szCs w:val="24"/>
              </w:rPr>
              <w:t>(dále jen „Poskytovatel“)</w:t>
            </w:r>
          </w:p>
          <w:p w14:paraId="3AF3C7EA" w14:textId="77777777" w:rsidR="00FA0016" w:rsidRPr="005B5F14" w:rsidRDefault="00FA0016" w:rsidP="00D044C0">
            <w:pPr>
              <w:spacing w:line="240" w:lineRule="auto"/>
              <w:rPr>
                <w:rFonts w:ascii="Arial" w:hAnsi="Arial" w:cs="Arial"/>
                <w:sz w:val="24"/>
                <w:szCs w:val="24"/>
              </w:rPr>
            </w:pPr>
          </w:p>
          <w:p w14:paraId="354941D6"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a</w:t>
            </w:r>
          </w:p>
          <w:p w14:paraId="566F82D0" w14:textId="77777777" w:rsidR="00FA0016" w:rsidRPr="005B5F14" w:rsidRDefault="00FA0016" w:rsidP="00D044C0">
            <w:pPr>
              <w:spacing w:line="240" w:lineRule="auto"/>
              <w:rPr>
                <w:rFonts w:ascii="Arial" w:hAnsi="Arial" w:cs="Arial"/>
                <w:sz w:val="24"/>
                <w:szCs w:val="24"/>
              </w:rPr>
            </w:pPr>
          </w:p>
        </w:tc>
        <w:tc>
          <w:tcPr>
            <w:tcW w:w="4819" w:type="dxa"/>
          </w:tcPr>
          <w:p w14:paraId="0EFA37C3" w14:textId="77777777" w:rsidR="00FA0016" w:rsidRPr="005B5F14" w:rsidRDefault="00FA0016" w:rsidP="00D044C0">
            <w:pPr>
              <w:spacing w:line="240" w:lineRule="auto"/>
              <w:rPr>
                <w:rFonts w:ascii="Arial" w:hAnsi="Arial" w:cs="Arial"/>
                <w:i/>
                <w:sz w:val="24"/>
                <w:szCs w:val="24"/>
              </w:rPr>
            </w:pPr>
          </w:p>
        </w:tc>
      </w:tr>
      <w:tr w:rsidR="00FA0016" w:rsidRPr="005B5F14" w14:paraId="2E6EB327" w14:textId="77777777" w:rsidTr="00D044C0">
        <w:trPr>
          <w:cantSplit/>
        </w:trPr>
        <w:tc>
          <w:tcPr>
            <w:tcW w:w="4447" w:type="dxa"/>
          </w:tcPr>
          <w:p w14:paraId="39EA2EE6"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 xml:space="preserve">Obchodní firma: </w:t>
            </w:r>
          </w:p>
        </w:tc>
        <w:tc>
          <w:tcPr>
            <w:tcW w:w="4819" w:type="dxa"/>
          </w:tcPr>
          <w:p w14:paraId="6815FBED" w14:textId="3CFD938D" w:rsidR="00FA0016" w:rsidRPr="005B5F14" w:rsidRDefault="005E415D" w:rsidP="00D044C0">
            <w:pPr>
              <w:spacing w:line="240" w:lineRule="auto"/>
              <w:rPr>
                <w:rFonts w:ascii="Arial" w:hAnsi="Arial" w:cs="Arial"/>
                <w:sz w:val="24"/>
                <w:szCs w:val="24"/>
              </w:rPr>
            </w:pPr>
            <w:r w:rsidRPr="005E415D">
              <w:rPr>
                <w:rFonts w:ascii="Arial" w:hAnsi="Arial" w:cs="Arial"/>
                <w:sz w:val="24"/>
                <w:szCs w:val="24"/>
              </w:rPr>
              <w:t>DAMGAARD Consulting s.r.o.</w:t>
            </w:r>
          </w:p>
        </w:tc>
      </w:tr>
      <w:tr w:rsidR="00FA0016" w:rsidRPr="005B5F14" w14:paraId="184943B4" w14:textId="77777777" w:rsidTr="00D044C0">
        <w:trPr>
          <w:cantSplit/>
        </w:trPr>
        <w:tc>
          <w:tcPr>
            <w:tcW w:w="4447" w:type="dxa"/>
          </w:tcPr>
          <w:p w14:paraId="67DBA2E7"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Sídlo:</w:t>
            </w:r>
          </w:p>
        </w:tc>
        <w:tc>
          <w:tcPr>
            <w:tcW w:w="4819" w:type="dxa"/>
          </w:tcPr>
          <w:p w14:paraId="7005598C" w14:textId="5F6617DE" w:rsidR="00FA0016" w:rsidRPr="005B5F14" w:rsidRDefault="005E415D" w:rsidP="00D044C0">
            <w:pPr>
              <w:spacing w:line="240" w:lineRule="auto"/>
              <w:rPr>
                <w:rFonts w:ascii="Arial" w:hAnsi="Arial" w:cs="Arial"/>
                <w:sz w:val="24"/>
                <w:szCs w:val="24"/>
              </w:rPr>
            </w:pPr>
            <w:r w:rsidRPr="005E415D">
              <w:rPr>
                <w:rFonts w:ascii="Arial" w:hAnsi="Arial" w:cs="Arial"/>
                <w:sz w:val="24"/>
                <w:szCs w:val="24"/>
              </w:rPr>
              <w:t>Korunní 2569/108, 101 00 Praha</w:t>
            </w:r>
          </w:p>
        </w:tc>
      </w:tr>
      <w:tr w:rsidR="00FA0016" w:rsidRPr="005B5F14" w14:paraId="0FB56E3E" w14:textId="77777777" w:rsidTr="00D044C0">
        <w:trPr>
          <w:cantSplit/>
        </w:trPr>
        <w:tc>
          <w:tcPr>
            <w:tcW w:w="4447" w:type="dxa"/>
          </w:tcPr>
          <w:p w14:paraId="4DB6FCF9"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Zastoupený:</w:t>
            </w:r>
          </w:p>
        </w:tc>
        <w:tc>
          <w:tcPr>
            <w:tcW w:w="4819" w:type="dxa"/>
          </w:tcPr>
          <w:p w14:paraId="0013B939" w14:textId="697C011F" w:rsidR="00FA0016" w:rsidRPr="005B5F14" w:rsidRDefault="009E247B" w:rsidP="00D044C0">
            <w:pPr>
              <w:spacing w:line="240" w:lineRule="auto"/>
              <w:rPr>
                <w:rFonts w:ascii="Arial" w:hAnsi="Arial" w:cs="Arial"/>
                <w:sz w:val="24"/>
                <w:szCs w:val="24"/>
              </w:rPr>
            </w:pPr>
            <w:r w:rsidRPr="00102379">
              <w:rPr>
                <w:rFonts w:ascii="Arial" w:hAnsi="Arial" w:cs="Arial"/>
                <w:sz w:val="24"/>
                <w:szCs w:val="24"/>
              </w:rPr>
              <w:t>Petr Mydlil, jednatel</w:t>
            </w:r>
          </w:p>
        </w:tc>
      </w:tr>
      <w:tr w:rsidR="00FA0016" w:rsidRPr="005B5F14" w14:paraId="2657E553" w14:textId="77777777" w:rsidTr="00D044C0">
        <w:trPr>
          <w:cantSplit/>
        </w:trPr>
        <w:tc>
          <w:tcPr>
            <w:tcW w:w="4447" w:type="dxa"/>
          </w:tcPr>
          <w:p w14:paraId="3E52EC49"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IČ:</w:t>
            </w:r>
          </w:p>
        </w:tc>
        <w:tc>
          <w:tcPr>
            <w:tcW w:w="4819" w:type="dxa"/>
          </w:tcPr>
          <w:p w14:paraId="32D1668C" w14:textId="3C81618A" w:rsidR="00FA0016" w:rsidRPr="005B5F14" w:rsidRDefault="005E415D" w:rsidP="00D044C0">
            <w:pPr>
              <w:spacing w:line="240" w:lineRule="auto"/>
              <w:rPr>
                <w:rFonts w:ascii="Arial" w:hAnsi="Arial" w:cs="Arial"/>
                <w:sz w:val="24"/>
                <w:szCs w:val="24"/>
              </w:rPr>
            </w:pPr>
            <w:r w:rsidRPr="005E415D">
              <w:rPr>
                <w:rFonts w:ascii="Arial" w:hAnsi="Arial" w:cs="Arial"/>
                <w:sz w:val="24"/>
                <w:szCs w:val="24"/>
              </w:rPr>
              <w:t>24805491</w:t>
            </w:r>
          </w:p>
        </w:tc>
      </w:tr>
      <w:tr w:rsidR="00FA0016" w:rsidRPr="005B5F14" w14:paraId="6FF87831" w14:textId="77777777" w:rsidTr="00D044C0">
        <w:trPr>
          <w:cantSplit/>
        </w:trPr>
        <w:tc>
          <w:tcPr>
            <w:tcW w:w="4447" w:type="dxa"/>
          </w:tcPr>
          <w:p w14:paraId="15055A2D" w14:textId="77777777" w:rsidR="00FA0016" w:rsidRPr="005B5F14" w:rsidRDefault="00FA0016" w:rsidP="00D044C0">
            <w:pPr>
              <w:spacing w:line="240" w:lineRule="auto"/>
              <w:rPr>
                <w:rFonts w:ascii="Arial" w:hAnsi="Arial" w:cs="Arial"/>
                <w:sz w:val="24"/>
                <w:szCs w:val="24"/>
              </w:rPr>
            </w:pPr>
            <w:r w:rsidRPr="005B5F14">
              <w:rPr>
                <w:rFonts w:ascii="Arial" w:hAnsi="Arial" w:cs="Arial"/>
                <w:sz w:val="24"/>
                <w:szCs w:val="24"/>
              </w:rPr>
              <w:t>Zapsán:</w:t>
            </w:r>
          </w:p>
        </w:tc>
        <w:tc>
          <w:tcPr>
            <w:tcW w:w="4819" w:type="dxa"/>
          </w:tcPr>
          <w:p w14:paraId="09612C98" w14:textId="4352FE73" w:rsidR="00FA0016" w:rsidRPr="005B5F14" w:rsidRDefault="005E415D" w:rsidP="00D044C0">
            <w:pPr>
              <w:spacing w:line="240" w:lineRule="auto"/>
              <w:rPr>
                <w:rFonts w:ascii="Arial" w:hAnsi="Arial" w:cs="Arial"/>
                <w:sz w:val="24"/>
                <w:szCs w:val="24"/>
              </w:rPr>
            </w:pPr>
            <w:r w:rsidRPr="005E415D">
              <w:rPr>
                <w:rFonts w:ascii="Arial" w:hAnsi="Arial" w:cs="Arial"/>
                <w:sz w:val="24"/>
                <w:szCs w:val="24"/>
              </w:rPr>
              <w:t>u Městského soudu v Praze pod složkou C 175884</w:t>
            </w:r>
          </w:p>
        </w:tc>
      </w:tr>
      <w:tr w:rsidR="00FA0016" w:rsidRPr="005B5F14" w14:paraId="1174A0E0" w14:textId="77777777" w:rsidTr="00D044C0">
        <w:trPr>
          <w:cantSplit/>
        </w:trPr>
        <w:tc>
          <w:tcPr>
            <w:tcW w:w="4447" w:type="dxa"/>
          </w:tcPr>
          <w:p w14:paraId="2A27D9C0" w14:textId="77777777" w:rsidR="00FA0016" w:rsidRPr="005B5F14" w:rsidRDefault="00FA0016" w:rsidP="00D044C0">
            <w:pPr>
              <w:spacing w:line="240" w:lineRule="auto"/>
              <w:rPr>
                <w:rFonts w:ascii="Arial" w:hAnsi="Arial" w:cs="Arial"/>
                <w:i/>
                <w:sz w:val="24"/>
                <w:szCs w:val="24"/>
              </w:rPr>
            </w:pPr>
            <w:r w:rsidRPr="005B5F14">
              <w:rPr>
                <w:rFonts w:ascii="Arial" w:hAnsi="Arial" w:cs="Arial"/>
                <w:i/>
                <w:sz w:val="24"/>
                <w:szCs w:val="24"/>
              </w:rPr>
              <w:t>(dále jen „Nabyvatel“)</w:t>
            </w:r>
          </w:p>
        </w:tc>
        <w:tc>
          <w:tcPr>
            <w:tcW w:w="4819" w:type="dxa"/>
          </w:tcPr>
          <w:p w14:paraId="55D96E98" w14:textId="77777777" w:rsidR="00FA0016" w:rsidRPr="005B5F14" w:rsidRDefault="00FA0016" w:rsidP="00D044C0">
            <w:pPr>
              <w:spacing w:line="240" w:lineRule="auto"/>
              <w:rPr>
                <w:rFonts w:ascii="Arial" w:hAnsi="Arial" w:cs="Arial"/>
                <w:b/>
                <w:i/>
                <w:sz w:val="24"/>
                <w:szCs w:val="24"/>
              </w:rPr>
            </w:pPr>
          </w:p>
        </w:tc>
      </w:tr>
    </w:tbl>
    <w:p w14:paraId="424C7B2E" w14:textId="77777777" w:rsidR="00FA0016" w:rsidRPr="005B5F14" w:rsidRDefault="00FA0016" w:rsidP="00FA0016">
      <w:pPr>
        <w:spacing w:line="240" w:lineRule="auto"/>
        <w:rPr>
          <w:rFonts w:ascii="Arial" w:hAnsi="Arial" w:cs="Arial"/>
          <w:b/>
          <w:bCs/>
          <w:sz w:val="24"/>
          <w:szCs w:val="24"/>
        </w:rPr>
      </w:pPr>
    </w:p>
    <w:p w14:paraId="0B1E6A55" w14:textId="2A1252EA" w:rsidR="00FA0016" w:rsidRPr="005B5F14" w:rsidRDefault="00FA0016" w:rsidP="00FA0016">
      <w:pPr>
        <w:pStyle w:val="Default"/>
        <w:spacing w:line="240" w:lineRule="auto"/>
        <w:rPr>
          <w:rFonts w:ascii="Arial" w:hAnsi="Arial" w:cs="Arial"/>
          <w:b/>
          <w:bCs/>
        </w:rPr>
      </w:pPr>
    </w:p>
    <w:p w14:paraId="1C039A66" w14:textId="51470828" w:rsidR="00FA0016" w:rsidRPr="005B5F14" w:rsidRDefault="00FA0016" w:rsidP="00FA0016">
      <w:pPr>
        <w:pStyle w:val="Default"/>
        <w:spacing w:line="240" w:lineRule="auto"/>
        <w:rPr>
          <w:rFonts w:ascii="Arial" w:hAnsi="Arial" w:cs="Arial"/>
          <w:b/>
          <w:bCs/>
        </w:rPr>
      </w:pPr>
    </w:p>
    <w:p w14:paraId="2D10BCDA" w14:textId="0A5486AA" w:rsidR="00FA0016" w:rsidRPr="005B5F14" w:rsidRDefault="00FA0016" w:rsidP="00FA0016">
      <w:pPr>
        <w:pStyle w:val="Default"/>
        <w:spacing w:line="240" w:lineRule="auto"/>
        <w:rPr>
          <w:rFonts w:ascii="Arial" w:hAnsi="Arial" w:cs="Arial"/>
          <w:b/>
          <w:bCs/>
        </w:rPr>
      </w:pPr>
    </w:p>
    <w:p w14:paraId="67BEDCE1" w14:textId="202C9BA0" w:rsidR="00172799" w:rsidRPr="005B5F14" w:rsidRDefault="00172799" w:rsidP="00FA0016">
      <w:pPr>
        <w:pStyle w:val="Default"/>
        <w:spacing w:line="240" w:lineRule="auto"/>
        <w:rPr>
          <w:rFonts w:ascii="Arial" w:hAnsi="Arial" w:cs="Arial"/>
          <w:b/>
          <w:bCs/>
        </w:rPr>
      </w:pPr>
    </w:p>
    <w:p w14:paraId="6A5B1493" w14:textId="77777777" w:rsidR="00172799" w:rsidRPr="005B5F14" w:rsidRDefault="00172799" w:rsidP="00FA0016">
      <w:pPr>
        <w:pStyle w:val="Default"/>
        <w:spacing w:line="240" w:lineRule="auto"/>
        <w:rPr>
          <w:rFonts w:ascii="Arial" w:hAnsi="Arial" w:cs="Arial"/>
          <w:b/>
          <w:bCs/>
        </w:rPr>
      </w:pPr>
    </w:p>
    <w:p w14:paraId="28E1F175" w14:textId="77777777" w:rsidR="00FA0016" w:rsidRPr="005B5F14" w:rsidRDefault="00FA0016" w:rsidP="00FA0016">
      <w:pPr>
        <w:pStyle w:val="Default"/>
        <w:spacing w:line="240" w:lineRule="auto"/>
        <w:jc w:val="center"/>
        <w:rPr>
          <w:rFonts w:ascii="Arial" w:hAnsi="Arial" w:cs="Arial"/>
          <w:b/>
          <w:bCs/>
        </w:rPr>
      </w:pPr>
      <w:r w:rsidRPr="005B5F14">
        <w:rPr>
          <w:rFonts w:ascii="Arial" w:hAnsi="Arial" w:cs="Arial"/>
          <w:b/>
          <w:bCs/>
        </w:rPr>
        <w:t>Článek I.</w:t>
      </w:r>
    </w:p>
    <w:p w14:paraId="7EF8E047" w14:textId="77777777" w:rsidR="00FA0016" w:rsidRPr="005B5F14" w:rsidRDefault="00FA0016" w:rsidP="00FA0016">
      <w:pPr>
        <w:pStyle w:val="Default"/>
        <w:spacing w:line="240" w:lineRule="auto"/>
        <w:jc w:val="center"/>
        <w:rPr>
          <w:rFonts w:ascii="Arial" w:hAnsi="Arial" w:cs="Arial"/>
        </w:rPr>
      </w:pPr>
      <w:r w:rsidRPr="005B5F14">
        <w:rPr>
          <w:rFonts w:ascii="Arial" w:hAnsi="Arial" w:cs="Arial"/>
          <w:b/>
          <w:bCs/>
        </w:rPr>
        <w:t>Předmět smlouvy</w:t>
      </w:r>
    </w:p>
    <w:p w14:paraId="2CC10EA3" w14:textId="77777777" w:rsidR="00FA0016" w:rsidRPr="005B5F14" w:rsidRDefault="00FA0016" w:rsidP="00FA0016">
      <w:pPr>
        <w:pStyle w:val="Default"/>
        <w:spacing w:line="240" w:lineRule="auto"/>
        <w:jc w:val="center"/>
        <w:rPr>
          <w:rFonts w:ascii="Arial" w:hAnsi="Arial" w:cs="Arial"/>
        </w:rPr>
      </w:pPr>
    </w:p>
    <w:p w14:paraId="68050B05" w14:textId="5F1D1765" w:rsidR="004D495B" w:rsidRPr="004D495B" w:rsidRDefault="00FA0016" w:rsidP="005E415D">
      <w:pPr>
        <w:pStyle w:val="Default"/>
        <w:numPr>
          <w:ilvl w:val="0"/>
          <w:numId w:val="11"/>
        </w:numPr>
        <w:spacing w:line="240" w:lineRule="auto"/>
        <w:ind w:left="360"/>
        <w:jc w:val="both"/>
        <w:rPr>
          <w:rFonts w:ascii="Arial" w:eastAsia="Times New Roman" w:hAnsi="Arial" w:cs="Arial"/>
          <w:kern w:val="0"/>
          <w:lang w:eastAsia="cs-CZ"/>
        </w:rPr>
      </w:pPr>
      <w:r w:rsidRPr="004D495B">
        <w:rPr>
          <w:rFonts w:ascii="Arial" w:hAnsi="Arial" w:cs="Arial"/>
        </w:rPr>
        <w:t xml:space="preserve">Poskytovatel prohlašuje, že je </w:t>
      </w:r>
      <w:r w:rsidR="00DD6DD5" w:rsidRPr="004D495B">
        <w:rPr>
          <w:rFonts w:ascii="Arial" w:hAnsi="Arial" w:cs="Arial"/>
        </w:rPr>
        <w:t>spolu</w:t>
      </w:r>
      <w:r w:rsidRPr="004D495B">
        <w:rPr>
          <w:rFonts w:ascii="Arial" w:hAnsi="Arial" w:cs="Arial"/>
        </w:rPr>
        <w:t xml:space="preserve">vlastníkem </w:t>
      </w:r>
      <w:r w:rsidR="005E415D" w:rsidRPr="004D495B">
        <w:rPr>
          <w:rFonts w:ascii="Arial" w:hAnsi="Arial" w:cs="Arial"/>
        </w:rPr>
        <w:t>prototypu č.</w:t>
      </w:r>
      <w:r w:rsidR="002A516A">
        <w:rPr>
          <w:rFonts w:ascii="Arial" w:hAnsi="Arial" w:cs="Arial"/>
        </w:rPr>
        <w:t>PRO/36/2020/006</w:t>
      </w:r>
      <w:r w:rsidR="004D495B">
        <w:rPr>
          <w:rFonts w:ascii="Arial" w:hAnsi="Arial" w:cs="Arial"/>
        </w:rPr>
        <w:t xml:space="preserve">               </w:t>
      </w:r>
      <w:r w:rsidR="005E415D" w:rsidRPr="004D495B">
        <w:rPr>
          <w:rFonts w:ascii="Arial" w:hAnsi="Arial" w:cs="Arial"/>
        </w:rPr>
        <w:t xml:space="preserve"> </w:t>
      </w:r>
      <w:r w:rsidR="004D495B">
        <w:rPr>
          <w:rFonts w:ascii="Arial" w:hAnsi="Arial" w:cs="Arial"/>
        </w:rPr>
        <w:t xml:space="preserve">       </w:t>
      </w:r>
    </w:p>
    <w:p w14:paraId="630DC99B" w14:textId="320795A8" w:rsidR="005E415D" w:rsidRPr="004D495B" w:rsidRDefault="005E415D" w:rsidP="004D495B">
      <w:pPr>
        <w:pStyle w:val="Default"/>
        <w:spacing w:line="240" w:lineRule="auto"/>
        <w:ind w:left="360"/>
        <w:jc w:val="both"/>
        <w:rPr>
          <w:rFonts w:ascii="Arial" w:eastAsia="Times New Roman" w:hAnsi="Arial" w:cs="Arial"/>
          <w:kern w:val="0"/>
          <w:lang w:eastAsia="cs-CZ"/>
        </w:rPr>
      </w:pPr>
      <w:r w:rsidRPr="004D495B">
        <w:rPr>
          <w:rFonts w:ascii="Arial" w:hAnsi="Arial" w:cs="Arial"/>
        </w:rPr>
        <w:t>s</w:t>
      </w:r>
      <w:r w:rsidR="004D495B" w:rsidRPr="004D495B">
        <w:rPr>
          <w:rFonts w:ascii="Arial" w:hAnsi="Arial" w:cs="Arial"/>
        </w:rPr>
        <w:t> </w:t>
      </w:r>
      <w:r w:rsidRPr="004D495B">
        <w:rPr>
          <w:rFonts w:ascii="Arial" w:hAnsi="Arial" w:cs="Arial"/>
        </w:rPr>
        <w:t>názvem „Kogenerační ORC jednotka o tepelném výkonu 120 kW na dřevní štěpku v</w:t>
      </w:r>
      <w:r w:rsidR="004D495B" w:rsidRPr="004D495B">
        <w:rPr>
          <w:rFonts w:ascii="Arial" w:hAnsi="Arial" w:cs="Arial"/>
        </w:rPr>
        <w:t> </w:t>
      </w:r>
      <w:r w:rsidRPr="004D495B">
        <w:rPr>
          <w:rFonts w:ascii="Arial" w:hAnsi="Arial" w:cs="Arial"/>
        </w:rPr>
        <w:t>kontejnerovém provedení“ a výhradním vlastníkem prototypu č.</w:t>
      </w:r>
      <w:r w:rsidR="004D495B" w:rsidRPr="004D495B">
        <w:rPr>
          <w:rFonts w:ascii="Arial" w:hAnsi="Arial" w:cs="Arial"/>
        </w:rPr>
        <w:t> </w:t>
      </w:r>
      <w:r w:rsidRPr="004D495B">
        <w:rPr>
          <w:rFonts w:ascii="Arial" w:hAnsi="Arial" w:cs="Arial"/>
        </w:rPr>
        <w:t>PRO/36/2019/008 s názvem „Kogenerační jednotka na biomasu nízkého výkonu“ (dále též „</w:t>
      </w:r>
      <w:r w:rsidRPr="004D495B">
        <w:rPr>
          <w:rFonts w:ascii="Arial" w:hAnsi="Arial" w:cs="Arial"/>
          <w:i/>
          <w:iCs/>
        </w:rPr>
        <w:t>Průmyslové vlastnictví</w:t>
      </w:r>
      <w:r w:rsidRPr="004D495B">
        <w:rPr>
          <w:rFonts w:ascii="Arial" w:hAnsi="Arial" w:cs="Arial"/>
        </w:rPr>
        <w:t>“), vzniklých v rámci projektu č.</w:t>
      </w:r>
      <w:r w:rsidR="004D495B" w:rsidRPr="004D495B">
        <w:rPr>
          <w:rFonts w:ascii="Arial" w:hAnsi="Arial" w:cs="Arial"/>
        </w:rPr>
        <w:t> </w:t>
      </w:r>
      <w:r w:rsidRPr="004D495B">
        <w:rPr>
          <w:rFonts w:ascii="Arial" w:hAnsi="Arial" w:cs="Arial"/>
        </w:rPr>
        <w:t>TK01020061-V1 Technologické agentury ČR, respektive projektu č.</w:t>
      </w:r>
      <w:r w:rsidR="004D495B" w:rsidRPr="004D495B">
        <w:rPr>
          <w:rFonts w:ascii="Arial" w:hAnsi="Arial" w:cs="Arial"/>
        </w:rPr>
        <w:t> </w:t>
      </w:r>
      <w:r w:rsidRPr="004D495B">
        <w:rPr>
          <w:rFonts w:ascii="Arial" w:hAnsi="Arial" w:cs="Arial"/>
        </w:rPr>
        <w:t>CZ.07.1.02/0.0/0.0/16_040/0000364, Technologický transfer pro chytrou Prahu, OP Praha – pól růstu.</w:t>
      </w:r>
    </w:p>
    <w:p w14:paraId="7EBA3D14" w14:textId="72207AA4" w:rsidR="00915B57" w:rsidRPr="005B5F14" w:rsidRDefault="005E415D" w:rsidP="005E415D">
      <w:pPr>
        <w:pStyle w:val="Default"/>
        <w:spacing w:line="240" w:lineRule="auto"/>
        <w:ind w:left="360"/>
        <w:jc w:val="both"/>
        <w:rPr>
          <w:rFonts w:ascii="Arial" w:eastAsia="Times New Roman" w:hAnsi="Arial" w:cs="Arial"/>
          <w:kern w:val="0"/>
          <w:lang w:eastAsia="cs-CZ"/>
        </w:rPr>
      </w:pPr>
      <w:r w:rsidRPr="005B5F14">
        <w:rPr>
          <w:rFonts w:ascii="Arial" w:eastAsia="Times New Roman" w:hAnsi="Arial" w:cs="Arial"/>
          <w:kern w:val="0"/>
          <w:lang w:eastAsia="cs-CZ"/>
        </w:rPr>
        <w:t xml:space="preserve"> </w:t>
      </w:r>
    </w:p>
    <w:p w14:paraId="3D6B4C03" w14:textId="77777777" w:rsidR="00915B57" w:rsidRPr="005B5F14" w:rsidRDefault="00915B57" w:rsidP="00915B57">
      <w:pPr>
        <w:pStyle w:val="Default"/>
        <w:numPr>
          <w:ilvl w:val="0"/>
          <w:numId w:val="11"/>
        </w:numPr>
        <w:spacing w:line="240" w:lineRule="auto"/>
        <w:ind w:left="360"/>
        <w:jc w:val="both"/>
        <w:rPr>
          <w:rFonts w:ascii="Arial" w:eastAsia="Times New Roman" w:hAnsi="Arial" w:cs="Arial"/>
          <w:kern w:val="0"/>
          <w:lang w:eastAsia="cs-CZ"/>
        </w:rPr>
      </w:pPr>
      <w:r w:rsidRPr="005B5F14">
        <w:rPr>
          <w:rFonts w:ascii="Arial" w:eastAsia="Times New Roman" w:hAnsi="Arial" w:cs="Arial"/>
          <w:kern w:val="0"/>
          <w:lang w:eastAsia="cs-CZ"/>
        </w:rPr>
        <w:t>Jakýkoliv výrobek, který byl vyroben za použití Průmyslového vlastnictví, se označuje jako „</w:t>
      </w:r>
      <w:r w:rsidRPr="005B5F14">
        <w:rPr>
          <w:rFonts w:ascii="Arial" w:eastAsia="Times New Roman" w:hAnsi="Arial" w:cs="Arial"/>
          <w:i/>
          <w:iCs/>
          <w:kern w:val="0"/>
          <w:lang w:eastAsia="cs-CZ"/>
        </w:rPr>
        <w:t>Zařízení</w:t>
      </w:r>
      <w:r w:rsidRPr="005B5F14">
        <w:rPr>
          <w:rFonts w:ascii="Arial" w:eastAsia="Times New Roman" w:hAnsi="Arial" w:cs="Arial"/>
          <w:kern w:val="0"/>
          <w:lang w:eastAsia="cs-CZ"/>
        </w:rPr>
        <w:t xml:space="preserve">“. </w:t>
      </w:r>
    </w:p>
    <w:p w14:paraId="584FD8AB" w14:textId="77777777" w:rsidR="00915B57" w:rsidRPr="005B5F14" w:rsidRDefault="00915B57" w:rsidP="00915B57">
      <w:pPr>
        <w:pStyle w:val="Odstavecseseznamem"/>
        <w:spacing w:after="0"/>
        <w:rPr>
          <w:rFonts w:ascii="Arial" w:hAnsi="Arial" w:cs="Arial"/>
          <w:sz w:val="20"/>
          <w:szCs w:val="20"/>
        </w:rPr>
      </w:pPr>
    </w:p>
    <w:p w14:paraId="5D7DE76C" w14:textId="481BB9EE" w:rsidR="00915B57" w:rsidRPr="005B5F14" w:rsidRDefault="00FA0016" w:rsidP="00915B57">
      <w:pPr>
        <w:pStyle w:val="Default"/>
        <w:numPr>
          <w:ilvl w:val="0"/>
          <w:numId w:val="11"/>
        </w:numPr>
        <w:spacing w:line="240" w:lineRule="auto"/>
        <w:ind w:left="360"/>
        <w:jc w:val="both"/>
        <w:rPr>
          <w:rFonts w:ascii="Arial" w:eastAsia="Times New Roman" w:hAnsi="Arial" w:cs="Arial"/>
          <w:kern w:val="0"/>
          <w:lang w:eastAsia="cs-CZ"/>
        </w:rPr>
      </w:pPr>
      <w:r w:rsidRPr="005B5F14">
        <w:rPr>
          <w:rFonts w:ascii="Arial" w:hAnsi="Arial" w:cs="Arial"/>
        </w:rPr>
        <w:t xml:space="preserve">Nabyvatel má zájem využít výše popsané </w:t>
      </w:r>
      <w:r w:rsidR="00DD6DD5" w:rsidRPr="005B5F14">
        <w:rPr>
          <w:rFonts w:ascii="Arial" w:hAnsi="Arial" w:cs="Arial"/>
          <w:i/>
          <w:iCs/>
        </w:rPr>
        <w:t>Průmyslové vlastnictví</w:t>
      </w:r>
      <w:r w:rsidR="00DD6DD5" w:rsidRPr="005B5F14">
        <w:rPr>
          <w:rFonts w:ascii="Arial" w:hAnsi="Arial" w:cs="Arial"/>
        </w:rPr>
        <w:t xml:space="preserve"> </w:t>
      </w:r>
      <w:r w:rsidRPr="005B5F14">
        <w:rPr>
          <w:rFonts w:ascii="Arial" w:hAnsi="Arial" w:cs="Arial"/>
        </w:rPr>
        <w:t xml:space="preserve">Poskytovatele pro </w:t>
      </w:r>
      <w:r w:rsidR="00915B57" w:rsidRPr="005B5F14">
        <w:rPr>
          <w:rFonts w:ascii="Arial" w:eastAsia="Times New Roman" w:hAnsi="Arial" w:cs="Arial"/>
          <w:kern w:val="0"/>
          <w:lang w:eastAsia="cs-CZ"/>
        </w:rPr>
        <w:t>v</w:t>
      </w:r>
      <w:r w:rsidR="005E415D">
        <w:rPr>
          <w:rFonts w:ascii="Arial" w:eastAsia="Times New Roman" w:hAnsi="Arial" w:cs="Arial"/>
          <w:kern w:val="0"/>
          <w:lang w:eastAsia="cs-CZ"/>
        </w:rPr>
        <w:t>ý</w:t>
      </w:r>
      <w:r w:rsidR="00915B57" w:rsidRPr="005B5F14">
        <w:rPr>
          <w:rFonts w:ascii="Arial" w:eastAsia="Times New Roman" w:hAnsi="Arial" w:cs="Arial"/>
          <w:kern w:val="0"/>
          <w:lang w:eastAsia="cs-CZ"/>
        </w:rPr>
        <w:t xml:space="preserve">robu, prodej či pronájem </w:t>
      </w:r>
      <w:r w:rsidR="00915B57" w:rsidRPr="005B5F14">
        <w:rPr>
          <w:rFonts w:ascii="Arial" w:eastAsia="Times New Roman" w:hAnsi="Arial" w:cs="Arial"/>
          <w:i/>
          <w:iCs/>
          <w:kern w:val="0"/>
          <w:lang w:eastAsia="cs-CZ"/>
        </w:rPr>
        <w:t>Zařízení</w:t>
      </w:r>
      <w:r w:rsidR="004D495B">
        <w:rPr>
          <w:rFonts w:ascii="Arial" w:eastAsia="Times New Roman" w:hAnsi="Arial" w:cs="Arial"/>
          <w:i/>
          <w:iCs/>
          <w:kern w:val="0"/>
          <w:lang w:eastAsia="cs-CZ"/>
        </w:rPr>
        <w:t>.</w:t>
      </w:r>
    </w:p>
    <w:p w14:paraId="1876948B" w14:textId="4D989995" w:rsidR="00FA0016" w:rsidRPr="005B5F14" w:rsidRDefault="00FA0016" w:rsidP="00915B57">
      <w:pPr>
        <w:pStyle w:val="Default"/>
        <w:spacing w:line="240" w:lineRule="auto"/>
        <w:ind w:left="360"/>
        <w:jc w:val="both"/>
        <w:rPr>
          <w:rFonts w:ascii="Arial" w:hAnsi="Arial" w:cs="Arial"/>
        </w:rPr>
      </w:pPr>
    </w:p>
    <w:p w14:paraId="20B0B420" w14:textId="78038E86" w:rsidR="00FA0016" w:rsidRPr="005B5F14" w:rsidRDefault="00FA0016" w:rsidP="00FA0016">
      <w:pPr>
        <w:pStyle w:val="Default"/>
        <w:numPr>
          <w:ilvl w:val="0"/>
          <w:numId w:val="11"/>
        </w:numPr>
        <w:spacing w:line="240" w:lineRule="auto"/>
        <w:ind w:left="360"/>
        <w:jc w:val="both"/>
        <w:rPr>
          <w:rFonts w:ascii="Arial" w:hAnsi="Arial" w:cs="Arial"/>
          <w:shd w:val="clear" w:color="auto" w:fill="00FF00"/>
        </w:rPr>
      </w:pPr>
      <w:r w:rsidRPr="005B5F14">
        <w:rPr>
          <w:rFonts w:ascii="Arial" w:hAnsi="Arial" w:cs="Arial"/>
        </w:rPr>
        <w:t xml:space="preserve">Nabyvatel se za poskytnutí licence k užívání </w:t>
      </w:r>
      <w:r w:rsidR="00E0293F" w:rsidRPr="005B5F14">
        <w:rPr>
          <w:rFonts w:ascii="Arial" w:hAnsi="Arial" w:cs="Arial"/>
          <w:i/>
          <w:iCs/>
        </w:rPr>
        <w:t>Průmyslového vlastnictví</w:t>
      </w:r>
      <w:r w:rsidR="00E0293F" w:rsidRPr="005B5F14">
        <w:rPr>
          <w:rFonts w:ascii="Arial" w:hAnsi="Arial" w:cs="Arial"/>
        </w:rPr>
        <w:t xml:space="preserve"> </w:t>
      </w:r>
      <w:r w:rsidRPr="005B5F14">
        <w:rPr>
          <w:rFonts w:ascii="Arial" w:hAnsi="Arial" w:cs="Arial"/>
        </w:rPr>
        <w:t>touto smlouvou zavazuje platit Poskytovateli dohodnutou odměnu, jejíž výše a splatnost jsou uvedeny článku II této smlouvy.</w:t>
      </w:r>
    </w:p>
    <w:p w14:paraId="35FAFA54" w14:textId="77777777" w:rsidR="00FA0016" w:rsidRPr="005B5F14" w:rsidRDefault="00FA0016" w:rsidP="00FA0016">
      <w:pPr>
        <w:pStyle w:val="Default"/>
        <w:spacing w:line="240" w:lineRule="auto"/>
        <w:rPr>
          <w:rFonts w:ascii="Arial" w:hAnsi="Arial" w:cs="Arial"/>
          <w:shd w:val="clear" w:color="auto" w:fill="00FF00"/>
        </w:rPr>
      </w:pPr>
    </w:p>
    <w:p w14:paraId="78624606" w14:textId="77777777" w:rsidR="00FA0016" w:rsidRPr="005B5F14" w:rsidRDefault="00FA0016" w:rsidP="00FA0016">
      <w:pPr>
        <w:pStyle w:val="Default"/>
        <w:spacing w:line="240" w:lineRule="auto"/>
        <w:jc w:val="center"/>
        <w:rPr>
          <w:rFonts w:ascii="Arial" w:hAnsi="Arial" w:cs="Arial"/>
          <w:b/>
          <w:bCs/>
        </w:rPr>
      </w:pPr>
      <w:r w:rsidRPr="005B5F14">
        <w:rPr>
          <w:rFonts w:ascii="Arial" w:hAnsi="Arial" w:cs="Arial"/>
          <w:b/>
          <w:bCs/>
        </w:rPr>
        <w:t>Článek II.</w:t>
      </w:r>
    </w:p>
    <w:p w14:paraId="6D254864" w14:textId="77777777" w:rsidR="00FA0016" w:rsidRPr="005B5F14" w:rsidRDefault="00FA0016" w:rsidP="00FA0016">
      <w:pPr>
        <w:pStyle w:val="Default"/>
        <w:spacing w:line="240" w:lineRule="auto"/>
        <w:jc w:val="center"/>
        <w:rPr>
          <w:rFonts w:ascii="Arial" w:hAnsi="Arial" w:cs="Arial"/>
          <w:b/>
          <w:bCs/>
        </w:rPr>
      </w:pPr>
      <w:r w:rsidRPr="005B5F14">
        <w:rPr>
          <w:rFonts w:ascii="Arial" w:hAnsi="Arial" w:cs="Arial"/>
          <w:b/>
          <w:bCs/>
        </w:rPr>
        <w:t xml:space="preserve">Odměna, způsob jejího výpočtu a splatnost </w:t>
      </w:r>
    </w:p>
    <w:p w14:paraId="4A571A0A" w14:textId="77777777" w:rsidR="00FA0016" w:rsidRPr="005B5F14" w:rsidRDefault="00FA0016" w:rsidP="00FA0016">
      <w:pPr>
        <w:pStyle w:val="Default"/>
        <w:spacing w:line="240" w:lineRule="auto"/>
        <w:jc w:val="center"/>
        <w:rPr>
          <w:rFonts w:ascii="Arial" w:hAnsi="Arial" w:cs="Arial"/>
          <w:b/>
          <w:bCs/>
        </w:rPr>
      </w:pPr>
    </w:p>
    <w:p w14:paraId="0A8ED943" w14:textId="77777777" w:rsidR="00FA0016" w:rsidRPr="005B5F14" w:rsidRDefault="00FA0016" w:rsidP="00FA0016">
      <w:pPr>
        <w:pStyle w:val="Default"/>
        <w:numPr>
          <w:ilvl w:val="0"/>
          <w:numId w:val="12"/>
        </w:numPr>
        <w:spacing w:line="240" w:lineRule="auto"/>
        <w:jc w:val="both"/>
        <w:rPr>
          <w:rFonts w:ascii="Arial" w:hAnsi="Arial" w:cs="Arial"/>
        </w:rPr>
      </w:pPr>
      <w:r w:rsidRPr="005B5F14">
        <w:rPr>
          <w:rFonts w:ascii="Arial" w:hAnsi="Arial" w:cs="Arial"/>
        </w:rPr>
        <w:t>Smluvní strany se dohodly na tom, že odměna za poskytnutí licence se skládá ze dvou částí:</w:t>
      </w:r>
    </w:p>
    <w:p w14:paraId="25319AD6" w14:textId="1515242A" w:rsidR="00FA0016" w:rsidRPr="005B5F14" w:rsidRDefault="00FA0016" w:rsidP="005E415D">
      <w:pPr>
        <w:pStyle w:val="Default"/>
        <w:numPr>
          <w:ilvl w:val="1"/>
          <w:numId w:val="12"/>
        </w:numPr>
        <w:spacing w:after="120" w:line="240" w:lineRule="auto"/>
        <w:ind w:left="1077" w:hanging="357"/>
        <w:jc w:val="both"/>
        <w:rPr>
          <w:rFonts w:ascii="Arial" w:hAnsi="Arial" w:cs="Arial"/>
        </w:rPr>
      </w:pPr>
      <w:r w:rsidRPr="004D495B">
        <w:rPr>
          <w:rFonts w:ascii="Arial" w:hAnsi="Arial" w:cs="Arial"/>
        </w:rPr>
        <w:t>Z</w:t>
      </w:r>
      <w:r w:rsidR="006A7CCC" w:rsidRPr="004D495B">
        <w:rPr>
          <w:rFonts w:ascii="Arial" w:hAnsi="Arial" w:cs="Arial"/>
        </w:rPr>
        <w:t> jednorázového poplatku</w:t>
      </w:r>
      <w:r w:rsidRPr="004D495B">
        <w:rPr>
          <w:rFonts w:ascii="Arial" w:hAnsi="Arial" w:cs="Arial"/>
        </w:rPr>
        <w:t xml:space="preserve"> </w:t>
      </w:r>
      <w:r w:rsidR="005E415D" w:rsidRPr="004D495B">
        <w:rPr>
          <w:rFonts w:ascii="Arial" w:hAnsi="Arial" w:cs="Arial"/>
        </w:rPr>
        <w:t>500.000,</w:t>
      </w:r>
      <w:r w:rsidR="005E415D" w:rsidRPr="005B5F14">
        <w:rPr>
          <w:rFonts w:ascii="Arial" w:hAnsi="Arial" w:cs="Arial"/>
        </w:rPr>
        <w:t xml:space="preserve"> -</w:t>
      </w:r>
      <w:r w:rsidRPr="005B5F14">
        <w:rPr>
          <w:rFonts w:ascii="Arial" w:hAnsi="Arial" w:cs="Arial"/>
        </w:rPr>
        <w:t xml:space="preserve"> Kč (slovy: </w:t>
      </w:r>
      <w:r w:rsidR="005E415D">
        <w:rPr>
          <w:rFonts w:ascii="Arial" w:hAnsi="Arial" w:cs="Arial"/>
        </w:rPr>
        <w:t>pětset</w:t>
      </w:r>
      <w:r w:rsidRPr="005B5F14">
        <w:rPr>
          <w:rFonts w:ascii="Arial" w:hAnsi="Arial" w:cs="Arial"/>
        </w:rPr>
        <w:t xml:space="preserve"> tisíc korun českých) bez DPH</w:t>
      </w:r>
      <w:r w:rsidR="005E415D">
        <w:rPr>
          <w:rFonts w:ascii="Arial" w:hAnsi="Arial" w:cs="Arial"/>
        </w:rPr>
        <w:t>.</w:t>
      </w:r>
      <w:r w:rsidRPr="005B5F14">
        <w:rPr>
          <w:rFonts w:ascii="Arial" w:hAnsi="Arial" w:cs="Arial"/>
        </w:rPr>
        <w:t xml:space="preserve"> </w:t>
      </w:r>
    </w:p>
    <w:p w14:paraId="60EC75B6" w14:textId="749789A0" w:rsidR="001B2298" w:rsidRPr="005B5F14" w:rsidRDefault="001B2298" w:rsidP="001B2298">
      <w:pPr>
        <w:pStyle w:val="Default"/>
        <w:numPr>
          <w:ilvl w:val="1"/>
          <w:numId w:val="12"/>
        </w:numPr>
        <w:spacing w:after="120" w:line="240" w:lineRule="auto"/>
        <w:ind w:left="1077" w:hanging="357"/>
        <w:jc w:val="both"/>
        <w:rPr>
          <w:rFonts w:ascii="Arial" w:hAnsi="Arial" w:cs="Arial"/>
        </w:rPr>
      </w:pPr>
      <w:r w:rsidRPr="005B5F14">
        <w:rPr>
          <w:rFonts w:ascii="Arial" w:hAnsi="Arial" w:cs="Arial"/>
        </w:rPr>
        <w:t xml:space="preserve">Z odměny odvíjející se od skutečné realizace komerční činnosti založené na předmětném </w:t>
      </w:r>
      <w:r w:rsidRPr="005B5F14">
        <w:rPr>
          <w:rFonts w:ascii="Arial" w:hAnsi="Arial" w:cs="Arial"/>
          <w:i/>
          <w:iCs/>
        </w:rPr>
        <w:t>Průmyslovém vlastnictví,</w:t>
      </w:r>
      <w:r w:rsidR="001A6CD1">
        <w:rPr>
          <w:rFonts w:ascii="Arial" w:hAnsi="Arial" w:cs="Arial"/>
          <w:i/>
          <w:iCs/>
        </w:rPr>
        <w:t xml:space="preserve"> </w:t>
      </w:r>
      <w:r w:rsidR="001A6CD1" w:rsidRPr="001A6CD1">
        <w:rPr>
          <w:rFonts w:ascii="Arial" w:hAnsi="Arial" w:cs="Arial"/>
        </w:rPr>
        <w:t>fixní poplatek</w:t>
      </w:r>
      <w:r w:rsidRPr="005B5F14">
        <w:rPr>
          <w:rFonts w:ascii="Arial" w:hAnsi="Arial" w:cs="Arial"/>
          <w:i/>
          <w:iCs/>
        </w:rPr>
        <w:t xml:space="preserve"> </w:t>
      </w:r>
      <w:r w:rsidR="001A6CD1">
        <w:rPr>
          <w:rFonts w:ascii="Arial" w:hAnsi="Arial" w:cs="Arial"/>
        </w:rPr>
        <w:t>za</w:t>
      </w:r>
      <w:r w:rsidR="001A6CD1" w:rsidRPr="005B5F14">
        <w:rPr>
          <w:rFonts w:ascii="Arial" w:hAnsi="Arial" w:cs="Arial"/>
        </w:rPr>
        <w:t> </w:t>
      </w:r>
      <w:r w:rsidR="001A6CD1">
        <w:rPr>
          <w:rFonts w:ascii="Arial" w:hAnsi="Arial" w:cs="Arial"/>
        </w:rPr>
        <w:t xml:space="preserve">každý prodaný kus zařízení </w:t>
      </w:r>
      <w:r w:rsidR="001A6CD1" w:rsidRPr="004D495B">
        <w:rPr>
          <w:rFonts w:ascii="Arial" w:hAnsi="Arial" w:cs="Arial"/>
        </w:rPr>
        <w:t>činí 2</w:t>
      </w:r>
      <w:r w:rsidR="004D495B" w:rsidRPr="004D495B">
        <w:rPr>
          <w:rFonts w:ascii="Arial" w:hAnsi="Arial" w:cs="Arial"/>
        </w:rPr>
        <w:t>2</w:t>
      </w:r>
      <w:r w:rsidR="001A6CD1" w:rsidRPr="004D495B">
        <w:rPr>
          <w:rFonts w:ascii="Arial" w:hAnsi="Arial" w:cs="Arial"/>
        </w:rPr>
        <w:t>.</w:t>
      </w:r>
      <w:r w:rsidR="004D495B" w:rsidRPr="004D495B">
        <w:rPr>
          <w:rFonts w:ascii="Arial" w:hAnsi="Arial" w:cs="Arial"/>
        </w:rPr>
        <w:t>000</w:t>
      </w:r>
      <w:r w:rsidR="001A6CD1" w:rsidRPr="004D495B">
        <w:rPr>
          <w:rFonts w:ascii="Arial" w:hAnsi="Arial" w:cs="Arial"/>
        </w:rPr>
        <w:t>, -</w:t>
      </w:r>
      <w:r w:rsidR="001A6CD1">
        <w:rPr>
          <w:rFonts w:ascii="Arial" w:hAnsi="Arial" w:cs="Arial"/>
        </w:rPr>
        <w:t xml:space="preserve"> Kč (slovy dvacet</w:t>
      </w:r>
      <w:r w:rsidR="004D495B">
        <w:rPr>
          <w:rFonts w:ascii="Arial" w:hAnsi="Arial" w:cs="Arial"/>
        </w:rPr>
        <w:t>dva</w:t>
      </w:r>
      <w:r w:rsidR="001A6CD1">
        <w:rPr>
          <w:rFonts w:ascii="Arial" w:hAnsi="Arial" w:cs="Arial"/>
        </w:rPr>
        <w:t xml:space="preserve"> tisíc korun českých)</w:t>
      </w:r>
      <w:r w:rsidRPr="005B5F14">
        <w:rPr>
          <w:rFonts w:ascii="Arial" w:hAnsi="Arial" w:cs="Arial"/>
        </w:rPr>
        <w:t xml:space="preserve">. </w:t>
      </w:r>
    </w:p>
    <w:p w14:paraId="59826245" w14:textId="0F1DE43C" w:rsidR="00FA0016" w:rsidRPr="005B5F14" w:rsidRDefault="00FA0016" w:rsidP="00FA0016">
      <w:pPr>
        <w:pStyle w:val="Default"/>
        <w:numPr>
          <w:ilvl w:val="1"/>
          <w:numId w:val="12"/>
        </w:numPr>
        <w:spacing w:line="240" w:lineRule="auto"/>
        <w:jc w:val="both"/>
        <w:rPr>
          <w:rFonts w:ascii="Arial" w:hAnsi="Arial" w:cs="Arial"/>
        </w:rPr>
      </w:pPr>
      <w:r w:rsidRPr="005B5F14">
        <w:rPr>
          <w:rFonts w:ascii="Arial" w:hAnsi="Arial" w:cs="Arial"/>
        </w:rPr>
        <w:t>Obě části se dále v tomto dokumentu nazývají Odměna</w:t>
      </w:r>
      <w:r w:rsidR="004D495B">
        <w:rPr>
          <w:rFonts w:ascii="Arial" w:hAnsi="Arial" w:cs="Arial"/>
        </w:rPr>
        <w:t>.</w:t>
      </w:r>
    </w:p>
    <w:p w14:paraId="7A00E760" w14:textId="77777777" w:rsidR="00FA0016" w:rsidRPr="005B5F14" w:rsidRDefault="00FA0016" w:rsidP="00FA0016">
      <w:pPr>
        <w:pStyle w:val="Default"/>
        <w:spacing w:line="240" w:lineRule="auto"/>
        <w:ind w:left="360"/>
        <w:jc w:val="both"/>
        <w:rPr>
          <w:rFonts w:ascii="Arial" w:hAnsi="Arial" w:cs="Arial"/>
        </w:rPr>
      </w:pPr>
    </w:p>
    <w:p w14:paraId="0FB946D0" w14:textId="7CB0363E" w:rsidR="00FA0016" w:rsidRDefault="00FA0016" w:rsidP="00FA0016">
      <w:pPr>
        <w:pStyle w:val="Default"/>
        <w:numPr>
          <w:ilvl w:val="0"/>
          <w:numId w:val="12"/>
        </w:numPr>
        <w:spacing w:line="240" w:lineRule="auto"/>
        <w:jc w:val="both"/>
        <w:rPr>
          <w:rFonts w:ascii="Arial" w:hAnsi="Arial" w:cs="Arial"/>
        </w:rPr>
      </w:pPr>
      <w:r w:rsidRPr="005B5F14">
        <w:rPr>
          <w:rFonts w:ascii="Arial" w:hAnsi="Arial" w:cs="Arial"/>
        </w:rPr>
        <w:t xml:space="preserve">Smluvní strany se dohodly na tom, že Nabyvatel předloží Poskytovateli písemnou zprávu o stavu využití </w:t>
      </w:r>
      <w:r w:rsidR="00915B57" w:rsidRPr="005B5F14">
        <w:rPr>
          <w:rFonts w:ascii="Arial" w:hAnsi="Arial" w:cs="Arial"/>
        </w:rPr>
        <w:t>Průmyslového vlastnictví</w:t>
      </w:r>
      <w:r w:rsidRPr="005B5F14">
        <w:rPr>
          <w:rFonts w:ascii="Arial" w:hAnsi="Arial" w:cs="Arial"/>
        </w:rPr>
        <w:t xml:space="preserve">, a to do 30.6. každého kalendářního roku až do ukončení platnosti této smlouvy. Písemná zpráva o stavu využití </w:t>
      </w:r>
      <w:r w:rsidR="00915B57" w:rsidRPr="005B5F14">
        <w:rPr>
          <w:rFonts w:ascii="Arial" w:hAnsi="Arial" w:cs="Arial"/>
        </w:rPr>
        <w:t>Průmyslového vlastnictví</w:t>
      </w:r>
      <w:r w:rsidRPr="005B5F14">
        <w:rPr>
          <w:rFonts w:ascii="Arial" w:hAnsi="Arial" w:cs="Arial"/>
        </w:rPr>
        <w:t xml:space="preserve"> bude sloužit jako podklad pro</w:t>
      </w:r>
      <w:r w:rsidR="004D495B" w:rsidRPr="004D495B">
        <w:rPr>
          <w:rFonts w:ascii="Arial" w:hAnsi="Arial" w:cs="Arial"/>
        </w:rPr>
        <w:t> </w:t>
      </w:r>
      <w:r w:rsidRPr="005B5F14">
        <w:rPr>
          <w:rFonts w:ascii="Arial" w:hAnsi="Arial" w:cs="Arial"/>
        </w:rPr>
        <w:t>vyúčtování Odměny a musí obsahovat minimálně informace dostatečné k</w:t>
      </w:r>
      <w:r w:rsidR="004D495B" w:rsidRPr="004D495B">
        <w:rPr>
          <w:rFonts w:ascii="Arial" w:hAnsi="Arial" w:cs="Arial"/>
        </w:rPr>
        <w:t> </w:t>
      </w:r>
      <w:r w:rsidRPr="005B5F14">
        <w:rPr>
          <w:rFonts w:ascii="Arial" w:hAnsi="Arial" w:cs="Arial"/>
        </w:rPr>
        <w:t>tomu, aby Poskytovatel mohl provést výpočet licenčních poplatků</w:t>
      </w:r>
      <w:r w:rsidR="001E6ED1">
        <w:rPr>
          <w:rFonts w:ascii="Arial" w:hAnsi="Arial" w:cs="Arial"/>
        </w:rPr>
        <w:t xml:space="preserve"> (Odměny)</w:t>
      </w:r>
      <w:r w:rsidRPr="005B5F14">
        <w:rPr>
          <w:rFonts w:ascii="Arial" w:hAnsi="Arial" w:cs="Arial"/>
        </w:rPr>
        <w:t xml:space="preserve"> za stanovené období.</w:t>
      </w:r>
      <w:r w:rsidR="005A43EC" w:rsidRPr="005B5F14">
        <w:rPr>
          <w:rFonts w:ascii="Arial" w:hAnsi="Arial" w:cs="Arial"/>
        </w:rPr>
        <w:t xml:space="preserve"> První písemná zpráva bude předložena nejpozději 30.6.202</w:t>
      </w:r>
      <w:r w:rsidR="00102379">
        <w:rPr>
          <w:rFonts w:ascii="Arial" w:hAnsi="Arial" w:cs="Arial"/>
        </w:rPr>
        <w:t>2</w:t>
      </w:r>
      <w:r w:rsidR="005A43EC" w:rsidRPr="005B5F14">
        <w:rPr>
          <w:rFonts w:ascii="Arial" w:hAnsi="Arial" w:cs="Arial"/>
        </w:rPr>
        <w:t xml:space="preserve"> za období roku 20</w:t>
      </w:r>
      <w:r w:rsidR="001E6ED1">
        <w:rPr>
          <w:rFonts w:ascii="Arial" w:hAnsi="Arial" w:cs="Arial"/>
        </w:rPr>
        <w:t>2</w:t>
      </w:r>
      <w:r w:rsidR="00A70426">
        <w:rPr>
          <w:rFonts w:ascii="Arial" w:hAnsi="Arial" w:cs="Arial"/>
        </w:rPr>
        <w:t>1.</w:t>
      </w:r>
      <w:r w:rsidR="006A7CCC">
        <w:rPr>
          <w:rFonts w:ascii="Arial" w:hAnsi="Arial" w:cs="Arial"/>
        </w:rPr>
        <w:t xml:space="preserve"> V případě, že nedojde ke komerčnímu </w:t>
      </w:r>
      <w:r w:rsidR="006A7CCC">
        <w:rPr>
          <w:rFonts w:ascii="Arial" w:hAnsi="Arial" w:cs="Arial"/>
        </w:rPr>
        <w:lastRenderedPageBreak/>
        <w:t xml:space="preserve">uplatnění Zařízení, předloží Nabyvatel v rámci </w:t>
      </w:r>
      <w:r w:rsidR="006A7CCC" w:rsidRPr="005B5F14">
        <w:rPr>
          <w:rFonts w:ascii="Arial" w:hAnsi="Arial" w:cs="Arial"/>
        </w:rPr>
        <w:t>zpráv</w:t>
      </w:r>
      <w:r w:rsidR="006A7CCC">
        <w:rPr>
          <w:rFonts w:ascii="Arial" w:hAnsi="Arial" w:cs="Arial"/>
        </w:rPr>
        <w:t>y</w:t>
      </w:r>
      <w:r w:rsidR="006A7CCC" w:rsidRPr="005B5F14">
        <w:rPr>
          <w:rFonts w:ascii="Arial" w:hAnsi="Arial" w:cs="Arial"/>
        </w:rPr>
        <w:t xml:space="preserve"> o stavu využití Průmyslového vlastnictví</w:t>
      </w:r>
      <w:r w:rsidR="006A7CCC">
        <w:rPr>
          <w:rFonts w:ascii="Arial" w:hAnsi="Arial" w:cs="Arial"/>
        </w:rPr>
        <w:t xml:space="preserve"> Poskytovateli alespoň tuto informaci.</w:t>
      </w:r>
    </w:p>
    <w:p w14:paraId="54B96C6C" w14:textId="77777777" w:rsidR="00E72C5D" w:rsidRDefault="00E72C5D" w:rsidP="00E72C5D">
      <w:pPr>
        <w:pStyle w:val="Default"/>
        <w:spacing w:line="240" w:lineRule="auto"/>
        <w:ind w:left="360"/>
        <w:jc w:val="both"/>
        <w:rPr>
          <w:rFonts w:ascii="Arial" w:hAnsi="Arial" w:cs="Arial"/>
        </w:rPr>
      </w:pPr>
    </w:p>
    <w:p w14:paraId="587448B4" w14:textId="658DA1AE" w:rsidR="00A70426" w:rsidRPr="005B5F14" w:rsidRDefault="00A70426" w:rsidP="00FA0016">
      <w:pPr>
        <w:pStyle w:val="Default"/>
        <w:numPr>
          <w:ilvl w:val="0"/>
          <w:numId w:val="12"/>
        </w:numPr>
        <w:spacing w:line="240" w:lineRule="auto"/>
        <w:jc w:val="both"/>
        <w:rPr>
          <w:rFonts w:ascii="Arial" w:hAnsi="Arial" w:cs="Arial"/>
        </w:rPr>
      </w:pPr>
      <w:r>
        <w:rPr>
          <w:rFonts w:ascii="Arial" w:hAnsi="Arial" w:cs="Arial"/>
        </w:rPr>
        <w:t xml:space="preserve">Pojmem skutečná realizace komerční činnosti založené na předmětném Průmyslovém vlastnictví se rozumí dokončení obchodního případu, tedy vystavení koncové faktury za dodávku zařízení klientovi, přičemž </w:t>
      </w:r>
      <w:r w:rsidR="00DE6559">
        <w:rPr>
          <w:rFonts w:ascii="Arial" w:hAnsi="Arial" w:cs="Arial"/>
        </w:rPr>
        <w:t>rozhoduje datum uskutečnitelného zdanitelného plnění (DUZP) na vydané faktuře.</w:t>
      </w:r>
    </w:p>
    <w:p w14:paraId="51DE53A2" w14:textId="77777777" w:rsidR="00FA0016" w:rsidRPr="005B5F14" w:rsidRDefault="00FA0016" w:rsidP="00FA0016">
      <w:pPr>
        <w:pStyle w:val="ListParagraph1"/>
        <w:tabs>
          <w:tab w:val="clear" w:pos="720"/>
        </w:tabs>
        <w:spacing w:before="0" w:line="240" w:lineRule="auto"/>
        <w:rPr>
          <w:rFonts w:ascii="Arial" w:hAnsi="Arial" w:cs="Arial"/>
          <w:sz w:val="24"/>
          <w:szCs w:val="24"/>
        </w:rPr>
      </w:pPr>
    </w:p>
    <w:p w14:paraId="593B3EEC" w14:textId="7A1755E1" w:rsidR="00FA0016" w:rsidRPr="005B5F14" w:rsidRDefault="00FA0016" w:rsidP="00FA0016">
      <w:pPr>
        <w:pStyle w:val="Default"/>
        <w:numPr>
          <w:ilvl w:val="0"/>
          <w:numId w:val="12"/>
        </w:numPr>
        <w:spacing w:line="240" w:lineRule="auto"/>
        <w:jc w:val="both"/>
        <w:rPr>
          <w:rFonts w:ascii="Arial" w:hAnsi="Arial" w:cs="Arial"/>
        </w:rPr>
      </w:pPr>
      <w:r w:rsidRPr="005B5F14">
        <w:rPr>
          <w:rFonts w:ascii="Arial" w:hAnsi="Arial" w:cs="Arial"/>
        </w:rPr>
        <w:t>Smluvní strany si ujednaly, že část Odměny dle čl. II odst. 1a</w:t>
      </w:r>
      <w:r w:rsidR="005A43EC" w:rsidRPr="005B5F14">
        <w:rPr>
          <w:rFonts w:ascii="Arial" w:hAnsi="Arial" w:cs="Arial"/>
        </w:rPr>
        <w:t>)</w:t>
      </w:r>
      <w:r w:rsidRPr="005B5F14">
        <w:rPr>
          <w:rFonts w:ascii="Arial" w:hAnsi="Arial" w:cs="Arial"/>
        </w:rPr>
        <w:t xml:space="preserve"> je splatná do</w:t>
      </w:r>
      <w:r w:rsidR="004D495B" w:rsidRPr="004D495B">
        <w:rPr>
          <w:rFonts w:ascii="Arial" w:hAnsi="Arial" w:cs="Arial"/>
        </w:rPr>
        <w:t> </w:t>
      </w:r>
      <w:r w:rsidR="002A516A">
        <w:rPr>
          <w:rFonts w:ascii="Arial" w:hAnsi="Arial" w:cs="Arial"/>
        </w:rPr>
        <w:t>9</w:t>
      </w:r>
      <w:r w:rsidRPr="005B5F14">
        <w:rPr>
          <w:rFonts w:ascii="Arial" w:hAnsi="Arial" w:cs="Arial"/>
        </w:rPr>
        <w:t>0-ti dnů ode dne podpisu této smlouvy. Odměna dle čl. II odst. 1b</w:t>
      </w:r>
      <w:r w:rsidR="005A43EC" w:rsidRPr="005B5F14">
        <w:rPr>
          <w:rFonts w:ascii="Arial" w:hAnsi="Arial" w:cs="Arial"/>
        </w:rPr>
        <w:t>)</w:t>
      </w:r>
      <w:r w:rsidRPr="005B5F14">
        <w:rPr>
          <w:rFonts w:ascii="Arial" w:hAnsi="Arial" w:cs="Arial"/>
        </w:rPr>
        <w:t xml:space="preserve"> je splatná ve lhůtě do </w:t>
      </w:r>
      <w:r w:rsidR="001A6CD1">
        <w:rPr>
          <w:rFonts w:ascii="Arial" w:hAnsi="Arial" w:cs="Arial"/>
        </w:rPr>
        <w:t>6</w:t>
      </w:r>
      <w:r w:rsidRPr="005B5F14">
        <w:rPr>
          <w:rFonts w:ascii="Arial" w:hAnsi="Arial" w:cs="Arial"/>
        </w:rPr>
        <w:t>0-ti dnů ode dne doručení vyúčtování Nabyvateli. Odměna bude vyplácena bankovním převodem na bankovní účet Poskytovatele, který uvede ve vyúčtování.</w:t>
      </w:r>
    </w:p>
    <w:p w14:paraId="50E9D21A" w14:textId="77777777" w:rsidR="00FA0016" w:rsidRPr="005B5F14" w:rsidRDefault="00FA0016" w:rsidP="00FA0016">
      <w:pPr>
        <w:pStyle w:val="Default"/>
        <w:spacing w:line="240" w:lineRule="auto"/>
        <w:ind w:left="360"/>
        <w:jc w:val="both"/>
        <w:rPr>
          <w:rFonts w:ascii="Arial" w:hAnsi="Arial" w:cs="Arial"/>
        </w:rPr>
      </w:pPr>
    </w:p>
    <w:p w14:paraId="352E1EA4" w14:textId="5A3BFA9C" w:rsidR="00FA0016" w:rsidRPr="005B5F14" w:rsidRDefault="00FA0016" w:rsidP="00FA0016">
      <w:pPr>
        <w:pStyle w:val="Default"/>
        <w:numPr>
          <w:ilvl w:val="0"/>
          <w:numId w:val="12"/>
        </w:numPr>
        <w:spacing w:line="240" w:lineRule="auto"/>
        <w:jc w:val="both"/>
        <w:rPr>
          <w:rFonts w:ascii="Arial" w:hAnsi="Arial" w:cs="Arial"/>
        </w:rPr>
      </w:pPr>
      <w:r w:rsidRPr="005B5F14">
        <w:rPr>
          <w:rFonts w:ascii="Arial" w:hAnsi="Arial" w:cs="Arial"/>
        </w:rPr>
        <w:t>Nabyvatel umožní Poskytovateli kontrolu příslušných účetních záznamů nebo jiné dokumentace ke zjištění skutečné výše Odměny dle čl. II odst. 1b. Poskytne-li takto Nabyvatel Poskytovateli informace označené Nabyvatelem jako důvěrné, nesmí je Poskytovatel prozradit třetím osobám ani je použít pro</w:t>
      </w:r>
      <w:r w:rsidR="004D495B" w:rsidRPr="004D495B">
        <w:rPr>
          <w:rFonts w:ascii="Arial" w:hAnsi="Arial" w:cs="Arial"/>
        </w:rPr>
        <w:t> </w:t>
      </w:r>
      <w:r w:rsidRPr="005B5F14">
        <w:rPr>
          <w:rFonts w:ascii="Arial" w:hAnsi="Arial" w:cs="Arial"/>
        </w:rPr>
        <w:t>své potřeby v rozporu s účelem, ke kterému mu byly poskytnuty.</w:t>
      </w:r>
    </w:p>
    <w:p w14:paraId="455A4255" w14:textId="77777777" w:rsidR="00FA0016" w:rsidRPr="005B5F14" w:rsidRDefault="00FA0016" w:rsidP="00FA0016">
      <w:pPr>
        <w:pStyle w:val="Default"/>
        <w:spacing w:line="240" w:lineRule="auto"/>
        <w:rPr>
          <w:rFonts w:ascii="Arial" w:hAnsi="Arial" w:cs="Arial"/>
          <w:b/>
        </w:rPr>
      </w:pPr>
    </w:p>
    <w:p w14:paraId="32AF9F08" w14:textId="77777777" w:rsidR="00FA0016" w:rsidRPr="005B5F14" w:rsidRDefault="00FA0016" w:rsidP="00FA0016">
      <w:pPr>
        <w:pStyle w:val="Default"/>
        <w:spacing w:line="240" w:lineRule="auto"/>
        <w:jc w:val="center"/>
        <w:rPr>
          <w:rFonts w:ascii="Arial" w:hAnsi="Arial" w:cs="Arial"/>
          <w:b/>
        </w:rPr>
      </w:pPr>
    </w:p>
    <w:p w14:paraId="1674BBD1" w14:textId="77777777" w:rsidR="00FA0016" w:rsidRPr="005B5F14" w:rsidRDefault="00FA0016" w:rsidP="00FA0016">
      <w:pPr>
        <w:pStyle w:val="Default"/>
        <w:spacing w:line="240" w:lineRule="auto"/>
        <w:jc w:val="center"/>
        <w:rPr>
          <w:rFonts w:ascii="Arial" w:hAnsi="Arial" w:cs="Arial"/>
          <w:b/>
        </w:rPr>
      </w:pPr>
      <w:r w:rsidRPr="005B5F14">
        <w:rPr>
          <w:rFonts w:ascii="Arial" w:hAnsi="Arial" w:cs="Arial"/>
          <w:b/>
        </w:rPr>
        <w:t>Článek III.</w:t>
      </w:r>
    </w:p>
    <w:p w14:paraId="17560676" w14:textId="77777777" w:rsidR="00FA0016" w:rsidRPr="005B5F14" w:rsidRDefault="00FA0016" w:rsidP="00FA0016">
      <w:pPr>
        <w:pStyle w:val="Default"/>
        <w:spacing w:line="240" w:lineRule="auto"/>
        <w:jc w:val="center"/>
        <w:rPr>
          <w:rFonts w:ascii="Arial" w:hAnsi="Arial" w:cs="Arial"/>
          <w:shd w:val="clear" w:color="auto" w:fill="00FF00"/>
        </w:rPr>
      </w:pPr>
      <w:r w:rsidRPr="005B5F14">
        <w:rPr>
          <w:rFonts w:ascii="Arial" w:hAnsi="Arial" w:cs="Arial"/>
          <w:b/>
        </w:rPr>
        <w:t>Předání know-how a ostatní ujednání</w:t>
      </w:r>
    </w:p>
    <w:p w14:paraId="5A42A5EC" w14:textId="77777777" w:rsidR="00FA0016" w:rsidRPr="005B5F14" w:rsidRDefault="00FA0016" w:rsidP="00FA0016">
      <w:pPr>
        <w:pStyle w:val="Default"/>
        <w:spacing w:line="240" w:lineRule="auto"/>
        <w:jc w:val="both"/>
        <w:rPr>
          <w:rFonts w:ascii="Arial" w:hAnsi="Arial" w:cs="Arial"/>
          <w:shd w:val="clear" w:color="auto" w:fill="00FF00"/>
        </w:rPr>
      </w:pPr>
    </w:p>
    <w:p w14:paraId="49E42C65" w14:textId="1C0EBEB5" w:rsidR="00FA0016" w:rsidRPr="005B5F14" w:rsidRDefault="00FA0016" w:rsidP="00FA0016">
      <w:pPr>
        <w:pStyle w:val="Default"/>
        <w:numPr>
          <w:ilvl w:val="0"/>
          <w:numId w:val="13"/>
        </w:numPr>
        <w:spacing w:line="240" w:lineRule="auto"/>
        <w:jc w:val="both"/>
        <w:rPr>
          <w:rFonts w:ascii="Arial" w:hAnsi="Arial" w:cs="Arial"/>
        </w:rPr>
      </w:pPr>
      <w:r w:rsidRPr="005B5F14">
        <w:rPr>
          <w:rFonts w:ascii="Arial" w:hAnsi="Arial" w:cs="Arial"/>
        </w:rPr>
        <w:t xml:space="preserve">Smluvní strany prohlašují, že </w:t>
      </w:r>
      <w:r w:rsidR="00915B57" w:rsidRPr="005B5F14">
        <w:rPr>
          <w:rFonts w:ascii="Arial" w:hAnsi="Arial" w:cs="Arial"/>
          <w:i/>
          <w:iCs/>
        </w:rPr>
        <w:t>Průmyslové vlastnictví</w:t>
      </w:r>
      <w:r w:rsidRPr="005B5F14">
        <w:rPr>
          <w:rFonts w:ascii="Arial" w:hAnsi="Arial" w:cs="Arial"/>
        </w:rPr>
        <w:t xml:space="preserve">, byla Poskytovateli </w:t>
      </w:r>
      <w:r w:rsidR="00A63931" w:rsidRPr="005B5F14">
        <w:rPr>
          <w:rFonts w:ascii="Arial" w:hAnsi="Arial" w:cs="Arial"/>
        </w:rPr>
        <w:t>N</w:t>
      </w:r>
      <w:r w:rsidRPr="005B5F14">
        <w:rPr>
          <w:rFonts w:ascii="Arial" w:hAnsi="Arial" w:cs="Arial"/>
        </w:rPr>
        <w:t xml:space="preserve">abyvateli předána při podpisu této smlouvy. </w:t>
      </w:r>
    </w:p>
    <w:p w14:paraId="5187FA7A" w14:textId="77777777" w:rsidR="00FA0016" w:rsidRPr="005B5F14" w:rsidRDefault="00FA0016" w:rsidP="00FA0016">
      <w:pPr>
        <w:pStyle w:val="Default"/>
        <w:spacing w:line="240" w:lineRule="auto"/>
        <w:ind w:left="284"/>
        <w:jc w:val="both"/>
        <w:rPr>
          <w:rFonts w:ascii="Arial" w:hAnsi="Arial" w:cs="Arial"/>
        </w:rPr>
      </w:pPr>
    </w:p>
    <w:p w14:paraId="68A107B7" w14:textId="36DB2B9B" w:rsidR="00FA0016" w:rsidRPr="005B5F14" w:rsidRDefault="00FA0016" w:rsidP="00FA0016">
      <w:pPr>
        <w:pStyle w:val="Default"/>
        <w:numPr>
          <w:ilvl w:val="0"/>
          <w:numId w:val="13"/>
        </w:numPr>
        <w:spacing w:line="240" w:lineRule="auto"/>
        <w:jc w:val="both"/>
        <w:rPr>
          <w:rFonts w:ascii="Arial" w:hAnsi="Arial" w:cs="Arial"/>
          <w:shd w:val="clear" w:color="auto" w:fill="00FF00"/>
        </w:rPr>
      </w:pPr>
      <w:r w:rsidRPr="005B5F14">
        <w:rPr>
          <w:rFonts w:ascii="Arial" w:hAnsi="Arial" w:cs="Arial"/>
        </w:rPr>
        <w:t xml:space="preserve">Licence k užívání </w:t>
      </w:r>
      <w:r w:rsidR="00915B57" w:rsidRPr="005B5F14">
        <w:rPr>
          <w:rFonts w:ascii="Arial" w:hAnsi="Arial" w:cs="Arial"/>
          <w:i/>
          <w:iCs/>
        </w:rPr>
        <w:t>Průmyslové vlastnictví</w:t>
      </w:r>
      <w:r w:rsidR="00915B57" w:rsidRPr="005B5F14">
        <w:rPr>
          <w:rFonts w:ascii="Arial" w:hAnsi="Arial" w:cs="Arial"/>
        </w:rPr>
        <w:t xml:space="preserve"> </w:t>
      </w:r>
      <w:r w:rsidRPr="005B5F14">
        <w:rPr>
          <w:rFonts w:ascii="Arial" w:hAnsi="Arial" w:cs="Arial"/>
        </w:rPr>
        <w:t>přechází na Nabyvatele v okamžiku podpisu této smlouvy oběma smluvními stranami. Vůči třetím osobám je účinná zápisem licence do příslušného veřejného seznamu. Žádost o</w:t>
      </w:r>
      <w:r w:rsidR="00DB7D71" w:rsidRPr="005B5F14">
        <w:rPr>
          <w:rFonts w:ascii="Arial" w:hAnsi="Arial" w:cs="Arial"/>
        </w:rPr>
        <w:t> </w:t>
      </w:r>
      <w:r w:rsidRPr="005B5F14">
        <w:rPr>
          <w:rFonts w:ascii="Arial" w:hAnsi="Arial" w:cs="Arial"/>
        </w:rPr>
        <w:t>registraci licence bude Poskytovatelem podán nejpozději do 14ti dnů poté, co Nabyvatel uhradí Vstupní poplatek dle čl. II odst. 1a</w:t>
      </w:r>
      <w:r w:rsidR="005A43EC" w:rsidRPr="005B5F14">
        <w:rPr>
          <w:rFonts w:ascii="Arial" w:hAnsi="Arial" w:cs="Arial"/>
        </w:rPr>
        <w:t>)</w:t>
      </w:r>
      <w:r w:rsidRPr="005B5F14">
        <w:rPr>
          <w:rFonts w:ascii="Arial" w:hAnsi="Arial" w:cs="Arial"/>
        </w:rPr>
        <w:t>.</w:t>
      </w:r>
    </w:p>
    <w:p w14:paraId="04B1D8D1" w14:textId="77777777" w:rsidR="00FA0016" w:rsidRPr="005B5F14" w:rsidRDefault="00FA0016" w:rsidP="00FA0016">
      <w:pPr>
        <w:pStyle w:val="NoSpacing1"/>
        <w:spacing w:line="240" w:lineRule="auto"/>
        <w:rPr>
          <w:rFonts w:ascii="Arial" w:hAnsi="Arial" w:cs="Arial"/>
          <w:sz w:val="24"/>
          <w:szCs w:val="24"/>
        </w:rPr>
      </w:pPr>
    </w:p>
    <w:p w14:paraId="35D77B87" w14:textId="16F077CF" w:rsidR="00FA0016" w:rsidRPr="000E548D" w:rsidRDefault="00FA0016" w:rsidP="00FA0016">
      <w:pPr>
        <w:pStyle w:val="Default"/>
        <w:numPr>
          <w:ilvl w:val="0"/>
          <w:numId w:val="13"/>
        </w:numPr>
        <w:spacing w:line="240" w:lineRule="auto"/>
        <w:jc w:val="both"/>
        <w:rPr>
          <w:rFonts w:ascii="Arial" w:hAnsi="Arial" w:cs="Arial"/>
          <w:color w:val="800000"/>
        </w:rPr>
      </w:pPr>
      <w:r w:rsidRPr="000E548D">
        <w:rPr>
          <w:rFonts w:ascii="Arial" w:hAnsi="Arial" w:cs="Arial"/>
        </w:rPr>
        <w:t xml:space="preserve">Poskytovatel uděluje Nabyvateli licenci jako tzv. nevýhradní, tedy Poskytovatel je oprávněn k výkonu práva, ke kterému udělil nevýhradní licenci, jakož i poskytnout licenci třetí osobě. </w:t>
      </w:r>
    </w:p>
    <w:p w14:paraId="26AACD53" w14:textId="77777777" w:rsidR="00FA0016" w:rsidRPr="005B5F14" w:rsidRDefault="00FA0016" w:rsidP="00FA0016">
      <w:pPr>
        <w:pStyle w:val="Default"/>
        <w:spacing w:line="240" w:lineRule="auto"/>
        <w:jc w:val="both"/>
        <w:rPr>
          <w:rFonts w:ascii="Arial" w:hAnsi="Arial" w:cs="Arial"/>
        </w:rPr>
      </w:pPr>
    </w:p>
    <w:p w14:paraId="1CFA4BAF" w14:textId="2BB078D3" w:rsidR="001B2298" w:rsidRPr="001B2298" w:rsidRDefault="001B2298" w:rsidP="001B2298">
      <w:pPr>
        <w:pStyle w:val="Default"/>
        <w:numPr>
          <w:ilvl w:val="0"/>
          <w:numId w:val="13"/>
        </w:numPr>
        <w:spacing w:after="120" w:line="240" w:lineRule="auto"/>
        <w:ind w:left="357" w:hanging="357"/>
        <w:jc w:val="both"/>
        <w:rPr>
          <w:rFonts w:ascii="Arial" w:hAnsi="Arial" w:cs="Arial"/>
        </w:rPr>
      </w:pPr>
      <w:r w:rsidRPr="001B2298">
        <w:rPr>
          <w:rFonts w:ascii="Arial" w:hAnsi="Arial" w:cs="Arial"/>
        </w:rPr>
        <w:t>Smluvní strany se dohodly, že Nabyvatel je oprávněn poskytnout svým obchodním partnerům sublicenci k užití Průmyslového vlastnictví pouze s</w:t>
      </w:r>
      <w:r w:rsidR="00DB7D71" w:rsidRPr="005B5F14">
        <w:rPr>
          <w:rFonts w:ascii="Arial" w:hAnsi="Arial" w:cs="Arial"/>
        </w:rPr>
        <w:t> </w:t>
      </w:r>
      <w:r w:rsidR="001A6CD1">
        <w:rPr>
          <w:rFonts w:ascii="Arial" w:hAnsi="Arial" w:cs="Arial"/>
        </w:rPr>
        <w:t>notifikací</w:t>
      </w:r>
      <w:r w:rsidRPr="001B2298">
        <w:rPr>
          <w:rFonts w:ascii="Arial" w:hAnsi="Arial" w:cs="Arial"/>
        </w:rPr>
        <w:t xml:space="preserve"> Poskytovatele. Nabyvatel se zavazuje Poskytovatele o záměru uzavřít podlicenční smlouvu se svým obchodním partnerem včas informovat prostřednictvím poštovní adresy uvedené v záhlaví Smlouvy a zároveň na</w:t>
      </w:r>
      <w:r w:rsidRPr="005B5F14">
        <w:rPr>
          <w:rFonts w:ascii="Arial" w:hAnsi="Arial" w:cs="Arial"/>
        </w:rPr>
        <w:t> </w:t>
      </w:r>
      <w:r w:rsidRPr="001B2298">
        <w:rPr>
          <w:rFonts w:ascii="Arial" w:hAnsi="Arial" w:cs="Arial"/>
        </w:rPr>
        <w:t>emailovou adresu [</w:t>
      </w:r>
      <w:r w:rsidR="004E3201">
        <w:rPr>
          <w:rFonts w:ascii="Arial" w:hAnsi="Arial" w:cs="Arial"/>
        </w:rPr>
        <w:t>XXXXXXXXXXXX</w:t>
      </w:r>
      <w:bookmarkStart w:id="2" w:name="_GoBack"/>
      <w:bookmarkEnd w:id="2"/>
      <w:r w:rsidRPr="001B2298">
        <w:rPr>
          <w:rFonts w:ascii="Arial" w:hAnsi="Arial" w:cs="Arial"/>
        </w:rPr>
        <w:t>] a zároveň mu poskytnout informace o</w:t>
      </w:r>
      <w:r w:rsidRPr="005B5F14">
        <w:rPr>
          <w:rFonts w:ascii="Arial" w:hAnsi="Arial" w:cs="Arial"/>
        </w:rPr>
        <w:t> </w:t>
      </w:r>
      <w:r w:rsidRPr="001B2298">
        <w:rPr>
          <w:rFonts w:ascii="Arial" w:hAnsi="Arial" w:cs="Arial"/>
        </w:rPr>
        <w:t xml:space="preserve">osobě sublicenčního nabyvatele a základních podmínkách sublicence. Smluvní strany se dohodly, že Nabyvatel je oprávněn poskytnout podlicenci </w:t>
      </w:r>
      <w:r w:rsidRPr="001B2298">
        <w:rPr>
          <w:rFonts w:ascii="Arial" w:hAnsi="Arial" w:cs="Arial"/>
        </w:rPr>
        <w:lastRenderedPageBreak/>
        <w:t>pouze nevýhradní, časově omezenou. Sublicenční podmínky musí sublicenčního nabyvatele zavazovat k plnění povinností dle článku 3 a 4 Smlouvy, k</w:t>
      </w:r>
      <w:r w:rsidRPr="005B5F14">
        <w:rPr>
          <w:rFonts w:ascii="Arial" w:hAnsi="Arial" w:cs="Arial"/>
        </w:rPr>
        <w:t> </w:t>
      </w:r>
      <w:r w:rsidRPr="001B2298">
        <w:rPr>
          <w:rFonts w:ascii="Arial" w:hAnsi="Arial" w:cs="Arial"/>
        </w:rPr>
        <w:t>zachování dobrého jména a pověsti Poskytovatele a k zachování důvěrnosti informací souvisejících s Předmětem Smlouvy. Nabyvatel se zavazuje neposkytnout sublicenčnímu nabyvateli právo k poskytování dalších sublicencí. Porušení povinností Nabyvatele dle tohoto odstavce Smlouvy je Smluvními stranami považováno za podstatné porušení Smlouvy.</w:t>
      </w:r>
    </w:p>
    <w:p w14:paraId="0193B67C" w14:textId="46076FD9" w:rsidR="00FA0016" w:rsidRPr="005B5F14" w:rsidRDefault="001B2298" w:rsidP="001B2298">
      <w:pPr>
        <w:pStyle w:val="Default"/>
        <w:spacing w:line="240" w:lineRule="auto"/>
        <w:ind w:left="360"/>
        <w:jc w:val="both"/>
        <w:rPr>
          <w:rFonts w:ascii="Arial" w:hAnsi="Arial" w:cs="Arial"/>
        </w:rPr>
      </w:pPr>
      <w:r w:rsidRPr="001B2298">
        <w:rPr>
          <w:rFonts w:ascii="Arial" w:hAnsi="Arial" w:cs="Arial"/>
        </w:rPr>
        <w:t>Nabyvatel je oprávněn zadat část výroby Zařízení subdodavatelům. Pro</w:t>
      </w:r>
      <w:r w:rsidRPr="005B5F14">
        <w:rPr>
          <w:rFonts w:ascii="Arial" w:hAnsi="Arial" w:cs="Arial"/>
        </w:rPr>
        <w:t> </w:t>
      </w:r>
      <w:r w:rsidRPr="001B2298">
        <w:rPr>
          <w:rFonts w:ascii="Arial" w:hAnsi="Arial" w:cs="Arial"/>
        </w:rPr>
        <w:t xml:space="preserve">tento účel je Nabyvatel oprávněn poskytnout subdodavatelům podlicenci k využití Průmyslového vlastnictví. Rozsah takové sublicence je však omezen jejím účelem, kterým je pouze výroba Zařízení. Nabyvatel je dále povinen zajistit, aby v souvislosti s udělením takové sublicence nedošlo k porušení Smlouvy. Subdodavatel je povinen zejména k zachování důvěrnosti informací souvisejících s Průmyslovým vlastnictvím. Nabyvatel se zavazuje k zavázání subdodavatele k plnění těchto povinností. </w:t>
      </w:r>
    </w:p>
    <w:p w14:paraId="1ACC518C" w14:textId="77777777" w:rsidR="00FA0016" w:rsidRPr="005B5F14" w:rsidRDefault="00FA0016" w:rsidP="00FA0016">
      <w:pPr>
        <w:pStyle w:val="Default"/>
        <w:spacing w:line="240" w:lineRule="auto"/>
        <w:rPr>
          <w:rFonts w:ascii="Arial" w:hAnsi="Arial" w:cs="Arial"/>
          <w:b/>
        </w:rPr>
      </w:pPr>
    </w:p>
    <w:p w14:paraId="2B611891" w14:textId="77777777" w:rsidR="00FA0016" w:rsidRPr="005B5F14" w:rsidRDefault="00FA0016" w:rsidP="00FA0016">
      <w:pPr>
        <w:pStyle w:val="Default"/>
        <w:spacing w:line="240" w:lineRule="auto"/>
        <w:jc w:val="center"/>
        <w:rPr>
          <w:rFonts w:ascii="Arial" w:hAnsi="Arial" w:cs="Arial"/>
          <w:b/>
        </w:rPr>
      </w:pPr>
    </w:p>
    <w:p w14:paraId="46F83433" w14:textId="77777777" w:rsidR="00FA0016" w:rsidRPr="005B5F14" w:rsidRDefault="00FA0016" w:rsidP="00FA0016">
      <w:pPr>
        <w:pStyle w:val="Default"/>
        <w:spacing w:line="240" w:lineRule="auto"/>
        <w:jc w:val="center"/>
        <w:rPr>
          <w:rFonts w:ascii="Arial" w:hAnsi="Arial" w:cs="Arial"/>
          <w:b/>
        </w:rPr>
      </w:pPr>
      <w:r w:rsidRPr="005B5F14">
        <w:rPr>
          <w:rFonts w:ascii="Arial" w:hAnsi="Arial" w:cs="Arial"/>
          <w:b/>
        </w:rPr>
        <w:t>Článek IV.</w:t>
      </w:r>
    </w:p>
    <w:p w14:paraId="3AF76F98" w14:textId="77777777" w:rsidR="00FA0016" w:rsidRPr="005B5F14" w:rsidRDefault="00FA0016" w:rsidP="00FA0016">
      <w:pPr>
        <w:pStyle w:val="Default"/>
        <w:spacing w:line="240" w:lineRule="auto"/>
        <w:jc w:val="center"/>
        <w:rPr>
          <w:rFonts w:ascii="Arial" w:hAnsi="Arial" w:cs="Arial"/>
          <w:shd w:val="clear" w:color="auto" w:fill="00FF00"/>
        </w:rPr>
      </w:pPr>
      <w:r w:rsidRPr="005B5F14">
        <w:rPr>
          <w:rFonts w:ascii="Arial" w:hAnsi="Arial" w:cs="Arial"/>
          <w:b/>
        </w:rPr>
        <w:t>Mlčenlivost</w:t>
      </w:r>
    </w:p>
    <w:p w14:paraId="4180DAF5" w14:textId="77777777" w:rsidR="00FA0016" w:rsidRPr="005B5F14" w:rsidRDefault="00FA0016" w:rsidP="00FA0016">
      <w:pPr>
        <w:pStyle w:val="Default"/>
        <w:spacing w:line="240" w:lineRule="auto"/>
        <w:jc w:val="both"/>
        <w:rPr>
          <w:rFonts w:ascii="Arial" w:hAnsi="Arial" w:cs="Arial"/>
        </w:rPr>
      </w:pPr>
    </w:p>
    <w:p w14:paraId="075CC073" w14:textId="77777777"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Smluvní strany se zavazují, že veškeré skutečnosti spadající do oblasti obchodního tajemství a důvěrné informace nebudou dále rozšiřovat nebo reprodukovat a nezpřístupní je třetí straně. Současně se zavazují, že zabezpečí,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0C4FAE48" w14:textId="379AA523"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 xml:space="preserve">Smluvní strany s konečnou platností prohlašují, že </w:t>
      </w:r>
      <w:r w:rsidRPr="005B5F14">
        <w:rPr>
          <w:rFonts w:ascii="Arial" w:hAnsi="Arial" w:cs="Arial"/>
          <w:i/>
          <w:iCs/>
          <w:sz w:val="24"/>
        </w:rPr>
        <w:t>know-how</w:t>
      </w:r>
      <w:r w:rsidRPr="005B5F14">
        <w:rPr>
          <w:rFonts w:ascii="Arial" w:hAnsi="Arial" w:cs="Arial"/>
          <w:sz w:val="24"/>
        </w:rPr>
        <w:t>, důvěrné informace, obchodní tajemství a další chráněné informace podle této smlouvy jsou duševním vlastnictvím Poskytovatele a Nabyvateli na ně nevzniká nárok. Toto ustanovení lze změnit pouze písemnou dohodou smluvních stran, a to dodatkem k této smlouvě.</w:t>
      </w:r>
    </w:p>
    <w:p w14:paraId="67DDC3F7" w14:textId="77777777"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1B3C355" w14:textId="03011C0D"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Za důvěrné informace se považují zejména veškeré dokumenty předané ze</w:t>
      </w:r>
      <w:r w:rsidR="004D495B" w:rsidRPr="004D495B">
        <w:rPr>
          <w:rFonts w:ascii="Arial" w:hAnsi="Arial" w:cs="Arial"/>
        </w:rPr>
        <w:t> </w:t>
      </w:r>
      <w:r w:rsidRPr="005B5F14">
        <w:rPr>
          <w:rFonts w:ascii="Arial" w:hAnsi="Arial" w:cs="Arial"/>
          <w:sz w:val="24"/>
        </w:rPr>
        <w:t xml:space="preserve">strany poskytovatele Nabyvateli, a to včetně fotografií, technických výkresů a ústně sděleného </w:t>
      </w:r>
      <w:r w:rsidRPr="005B5F14">
        <w:rPr>
          <w:rFonts w:ascii="Arial" w:hAnsi="Arial" w:cs="Arial"/>
          <w:i/>
          <w:iCs/>
          <w:sz w:val="24"/>
        </w:rPr>
        <w:t>know-how</w:t>
      </w:r>
      <w:r w:rsidRPr="005B5F14">
        <w:rPr>
          <w:rFonts w:ascii="Arial" w:hAnsi="Arial" w:cs="Arial"/>
          <w:sz w:val="24"/>
        </w:rPr>
        <w:t xml:space="preserve"> týkajícího se předmětu licence.</w:t>
      </w:r>
    </w:p>
    <w:p w14:paraId="28595D3C" w14:textId="77777777"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lastRenderedPageBreak/>
        <w:t xml:space="preserve">Obchodní tajemství a důvěrné informace ve smyslu příslušných ustanovení zákona č. 89/2012 Sb., občanský zákoník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075A99F9" w14:textId="77777777"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39D18A66" w14:textId="77777777"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36B73396" w14:textId="5C9D5D60"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 xml:space="preserve">V případě, že Nabyvatel potřebuje poskytnout dokumentaci licencovaného </w:t>
      </w:r>
      <w:r w:rsidR="008A41E5" w:rsidRPr="005B5F14">
        <w:rPr>
          <w:rFonts w:ascii="Arial" w:hAnsi="Arial" w:cs="Arial"/>
          <w:i/>
          <w:iCs/>
          <w:sz w:val="24"/>
        </w:rPr>
        <w:t>Průmyslového vlastnictví</w:t>
      </w:r>
      <w:r w:rsidR="008A41E5" w:rsidRPr="005B5F14">
        <w:rPr>
          <w:rFonts w:ascii="Arial" w:hAnsi="Arial" w:cs="Arial"/>
          <w:sz w:val="24"/>
        </w:rPr>
        <w:t xml:space="preserve"> </w:t>
      </w:r>
      <w:r w:rsidRPr="005B5F14">
        <w:rPr>
          <w:rFonts w:ascii="Arial" w:hAnsi="Arial" w:cs="Arial"/>
          <w:sz w:val="24"/>
        </w:rPr>
        <w:t xml:space="preserve">nebo její jakoukoliv část svým subdodavatelům či obchodním partnerům, musí je zavázat povinnosti mlčenlivosti o stejných parametrech a sankcích jaké jsou v této smlouvě vyžadovány po něm. Zároveň musí ještě před poskytnutím dokumentace oznámit takovéto poskytnutí dokumentace nebo její části subdodavatelům či obchodním partnerům Poskytovateli. Dále je Nabyvatel povinen předložit Poskytovateli smlouvu zavazující subdodavatele nebo obchodního partnera k mlčenlivosti a tuto smlouvu se subdodavatelem či obchodním partnerem uzavřít. V této smlouvě musí být mimo povinnosti mlčenlivosti i odstavec zmiňující původ předávaného duševního vlastnictví. </w:t>
      </w:r>
    </w:p>
    <w:p w14:paraId="2D42D4BD" w14:textId="77777777"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 xml:space="preserve">Porušení povinností Nabyvatele dle předchozího odstavce je smluvními stranami považováno za porušení mlčenlivosti se sankcí dle odstavce 12. tohoto článku této smlouvy. </w:t>
      </w:r>
    </w:p>
    <w:p w14:paraId="77E828EE" w14:textId="77777777"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Povinnost plnit ustanovení tohoto článku se nevztahuje na chráněné informace, které:</w:t>
      </w:r>
    </w:p>
    <w:p w14:paraId="20771D3C" w14:textId="77777777" w:rsidR="00FA0016" w:rsidRPr="005B5F14" w:rsidRDefault="00FA0016" w:rsidP="00FA0016">
      <w:pPr>
        <w:numPr>
          <w:ilvl w:val="0"/>
          <w:numId w:val="10"/>
        </w:numPr>
        <w:spacing w:line="240" w:lineRule="auto"/>
        <w:rPr>
          <w:rFonts w:ascii="Arial" w:hAnsi="Arial" w:cs="Arial"/>
          <w:sz w:val="24"/>
          <w:szCs w:val="24"/>
        </w:rPr>
      </w:pPr>
      <w:r w:rsidRPr="005B5F14">
        <w:rPr>
          <w:rFonts w:ascii="Arial" w:hAnsi="Arial" w:cs="Arial"/>
          <w:sz w:val="24"/>
          <w:szCs w:val="24"/>
        </w:rPr>
        <w:t>mohou být zveřejněny bez porušení této smlouvy;</w:t>
      </w:r>
    </w:p>
    <w:p w14:paraId="14A95A7F" w14:textId="77777777" w:rsidR="00FA0016" w:rsidRPr="005B5F14" w:rsidRDefault="00FA0016" w:rsidP="00FA0016">
      <w:pPr>
        <w:numPr>
          <w:ilvl w:val="0"/>
          <w:numId w:val="10"/>
        </w:numPr>
        <w:spacing w:line="240" w:lineRule="auto"/>
        <w:rPr>
          <w:rFonts w:ascii="Arial" w:hAnsi="Arial" w:cs="Arial"/>
          <w:sz w:val="24"/>
          <w:szCs w:val="24"/>
        </w:rPr>
      </w:pPr>
      <w:r w:rsidRPr="005B5F14">
        <w:rPr>
          <w:rFonts w:ascii="Arial" w:hAnsi="Arial" w:cs="Arial"/>
          <w:sz w:val="24"/>
          <w:szCs w:val="24"/>
        </w:rPr>
        <w:t>byly písemným souhlasem druhé smluvní strany uvolněny od těchto omezení;</w:t>
      </w:r>
    </w:p>
    <w:p w14:paraId="4001697E" w14:textId="77777777" w:rsidR="00FA0016" w:rsidRPr="005B5F14" w:rsidRDefault="00FA0016" w:rsidP="00FA0016">
      <w:pPr>
        <w:pStyle w:val="Zkladntextodsazen3"/>
        <w:numPr>
          <w:ilvl w:val="0"/>
          <w:numId w:val="10"/>
        </w:numPr>
        <w:spacing w:line="240" w:lineRule="auto"/>
        <w:rPr>
          <w:rFonts w:ascii="Arial" w:hAnsi="Arial" w:cs="Arial"/>
          <w:sz w:val="24"/>
          <w:szCs w:val="24"/>
        </w:rPr>
      </w:pPr>
      <w:r w:rsidRPr="005B5F14">
        <w:rPr>
          <w:rFonts w:ascii="Arial" w:hAnsi="Arial" w:cs="Arial"/>
          <w:sz w:val="24"/>
          <w:szCs w:val="24"/>
        </w:rPr>
        <w:t>jsou veřejně dostupné nebo byly zveřejněny jinak, než porušením povinnosti jedné ze smluvních stran;</w:t>
      </w:r>
    </w:p>
    <w:p w14:paraId="1138D8D3" w14:textId="77777777" w:rsidR="00FA0016" w:rsidRPr="005B5F14" w:rsidRDefault="00FA0016" w:rsidP="00FA0016">
      <w:pPr>
        <w:numPr>
          <w:ilvl w:val="0"/>
          <w:numId w:val="10"/>
        </w:numPr>
        <w:spacing w:line="240" w:lineRule="auto"/>
        <w:rPr>
          <w:rFonts w:ascii="Arial" w:hAnsi="Arial" w:cs="Arial"/>
          <w:sz w:val="24"/>
          <w:szCs w:val="24"/>
        </w:rPr>
      </w:pPr>
      <w:r w:rsidRPr="005B5F14">
        <w:rPr>
          <w:rFonts w:ascii="Arial" w:hAnsi="Arial" w:cs="Arial"/>
          <w:sz w:val="24"/>
          <w:szCs w:val="24"/>
        </w:rPr>
        <w:t>příjemce je zná zcela prokazatelně dříve, než je sdělí smluvní strana;</w:t>
      </w:r>
    </w:p>
    <w:p w14:paraId="4CE2C628" w14:textId="77777777" w:rsidR="00FA0016" w:rsidRPr="005B5F14" w:rsidRDefault="00FA0016" w:rsidP="00FA0016">
      <w:pPr>
        <w:numPr>
          <w:ilvl w:val="0"/>
          <w:numId w:val="10"/>
        </w:numPr>
        <w:spacing w:line="240" w:lineRule="auto"/>
        <w:ind w:left="714" w:hanging="357"/>
        <w:rPr>
          <w:rFonts w:ascii="Arial" w:hAnsi="Arial" w:cs="Arial"/>
          <w:sz w:val="24"/>
          <w:szCs w:val="24"/>
        </w:rPr>
      </w:pPr>
      <w:r w:rsidRPr="005B5F14">
        <w:rPr>
          <w:rFonts w:ascii="Arial" w:hAnsi="Arial" w:cs="Arial"/>
          <w:sz w:val="24"/>
          <w:szCs w:val="24"/>
        </w:rPr>
        <w:lastRenderedPageBreak/>
        <w:t>jsou vyžádány soudem, státním zastupitelstvím nebo věcně příslušným správním orgánem na základě zákona a jsou použity pouze k tomuto účelu.</w:t>
      </w:r>
    </w:p>
    <w:p w14:paraId="32D8CC84" w14:textId="77777777" w:rsidR="00FA0016" w:rsidRPr="005B5F14" w:rsidRDefault="00FA0016" w:rsidP="00FA0016">
      <w:pPr>
        <w:numPr>
          <w:ilvl w:val="0"/>
          <w:numId w:val="10"/>
        </w:numPr>
        <w:spacing w:line="240" w:lineRule="auto"/>
        <w:ind w:left="714" w:hanging="357"/>
        <w:rPr>
          <w:rFonts w:ascii="Arial" w:hAnsi="Arial" w:cs="Arial"/>
          <w:sz w:val="24"/>
          <w:szCs w:val="24"/>
        </w:rPr>
      </w:pPr>
      <w:r w:rsidRPr="005B5F14">
        <w:rPr>
          <w:rFonts w:ascii="Arial" w:hAnsi="Arial" w:cs="Arial"/>
          <w:sz w:val="24"/>
          <w:szCs w:val="24"/>
        </w:rPr>
        <w:t xml:space="preserve">Informace poskytnuté subdodavateli či obchodnímu partneru v souladu s odst. 8 tohoto článku. </w:t>
      </w:r>
    </w:p>
    <w:p w14:paraId="422AB194" w14:textId="77777777"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p>
    <w:p w14:paraId="7AEB5B7F" w14:textId="34BBC7D5" w:rsidR="00FA0016" w:rsidRPr="005B5F1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5B5F14">
        <w:rPr>
          <w:rFonts w:ascii="Arial" w:hAnsi="Arial" w:cs="Arial"/>
          <w:sz w:val="24"/>
        </w:rPr>
        <w:t>V případě porušení mlčenlivosti si smluvní strany sjednávají výši pokuty 1 000 000 Kč (slovy jeden milion korun českých) za každé jednotlivé porušení. Zaplacením smluvní pokuty nezaniká právo Poskytovatele na</w:t>
      </w:r>
      <w:r w:rsidR="001B2298" w:rsidRPr="005B5F14">
        <w:rPr>
          <w:rFonts w:ascii="Arial" w:hAnsi="Arial" w:cs="Arial"/>
        </w:rPr>
        <w:t> </w:t>
      </w:r>
      <w:r w:rsidRPr="005B5F14">
        <w:rPr>
          <w:rFonts w:ascii="Arial" w:hAnsi="Arial" w:cs="Arial"/>
          <w:sz w:val="24"/>
        </w:rPr>
        <w:t>náhradu škody (jako jsou například ušlé licenční poplatky).</w:t>
      </w:r>
    </w:p>
    <w:p w14:paraId="32220415" w14:textId="77777777" w:rsidR="00FA0016" w:rsidRPr="005B5F14" w:rsidRDefault="00FA0016" w:rsidP="00FA0016">
      <w:pPr>
        <w:pStyle w:val="Default"/>
        <w:spacing w:line="240" w:lineRule="auto"/>
        <w:rPr>
          <w:rFonts w:ascii="Arial" w:hAnsi="Arial" w:cs="Arial"/>
          <w:b/>
        </w:rPr>
      </w:pPr>
    </w:p>
    <w:p w14:paraId="5E0377AA" w14:textId="77777777" w:rsidR="00FA0016" w:rsidRPr="005B5F14" w:rsidRDefault="00FA0016" w:rsidP="00FA0016">
      <w:pPr>
        <w:pStyle w:val="Default"/>
        <w:spacing w:line="240" w:lineRule="auto"/>
        <w:jc w:val="center"/>
        <w:rPr>
          <w:rFonts w:ascii="Arial" w:hAnsi="Arial" w:cs="Arial"/>
          <w:b/>
        </w:rPr>
      </w:pPr>
      <w:r w:rsidRPr="005B5F14">
        <w:rPr>
          <w:rFonts w:ascii="Arial" w:hAnsi="Arial" w:cs="Arial"/>
          <w:b/>
        </w:rPr>
        <w:t>Článek V.</w:t>
      </w:r>
    </w:p>
    <w:p w14:paraId="46128D06" w14:textId="77777777" w:rsidR="00FA0016" w:rsidRPr="005B5F14" w:rsidRDefault="00FA0016" w:rsidP="00FA0016">
      <w:pPr>
        <w:pStyle w:val="Default"/>
        <w:spacing w:line="240" w:lineRule="auto"/>
        <w:jc w:val="center"/>
        <w:rPr>
          <w:rFonts w:ascii="Arial" w:hAnsi="Arial" w:cs="Arial"/>
          <w:b/>
        </w:rPr>
      </w:pPr>
      <w:r w:rsidRPr="005B5F14">
        <w:rPr>
          <w:rFonts w:ascii="Arial" w:hAnsi="Arial" w:cs="Arial"/>
          <w:b/>
        </w:rPr>
        <w:t>Platnost smlouvy a odstoupení od smlouvy</w:t>
      </w:r>
    </w:p>
    <w:p w14:paraId="50B8F7F8" w14:textId="77777777" w:rsidR="00FA0016" w:rsidRPr="005B5F14" w:rsidRDefault="00FA0016" w:rsidP="00FA0016">
      <w:pPr>
        <w:pStyle w:val="Default"/>
        <w:spacing w:line="240" w:lineRule="auto"/>
        <w:jc w:val="center"/>
        <w:rPr>
          <w:rFonts w:ascii="Arial" w:hAnsi="Arial" w:cs="Arial"/>
          <w:b/>
        </w:rPr>
      </w:pPr>
    </w:p>
    <w:p w14:paraId="630DC84C" w14:textId="783E77C5" w:rsidR="00FA0016" w:rsidRDefault="00FA0016" w:rsidP="001E6ED1">
      <w:pPr>
        <w:pStyle w:val="Default"/>
        <w:numPr>
          <w:ilvl w:val="0"/>
          <w:numId w:val="14"/>
        </w:numPr>
        <w:spacing w:line="240" w:lineRule="auto"/>
        <w:jc w:val="both"/>
        <w:rPr>
          <w:rFonts w:ascii="Arial" w:hAnsi="Arial" w:cs="Arial"/>
        </w:rPr>
      </w:pPr>
      <w:r w:rsidRPr="005B5F14">
        <w:rPr>
          <w:rFonts w:ascii="Arial" w:hAnsi="Arial" w:cs="Arial"/>
        </w:rPr>
        <w:t>Tato smlouva je uzavřena na dobu určitou, a to do 31.12.20</w:t>
      </w:r>
      <w:r w:rsidR="001E6ED1">
        <w:rPr>
          <w:rFonts w:ascii="Arial" w:hAnsi="Arial" w:cs="Arial"/>
        </w:rPr>
        <w:t>26</w:t>
      </w:r>
      <w:r w:rsidRPr="001E6ED1">
        <w:rPr>
          <w:rFonts w:ascii="Arial" w:hAnsi="Arial" w:cs="Arial"/>
        </w:rPr>
        <w:t>. V případě, že jedna ze smluvních stan neoznámí druhé smluvní straně nejpozději do 31.8. příslušného kalendářního roku, že trvá na ukončení smlouvy v aktuálně platném termínu ukončení smlouvy, prodlužuje se marným uplynutím této lhůty doba trvání smlouvy bez dalšího vždy o 12 měsíců navazujících na</w:t>
      </w:r>
      <w:r w:rsidR="001B2298" w:rsidRPr="005B5F14">
        <w:rPr>
          <w:rFonts w:ascii="Arial" w:hAnsi="Arial" w:cs="Arial"/>
        </w:rPr>
        <w:t> </w:t>
      </w:r>
      <w:r w:rsidRPr="001E6ED1">
        <w:rPr>
          <w:rFonts w:ascii="Arial" w:hAnsi="Arial" w:cs="Arial"/>
        </w:rPr>
        <w:t xml:space="preserve">základní dobu nebo prolongaci, a to i opakovaně. </w:t>
      </w:r>
    </w:p>
    <w:p w14:paraId="0F85B588" w14:textId="77777777" w:rsidR="004D495B" w:rsidRPr="001E6ED1" w:rsidRDefault="004D495B" w:rsidP="004D495B">
      <w:pPr>
        <w:pStyle w:val="Default"/>
        <w:spacing w:line="240" w:lineRule="auto"/>
        <w:ind w:left="360"/>
        <w:jc w:val="both"/>
        <w:rPr>
          <w:rFonts w:ascii="Arial" w:hAnsi="Arial" w:cs="Arial"/>
        </w:rPr>
      </w:pPr>
    </w:p>
    <w:p w14:paraId="34AB920D" w14:textId="54771E1A" w:rsidR="001E6ED1" w:rsidRPr="001E6ED1" w:rsidRDefault="001E6ED1" w:rsidP="001E6ED1">
      <w:pPr>
        <w:pStyle w:val="Default"/>
        <w:numPr>
          <w:ilvl w:val="0"/>
          <w:numId w:val="14"/>
        </w:numPr>
        <w:spacing w:line="240" w:lineRule="auto"/>
        <w:jc w:val="both"/>
        <w:rPr>
          <w:rFonts w:ascii="Arial" w:hAnsi="Arial" w:cs="Arial"/>
        </w:rPr>
      </w:pPr>
      <w:r w:rsidRPr="001E6ED1">
        <w:rPr>
          <w:rFonts w:ascii="Arial" w:hAnsi="Arial" w:cs="Arial"/>
        </w:rPr>
        <w:t xml:space="preserve">V případě, že nebude </w:t>
      </w:r>
      <w:r w:rsidR="006A7CCC">
        <w:rPr>
          <w:rFonts w:ascii="Arial" w:hAnsi="Arial" w:cs="Arial"/>
        </w:rPr>
        <w:t xml:space="preserve">do 30.6.2024 </w:t>
      </w:r>
      <w:r w:rsidRPr="001E6ED1">
        <w:rPr>
          <w:rFonts w:ascii="Arial" w:hAnsi="Arial" w:cs="Arial"/>
        </w:rPr>
        <w:t xml:space="preserve">poskytnut </w:t>
      </w:r>
      <w:r w:rsidR="006A7CCC">
        <w:rPr>
          <w:rFonts w:ascii="Arial" w:hAnsi="Arial" w:cs="Arial"/>
        </w:rPr>
        <w:t xml:space="preserve">nárok </w:t>
      </w:r>
      <w:r w:rsidRPr="001E6ED1">
        <w:rPr>
          <w:rFonts w:ascii="Arial" w:hAnsi="Arial" w:cs="Arial"/>
        </w:rPr>
        <w:t xml:space="preserve">Poskytovateli </w:t>
      </w:r>
      <w:r w:rsidR="006A7CCC">
        <w:rPr>
          <w:rFonts w:ascii="Arial" w:hAnsi="Arial" w:cs="Arial"/>
        </w:rPr>
        <w:t>na jakoukoliv</w:t>
      </w:r>
      <w:r w:rsidRPr="001E6ED1">
        <w:rPr>
          <w:rFonts w:ascii="Arial" w:hAnsi="Arial" w:cs="Arial"/>
        </w:rPr>
        <w:t xml:space="preserve"> Odměna dle čl. II.1.b), tzn. že </w:t>
      </w:r>
      <w:r w:rsidR="006A7CCC">
        <w:rPr>
          <w:rFonts w:ascii="Arial" w:hAnsi="Arial" w:cs="Arial"/>
        </w:rPr>
        <w:t xml:space="preserve">do 31.12.2023 </w:t>
      </w:r>
      <w:r w:rsidRPr="001E6ED1">
        <w:rPr>
          <w:rFonts w:ascii="Arial" w:hAnsi="Arial" w:cs="Arial"/>
        </w:rPr>
        <w:t>nedošlo ke</w:t>
      </w:r>
      <w:r w:rsidR="001B2298" w:rsidRPr="005B5F14">
        <w:rPr>
          <w:rFonts w:ascii="Arial" w:hAnsi="Arial" w:cs="Arial"/>
        </w:rPr>
        <w:t> </w:t>
      </w:r>
      <w:r w:rsidRPr="001E6ED1">
        <w:rPr>
          <w:rFonts w:ascii="Arial" w:hAnsi="Arial" w:cs="Arial"/>
        </w:rPr>
        <w:t xml:space="preserve">komerčnímu uplatnění Zařízení ze strany </w:t>
      </w:r>
      <w:r>
        <w:rPr>
          <w:rFonts w:ascii="Arial" w:hAnsi="Arial" w:cs="Arial"/>
        </w:rPr>
        <w:t>Nabyvatele</w:t>
      </w:r>
      <w:r w:rsidRPr="001E6ED1">
        <w:rPr>
          <w:rFonts w:ascii="Arial" w:hAnsi="Arial" w:cs="Arial"/>
        </w:rPr>
        <w:t>, Smlouva se ukončuje předčasně již k 3</w:t>
      </w:r>
      <w:r>
        <w:rPr>
          <w:rFonts w:ascii="Arial" w:hAnsi="Arial" w:cs="Arial"/>
        </w:rPr>
        <w:t>0</w:t>
      </w:r>
      <w:r w:rsidRPr="001E6ED1">
        <w:rPr>
          <w:rFonts w:ascii="Arial" w:hAnsi="Arial" w:cs="Arial"/>
        </w:rPr>
        <w:t>.</w:t>
      </w:r>
      <w:r>
        <w:rPr>
          <w:rFonts w:ascii="Arial" w:hAnsi="Arial" w:cs="Arial"/>
        </w:rPr>
        <w:t>6</w:t>
      </w:r>
      <w:r w:rsidRPr="001E6ED1">
        <w:rPr>
          <w:rFonts w:ascii="Arial" w:hAnsi="Arial" w:cs="Arial"/>
        </w:rPr>
        <w:t>.202</w:t>
      </w:r>
      <w:r>
        <w:rPr>
          <w:rFonts w:ascii="Arial" w:hAnsi="Arial" w:cs="Arial"/>
        </w:rPr>
        <w:t>4. V tomto případě není možné uplatnit prodloužení o 12 měsíců marným uplynutím lhůty dle předchozího článku.</w:t>
      </w:r>
    </w:p>
    <w:p w14:paraId="22C9F855" w14:textId="77777777" w:rsidR="00FA0016" w:rsidRPr="005B5F14" w:rsidRDefault="00FA0016" w:rsidP="00FA0016">
      <w:pPr>
        <w:pStyle w:val="Default"/>
        <w:spacing w:line="240" w:lineRule="auto"/>
        <w:jc w:val="both"/>
        <w:rPr>
          <w:rFonts w:ascii="Arial" w:hAnsi="Arial" w:cs="Arial"/>
        </w:rPr>
      </w:pPr>
    </w:p>
    <w:p w14:paraId="39489DDC" w14:textId="5336F8B7" w:rsidR="00FA0016" w:rsidRPr="005B5F14" w:rsidRDefault="00FA0016" w:rsidP="00FA0016">
      <w:pPr>
        <w:pStyle w:val="Default"/>
        <w:numPr>
          <w:ilvl w:val="0"/>
          <w:numId w:val="14"/>
        </w:numPr>
        <w:spacing w:line="240" w:lineRule="auto"/>
        <w:jc w:val="both"/>
        <w:rPr>
          <w:rFonts w:ascii="Arial" w:hAnsi="Arial" w:cs="Arial"/>
        </w:rPr>
      </w:pPr>
      <w:r w:rsidRPr="005B5F14">
        <w:rPr>
          <w:rFonts w:ascii="Arial" w:hAnsi="Arial" w:cs="Arial"/>
        </w:rPr>
        <w:t xml:space="preserve">Smlouvu lze </w:t>
      </w:r>
      <w:r w:rsidR="001E6ED1">
        <w:rPr>
          <w:rFonts w:ascii="Arial" w:hAnsi="Arial" w:cs="Arial"/>
        </w:rPr>
        <w:t xml:space="preserve">dále </w:t>
      </w:r>
      <w:r w:rsidRPr="005B5F14">
        <w:rPr>
          <w:rFonts w:ascii="Arial" w:hAnsi="Arial" w:cs="Arial"/>
        </w:rPr>
        <w:t xml:space="preserve">ukončit vzájemnou dohodou obou smluvních stran, nebo písemnou výpovědí pro soustavné méně závažné porušování povinností </w:t>
      </w:r>
      <w:r w:rsidR="00733C24">
        <w:rPr>
          <w:rFonts w:ascii="Arial" w:hAnsi="Arial" w:cs="Arial"/>
        </w:rPr>
        <w:t>smluvní strany</w:t>
      </w:r>
      <w:r w:rsidRPr="005B5F14">
        <w:rPr>
          <w:rFonts w:ascii="Arial" w:hAnsi="Arial" w:cs="Arial"/>
        </w:rPr>
        <w:t xml:space="preserve"> vyplývajících z této smlouvy, jestliže byl</w:t>
      </w:r>
      <w:r w:rsidR="00733C24">
        <w:rPr>
          <w:rFonts w:ascii="Arial" w:hAnsi="Arial" w:cs="Arial"/>
        </w:rPr>
        <w:t xml:space="preserve">a druhá smluvní strana </w:t>
      </w:r>
      <w:r w:rsidRPr="005B5F14">
        <w:rPr>
          <w:rFonts w:ascii="Arial" w:hAnsi="Arial" w:cs="Arial"/>
        </w:rPr>
        <w:t>v době posledních 3 měsíců v souvislosti s porušením povinnosti vyplývající z této smlouvy písemně upozorněn</w:t>
      </w:r>
      <w:r w:rsidR="00733C24">
        <w:rPr>
          <w:rFonts w:ascii="Arial" w:hAnsi="Arial" w:cs="Arial"/>
        </w:rPr>
        <w:t>a</w:t>
      </w:r>
      <w:r w:rsidRPr="005B5F14">
        <w:rPr>
          <w:rFonts w:ascii="Arial" w:hAnsi="Arial" w:cs="Arial"/>
        </w:rPr>
        <w:t xml:space="preserve"> na možnost výpovědi.</w:t>
      </w:r>
    </w:p>
    <w:p w14:paraId="31DCD79D" w14:textId="77777777" w:rsidR="00FA0016" w:rsidRPr="005B5F14" w:rsidRDefault="00FA0016" w:rsidP="00FA0016">
      <w:pPr>
        <w:pStyle w:val="Stednmka1zvraznn21"/>
        <w:spacing w:after="0" w:line="240" w:lineRule="auto"/>
        <w:ind w:left="1080"/>
        <w:jc w:val="both"/>
        <w:rPr>
          <w:rFonts w:ascii="Arial" w:hAnsi="Arial" w:cs="Arial"/>
          <w:sz w:val="24"/>
          <w:szCs w:val="24"/>
        </w:rPr>
      </w:pPr>
    </w:p>
    <w:p w14:paraId="004881F3" w14:textId="77777777" w:rsidR="00FA0016" w:rsidRPr="005B5F14" w:rsidRDefault="00FA0016" w:rsidP="00FA0016">
      <w:pPr>
        <w:pStyle w:val="Stednmka1zvraznn21"/>
        <w:numPr>
          <w:ilvl w:val="0"/>
          <w:numId w:val="14"/>
        </w:numPr>
        <w:spacing w:after="0" w:line="240" w:lineRule="auto"/>
        <w:jc w:val="both"/>
        <w:rPr>
          <w:rFonts w:ascii="Arial" w:hAnsi="Arial" w:cs="Arial"/>
          <w:sz w:val="24"/>
          <w:szCs w:val="24"/>
        </w:rPr>
      </w:pPr>
      <w:r w:rsidRPr="005B5F14">
        <w:rPr>
          <w:rFonts w:ascii="Arial" w:hAnsi="Arial" w:cs="Arial"/>
          <w:sz w:val="24"/>
          <w:szCs w:val="24"/>
        </w:rPr>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78ADE791" w14:textId="77777777" w:rsidR="00FA0016" w:rsidRPr="005B5F14" w:rsidRDefault="00FA0016" w:rsidP="00FA0016">
      <w:pPr>
        <w:pStyle w:val="Stednmka1zvraznn21"/>
        <w:spacing w:after="0" w:line="240" w:lineRule="auto"/>
        <w:ind w:left="360"/>
        <w:jc w:val="both"/>
        <w:rPr>
          <w:rFonts w:ascii="Arial" w:hAnsi="Arial" w:cs="Arial"/>
          <w:sz w:val="24"/>
          <w:szCs w:val="24"/>
        </w:rPr>
      </w:pPr>
    </w:p>
    <w:p w14:paraId="4299B0E5" w14:textId="77777777" w:rsidR="00FA0016" w:rsidRPr="005B5F14" w:rsidRDefault="00FA0016" w:rsidP="00FA0016">
      <w:pPr>
        <w:pStyle w:val="Stednmka1zvraznn21"/>
        <w:numPr>
          <w:ilvl w:val="0"/>
          <w:numId w:val="14"/>
        </w:numPr>
        <w:spacing w:after="0" w:line="240" w:lineRule="auto"/>
        <w:jc w:val="both"/>
        <w:rPr>
          <w:rFonts w:ascii="Arial" w:hAnsi="Arial" w:cs="Arial"/>
          <w:sz w:val="24"/>
          <w:szCs w:val="24"/>
        </w:rPr>
      </w:pPr>
      <w:r w:rsidRPr="005B5F14">
        <w:rPr>
          <w:rFonts w:ascii="Arial" w:hAnsi="Arial" w:cs="Arial"/>
          <w:sz w:val="24"/>
          <w:szCs w:val="24"/>
        </w:rPr>
        <w:t xml:space="preserve">V případě podstatného porušení této smlouvy některou ze stran má druhá strana právo písemně odstoupit od smlouvy. Odstoupení od smlouvy musí </w:t>
      </w:r>
      <w:r w:rsidRPr="005B5F14">
        <w:rPr>
          <w:rFonts w:ascii="Arial" w:hAnsi="Arial" w:cs="Arial"/>
          <w:sz w:val="24"/>
          <w:szCs w:val="24"/>
        </w:rPr>
        <w:lastRenderedPageBreak/>
        <w:t xml:space="preserve">obsahovat důvod odstoupení a musí být doručeno druhé smluvní straně. V případě nemožnosti doručení odstoupení od smlouvy druhé smluvní straně, se má za to, že je odstoupení doručeno 10. dnem od jeho odeslání druhé smluvní straně. </w:t>
      </w:r>
    </w:p>
    <w:p w14:paraId="1D2415CA" w14:textId="77777777" w:rsidR="00FA0016" w:rsidRPr="005B5F14" w:rsidRDefault="00FA0016" w:rsidP="00FA0016">
      <w:pPr>
        <w:pStyle w:val="Stednmka1zvraznn21"/>
        <w:spacing w:after="0" w:line="240" w:lineRule="auto"/>
        <w:ind w:left="360"/>
        <w:jc w:val="both"/>
        <w:rPr>
          <w:rFonts w:ascii="Arial" w:hAnsi="Arial" w:cs="Arial"/>
          <w:sz w:val="24"/>
          <w:szCs w:val="24"/>
        </w:rPr>
      </w:pPr>
    </w:p>
    <w:p w14:paraId="0C649CA2" w14:textId="6C3FAE46" w:rsidR="00FA0016" w:rsidRPr="005B5F14" w:rsidRDefault="00FA0016" w:rsidP="00FA0016">
      <w:pPr>
        <w:pStyle w:val="Stednmka1zvraznn21"/>
        <w:numPr>
          <w:ilvl w:val="0"/>
          <w:numId w:val="14"/>
        </w:numPr>
        <w:spacing w:after="0" w:line="240" w:lineRule="auto"/>
        <w:jc w:val="both"/>
        <w:rPr>
          <w:rFonts w:ascii="Arial" w:hAnsi="Arial" w:cs="Arial"/>
          <w:sz w:val="24"/>
          <w:szCs w:val="24"/>
        </w:rPr>
      </w:pPr>
      <w:r w:rsidRPr="005B5F14">
        <w:rPr>
          <w:rFonts w:ascii="Arial" w:hAnsi="Arial" w:cs="Arial"/>
          <w:sz w:val="24"/>
          <w:szCs w:val="24"/>
        </w:rPr>
        <w:t>Podstatným porušením smlouvy ze strany Nabyvatele je zejména:</w:t>
      </w:r>
    </w:p>
    <w:p w14:paraId="0AD9B9D0" w14:textId="77777777" w:rsidR="00FA0016" w:rsidRPr="005B5F14" w:rsidRDefault="00FA0016" w:rsidP="00FA0016">
      <w:pPr>
        <w:pStyle w:val="Stednmka1zvraznn21"/>
        <w:spacing w:after="0" w:line="240" w:lineRule="auto"/>
        <w:ind w:left="360"/>
        <w:jc w:val="both"/>
        <w:rPr>
          <w:rFonts w:ascii="Arial" w:hAnsi="Arial" w:cs="Arial"/>
          <w:sz w:val="24"/>
          <w:szCs w:val="24"/>
        </w:rPr>
      </w:pPr>
    </w:p>
    <w:p w14:paraId="5DBA1490" w14:textId="78863DEF" w:rsidR="00FA0016" w:rsidRPr="005B5F14" w:rsidRDefault="00FA0016" w:rsidP="00FA0016">
      <w:pPr>
        <w:pStyle w:val="Stednmka1zvraznn21"/>
        <w:numPr>
          <w:ilvl w:val="1"/>
          <w:numId w:val="14"/>
        </w:numPr>
        <w:spacing w:after="0" w:line="240" w:lineRule="auto"/>
        <w:jc w:val="both"/>
        <w:rPr>
          <w:rFonts w:ascii="Arial" w:hAnsi="Arial" w:cs="Arial"/>
          <w:sz w:val="24"/>
          <w:szCs w:val="24"/>
        </w:rPr>
      </w:pPr>
      <w:r w:rsidRPr="005B5F14">
        <w:rPr>
          <w:rFonts w:ascii="Arial" w:hAnsi="Arial" w:cs="Arial"/>
          <w:sz w:val="24"/>
          <w:szCs w:val="24"/>
        </w:rPr>
        <w:t xml:space="preserve">prodlení s úhradou Odměny </w:t>
      </w:r>
      <w:r w:rsidRPr="005B5F14">
        <w:rPr>
          <w:rFonts w:ascii="Arial" w:hAnsi="Arial" w:cs="Arial"/>
        </w:rPr>
        <w:t>dle čl. II odst. 1a</w:t>
      </w:r>
      <w:r w:rsidR="005A43EC" w:rsidRPr="005B5F14">
        <w:rPr>
          <w:rFonts w:ascii="Arial" w:hAnsi="Arial" w:cs="Arial"/>
        </w:rPr>
        <w:t>)</w:t>
      </w:r>
      <w:r w:rsidRPr="005B5F14">
        <w:rPr>
          <w:rFonts w:ascii="Arial" w:hAnsi="Arial" w:cs="Arial"/>
          <w:sz w:val="24"/>
          <w:szCs w:val="24"/>
        </w:rPr>
        <w:t>;</w:t>
      </w:r>
    </w:p>
    <w:p w14:paraId="46B3B466" w14:textId="77777777" w:rsidR="00FA0016" w:rsidRPr="005B5F14" w:rsidRDefault="00FA0016" w:rsidP="00FA0016">
      <w:pPr>
        <w:pStyle w:val="Stednmka1zvraznn21"/>
        <w:numPr>
          <w:ilvl w:val="1"/>
          <w:numId w:val="14"/>
        </w:numPr>
        <w:spacing w:after="0" w:line="240" w:lineRule="auto"/>
        <w:jc w:val="both"/>
        <w:rPr>
          <w:rFonts w:ascii="Arial" w:hAnsi="Arial" w:cs="Arial"/>
          <w:sz w:val="24"/>
          <w:szCs w:val="24"/>
        </w:rPr>
      </w:pPr>
      <w:r w:rsidRPr="005B5F14">
        <w:rPr>
          <w:rFonts w:ascii="Arial" w:hAnsi="Arial" w:cs="Arial"/>
          <w:sz w:val="24"/>
          <w:szCs w:val="24"/>
        </w:rPr>
        <w:t>prodlení s úhradou jakékoliv části Odměny delší než 2 měsíce;</w:t>
      </w:r>
    </w:p>
    <w:p w14:paraId="771C8FF5" w14:textId="20FCF396" w:rsidR="00FA0016" w:rsidRPr="005B5F14" w:rsidRDefault="00FA0016" w:rsidP="00FA0016">
      <w:pPr>
        <w:pStyle w:val="Stednmka1zvraznn21"/>
        <w:numPr>
          <w:ilvl w:val="1"/>
          <w:numId w:val="14"/>
        </w:numPr>
        <w:spacing w:after="0" w:line="240" w:lineRule="auto"/>
        <w:jc w:val="both"/>
        <w:rPr>
          <w:rFonts w:ascii="Arial" w:hAnsi="Arial" w:cs="Arial"/>
          <w:sz w:val="24"/>
          <w:szCs w:val="24"/>
        </w:rPr>
      </w:pPr>
      <w:r w:rsidRPr="005B5F14">
        <w:rPr>
          <w:rFonts w:ascii="Arial" w:hAnsi="Arial" w:cs="Arial"/>
          <w:sz w:val="24"/>
          <w:szCs w:val="24"/>
        </w:rPr>
        <w:t xml:space="preserve">prodlení s předložením písemné zprávy o stavu využití užitného vzoru a know-how delšího než </w:t>
      </w:r>
      <w:r w:rsidR="001E6ED1">
        <w:rPr>
          <w:rFonts w:ascii="Arial" w:hAnsi="Arial" w:cs="Arial"/>
          <w:sz w:val="24"/>
          <w:szCs w:val="24"/>
        </w:rPr>
        <w:t>2</w:t>
      </w:r>
      <w:r w:rsidRPr="005B5F14">
        <w:rPr>
          <w:rFonts w:ascii="Arial" w:hAnsi="Arial" w:cs="Arial"/>
          <w:sz w:val="24"/>
          <w:szCs w:val="24"/>
        </w:rPr>
        <w:t xml:space="preserve"> měsíc</w:t>
      </w:r>
      <w:r w:rsidR="001E6ED1">
        <w:rPr>
          <w:rFonts w:ascii="Arial" w:hAnsi="Arial" w:cs="Arial"/>
          <w:sz w:val="24"/>
          <w:szCs w:val="24"/>
        </w:rPr>
        <w:t>e</w:t>
      </w:r>
      <w:r w:rsidRPr="005B5F14">
        <w:rPr>
          <w:rFonts w:ascii="Arial" w:hAnsi="Arial" w:cs="Arial"/>
          <w:sz w:val="24"/>
          <w:szCs w:val="24"/>
        </w:rPr>
        <w:t>;</w:t>
      </w:r>
    </w:p>
    <w:p w14:paraId="1DCBA138" w14:textId="77777777" w:rsidR="00FA0016" w:rsidRPr="005B5F14" w:rsidRDefault="00FA0016" w:rsidP="00FA0016">
      <w:pPr>
        <w:pStyle w:val="Stednmka1zvraznn21"/>
        <w:numPr>
          <w:ilvl w:val="1"/>
          <w:numId w:val="14"/>
        </w:numPr>
        <w:spacing w:after="0" w:line="240" w:lineRule="auto"/>
        <w:jc w:val="both"/>
        <w:rPr>
          <w:rFonts w:ascii="Arial" w:hAnsi="Arial" w:cs="Arial"/>
          <w:sz w:val="24"/>
          <w:szCs w:val="24"/>
        </w:rPr>
      </w:pPr>
      <w:r w:rsidRPr="005B5F14">
        <w:rPr>
          <w:rFonts w:ascii="Arial" w:hAnsi="Arial" w:cs="Arial"/>
          <w:sz w:val="24"/>
          <w:szCs w:val="24"/>
        </w:rPr>
        <w:t xml:space="preserve">předložení nepravdivé písemné zprávy o stavu </w:t>
      </w:r>
      <w:r w:rsidRPr="005B5F14">
        <w:rPr>
          <w:rFonts w:ascii="Arial" w:hAnsi="Arial" w:cs="Arial"/>
          <w:i/>
          <w:iCs/>
          <w:sz w:val="24"/>
          <w:szCs w:val="24"/>
        </w:rPr>
        <w:t>know-how</w:t>
      </w:r>
      <w:r w:rsidRPr="005B5F14">
        <w:rPr>
          <w:rFonts w:ascii="Arial" w:hAnsi="Arial" w:cs="Arial"/>
          <w:sz w:val="24"/>
          <w:szCs w:val="24"/>
        </w:rPr>
        <w:t>;</w:t>
      </w:r>
    </w:p>
    <w:p w14:paraId="27F49486" w14:textId="77777777" w:rsidR="00FA0016" w:rsidRPr="005B5F14" w:rsidRDefault="00FA0016" w:rsidP="00FA0016">
      <w:pPr>
        <w:pStyle w:val="Stednmka1zvraznn21"/>
        <w:numPr>
          <w:ilvl w:val="1"/>
          <w:numId w:val="14"/>
        </w:numPr>
        <w:spacing w:after="0" w:line="240" w:lineRule="auto"/>
        <w:jc w:val="both"/>
        <w:rPr>
          <w:rFonts w:ascii="Arial" w:hAnsi="Arial" w:cs="Arial"/>
          <w:sz w:val="24"/>
          <w:szCs w:val="24"/>
        </w:rPr>
      </w:pPr>
      <w:r w:rsidRPr="005B5F14">
        <w:rPr>
          <w:rFonts w:ascii="Arial" w:hAnsi="Arial" w:cs="Arial"/>
          <w:sz w:val="24"/>
          <w:szCs w:val="24"/>
        </w:rPr>
        <w:t>porušení povinnosti mlčenlivosti dle čl. IV této smlouvy;</w:t>
      </w:r>
    </w:p>
    <w:p w14:paraId="6CF28E7A" w14:textId="77777777" w:rsidR="00FA0016" w:rsidRPr="005B5F14" w:rsidRDefault="00FA0016" w:rsidP="00FA0016">
      <w:pPr>
        <w:pStyle w:val="Stednmka1zvraznn21"/>
        <w:spacing w:after="0" w:line="240" w:lineRule="auto"/>
        <w:ind w:left="0"/>
        <w:jc w:val="both"/>
        <w:rPr>
          <w:rFonts w:ascii="Arial" w:hAnsi="Arial" w:cs="Arial"/>
          <w:sz w:val="24"/>
          <w:szCs w:val="24"/>
        </w:rPr>
      </w:pPr>
    </w:p>
    <w:p w14:paraId="3050C832" w14:textId="2F6E93AD" w:rsidR="00FA0016" w:rsidRPr="005B5F14" w:rsidRDefault="00FA0016" w:rsidP="00FA0016">
      <w:pPr>
        <w:pStyle w:val="Stednmka1zvraznn21"/>
        <w:numPr>
          <w:ilvl w:val="0"/>
          <w:numId w:val="14"/>
        </w:numPr>
        <w:spacing w:after="0" w:line="240" w:lineRule="auto"/>
        <w:jc w:val="both"/>
        <w:rPr>
          <w:rFonts w:ascii="Arial" w:hAnsi="Arial" w:cs="Arial"/>
          <w:sz w:val="24"/>
          <w:szCs w:val="24"/>
        </w:rPr>
      </w:pPr>
      <w:r w:rsidRPr="005B5F14">
        <w:rPr>
          <w:rFonts w:ascii="Arial" w:hAnsi="Arial" w:cs="Arial"/>
          <w:sz w:val="24"/>
          <w:szCs w:val="24"/>
        </w:rPr>
        <w:t>Podstatným porušením smlouvy ze strany Poskytovatele je zejména:</w:t>
      </w:r>
    </w:p>
    <w:p w14:paraId="261CF2F8" w14:textId="77777777" w:rsidR="00FA0016" w:rsidRPr="005B5F14" w:rsidRDefault="00FA0016" w:rsidP="00FA0016">
      <w:pPr>
        <w:pStyle w:val="Stednmka1zvraznn21"/>
        <w:spacing w:after="0" w:line="240" w:lineRule="auto"/>
        <w:ind w:left="0"/>
        <w:jc w:val="both"/>
        <w:rPr>
          <w:rFonts w:ascii="Arial" w:hAnsi="Arial" w:cs="Arial"/>
          <w:sz w:val="24"/>
          <w:szCs w:val="24"/>
        </w:rPr>
      </w:pPr>
    </w:p>
    <w:p w14:paraId="3FA1CE8A" w14:textId="77777777" w:rsidR="00FA0016" w:rsidRPr="005B5F14" w:rsidRDefault="00FA0016" w:rsidP="00FA0016">
      <w:pPr>
        <w:pStyle w:val="Stednmka1zvraznn21"/>
        <w:numPr>
          <w:ilvl w:val="1"/>
          <w:numId w:val="14"/>
        </w:numPr>
        <w:spacing w:after="0" w:line="240" w:lineRule="auto"/>
        <w:jc w:val="both"/>
        <w:rPr>
          <w:rFonts w:ascii="Arial" w:hAnsi="Arial" w:cs="Arial"/>
          <w:sz w:val="24"/>
          <w:szCs w:val="24"/>
        </w:rPr>
      </w:pPr>
      <w:r w:rsidRPr="005B5F14">
        <w:rPr>
          <w:rFonts w:ascii="Arial" w:hAnsi="Arial" w:cs="Arial"/>
          <w:sz w:val="24"/>
          <w:szCs w:val="24"/>
        </w:rPr>
        <w:t>porušení povinnosti mlčenlivosti dle čl. IV této smlouvy.</w:t>
      </w:r>
    </w:p>
    <w:p w14:paraId="3D7D51AF" w14:textId="77777777" w:rsidR="00FA0016" w:rsidRPr="005B5F14" w:rsidRDefault="00FA0016" w:rsidP="00FA0016">
      <w:pPr>
        <w:pStyle w:val="Stednmka1zvraznn21"/>
        <w:numPr>
          <w:ilvl w:val="1"/>
          <w:numId w:val="14"/>
        </w:numPr>
        <w:spacing w:after="0" w:line="240" w:lineRule="auto"/>
        <w:jc w:val="both"/>
        <w:rPr>
          <w:rFonts w:ascii="Arial" w:hAnsi="Arial" w:cs="Arial"/>
          <w:sz w:val="24"/>
          <w:szCs w:val="24"/>
        </w:rPr>
      </w:pPr>
      <w:r w:rsidRPr="005B5F14">
        <w:rPr>
          <w:rFonts w:ascii="Arial" w:hAnsi="Arial" w:cs="Arial"/>
          <w:sz w:val="24"/>
          <w:szCs w:val="24"/>
        </w:rPr>
        <w:t>Neposkytování nutné součinnosti dle této smlouvy</w:t>
      </w:r>
    </w:p>
    <w:p w14:paraId="0BB38058" w14:textId="77777777" w:rsidR="00FA0016" w:rsidRPr="005B5F14" w:rsidRDefault="00FA0016" w:rsidP="00FA0016">
      <w:pPr>
        <w:pStyle w:val="Stednmka1zvraznn21"/>
        <w:spacing w:after="0" w:line="240" w:lineRule="auto"/>
        <w:ind w:left="0"/>
        <w:jc w:val="both"/>
        <w:rPr>
          <w:rFonts w:ascii="Arial" w:hAnsi="Arial" w:cs="Arial"/>
          <w:sz w:val="24"/>
          <w:szCs w:val="24"/>
        </w:rPr>
      </w:pPr>
    </w:p>
    <w:p w14:paraId="004F5450" w14:textId="0B1CC9A0" w:rsidR="00FA0016" w:rsidRPr="005B5F14" w:rsidRDefault="00FA0016" w:rsidP="00FA0016">
      <w:pPr>
        <w:pStyle w:val="Stednmka1zvraznn21"/>
        <w:numPr>
          <w:ilvl w:val="0"/>
          <w:numId w:val="14"/>
        </w:numPr>
        <w:spacing w:after="0" w:line="240" w:lineRule="auto"/>
        <w:jc w:val="both"/>
        <w:rPr>
          <w:rFonts w:ascii="Arial" w:hAnsi="Arial" w:cs="Arial"/>
          <w:sz w:val="24"/>
          <w:szCs w:val="24"/>
        </w:rPr>
      </w:pPr>
      <w:r w:rsidRPr="005B5F14">
        <w:rPr>
          <w:rFonts w:ascii="Arial" w:hAnsi="Arial" w:cs="Arial"/>
          <w:sz w:val="24"/>
          <w:szCs w:val="24"/>
        </w:rPr>
        <w:t>Poskytovatel má právo odstoupit od smlouvy v případě, že je Nabyvatel v úpadku.</w:t>
      </w:r>
    </w:p>
    <w:p w14:paraId="7E623835" w14:textId="77777777" w:rsidR="00FA0016" w:rsidRPr="005B5F14" w:rsidRDefault="00FA0016" w:rsidP="00FA0016">
      <w:pPr>
        <w:pStyle w:val="Stednmka1zvraznn21"/>
        <w:spacing w:after="0" w:line="240" w:lineRule="auto"/>
        <w:ind w:left="360"/>
        <w:jc w:val="both"/>
        <w:rPr>
          <w:rFonts w:ascii="Arial" w:hAnsi="Arial" w:cs="Arial"/>
          <w:sz w:val="24"/>
          <w:szCs w:val="24"/>
        </w:rPr>
      </w:pPr>
    </w:p>
    <w:p w14:paraId="19133D79" w14:textId="78FF9E91" w:rsidR="00FA0016" w:rsidRPr="005B5F14" w:rsidRDefault="00FA0016" w:rsidP="00FA0016">
      <w:pPr>
        <w:pStyle w:val="Stednmka1zvraznn21"/>
        <w:numPr>
          <w:ilvl w:val="0"/>
          <w:numId w:val="14"/>
        </w:numPr>
        <w:spacing w:after="0" w:line="240" w:lineRule="auto"/>
        <w:jc w:val="both"/>
        <w:rPr>
          <w:rFonts w:ascii="Arial" w:hAnsi="Arial" w:cs="Arial"/>
          <w:sz w:val="24"/>
          <w:szCs w:val="24"/>
        </w:rPr>
      </w:pPr>
      <w:r w:rsidRPr="005B5F14">
        <w:rPr>
          <w:rFonts w:ascii="Arial" w:hAnsi="Arial" w:cs="Arial"/>
          <w:sz w:val="24"/>
          <w:szCs w:val="24"/>
        </w:rPr>
        <w:t xml:space="preserve">Ke dni ukončení platnosti této smlouvy, je Nabyvatel povinen informovat Poskytovatele o všech skutečnostech rozhodných </w:t>
      </w:r>
      <w:r w:rsidRPr="005B5F14">
        <w:rPr>
          <w:rFonts w:ascii="Arial" w:hAnsi="Arial" w:cs="Arial"/>
        </w:rPr>
        <w:t>ke zjištění skutečné výše Odměny dle čl. II odst. 1b</w:t>
      </w:r>
      <w:r w:rsidR="005A43EC" w:rsidRPr="005B5F14">
        <w:rPr>
          <w:rFonts w:ascii="Arial" w:hAnsi="Arial" w:cs="Arial"/>
        </w:rPr>
        <w:t>)</w:t>
      </w:r>
      <w:r w:rsidRPr="005B5F14">
        <w:rPr>
          <w:rFonts w:ascii="Arial" w:hAnsi="Arial" w:cs="Arial"/>
          <w:sz w:val="24"/>
          <w:szCs w:val="24"/>
        </w:rPr>
        <w:t xml:space="preserve"> podle této smlouvy v průběhu jejího trvání. </w:t>
      </w:r>
    </w:p>
    <w:p w14:paraId="122A0255" w14:textId="23198441" w:rsidR="00FA0016" w:rsidRDefault="00FA0016" w:rsidP="00FA0016">
      <w:pPr>
        <w:pStyle w:val="Default"/>
        <w:spacing w:line="240" w:lineRule="auto"/>
        <w:ind w:left="284"/>
        <w:jc w:val="both"/>
        <w:rPr>
          <w:rFonts w:ascii="Arial" w:hAnsi="Arial" w:cs="Arial"/>
        </w:rPr>
      </w:pPr>
    </w:p>
    <w:p w14:paraId="012DC89B" w14:textId="77777777" w:rsidR="00B67C4A" w:rsidRDefault="00B67C4A" w:rsidP="00FA0016">
      <w:pPr>
        <w:pStyle w:val="Default"/>
        <w:spacing w:line="240" w:lineRule="auto"/>
        <w:jc w:val="center"/>
        <w:rPr>
          <w:rFonts w:ascii="Arial" w:hAnsi="Arial" w:cs="Arial"/>
          <w:b/>
        </w:rPr>
      </w:pPr>
    </w:p>
    <w:p w14:paraId="7FC3C756" w14:textId="78F59A4F" w:rsidR="00FA0016" w:rsidRPr="005B5F14" w:rsidRDefault="00FA0016" w:rsidP="00FA0016">
      <w:pPr>
        <w:pStyle w:val="Default"/>
        <w:spacing w:line="240" w:lineRule="auto"/>
        <w:jc w:val="center"/>
        <w:rPr>
          <w:rFonts w:ascii="Arial" w:hAnsi="Arial" w:cs="Arial"/>
          <w:b/>
        </w:rPr>
      </w:pPr>
      <w:r w:rsidRPr="005B5F14">
        <w:rPr>
          <w:rFonts w:ascii="Arial" w:hAnsi="Arial" w:cs="Arial"/>
          <w:b/>
        </w:rPr>
        <w:t>Článek VI.</w:t>
      </w:r>
    </w:p>
    <w:p w14:paraId="14C33664" w14:textId="77777777" w:rsidR="00FA0016" w:rsidRPr="005B5F14" w:rsidRDefault="00FA0016" w:rsidP="00FA0016">
      <w:pPr>
        <w:pStyle w:val="Default"/>
        <w:spacing w:line="240" w:lineRule="auto"/>
        <w:jc w:val="center"/>
        <w:rPr>
          <w:rFonts w:ascii="Arial" w:hAnsi="Arial" w:cs="Arial"/>
          <w:b/>
        </w:rPr>
      </w:pPr>
      <w:r w:rsidRPr="005B5F14">
        <w:rPr>
          <w:rFonts w:ascii="Arial" w:hAnsi="Arial" w:cs="Arial"/>
          <w:b/>
        </w:rPr>
        <w:t>Smluvní pokuty</w:t>
      </w:r>
    </w:p>
    <w:p w14:paraId="200A4F74" w14:textId="77777777" w:rsidR="00FA0016" w:rsidRPr="005B5F14" w:rsidRDefault="00FA0016" w:rsidP="00FA0016">
      <w:pPr>
        <w:pStyle w:val="Default"/>
        <w:spacing w:line="240" w:lineRule="auto"/>
        <w:rPr>
          <w:rFonts w:ascii="Arial" w:hAnsi="Arial" w:cs="Arial"/>
          <w:b/>
        </w:rPr>
      </w:pPr>
    </w:p>
    <w:p w14:paraId="4696E6AA" w14:textId="77777777" w:rsidR="00FA0016" w:rsidRPr="005B5F14" w:rsidRDefault="00FA0016" w:rsidP="00FA0016">
      <w:pPr>
        <w:pStyle w:val="Default"/>
        <w:numPr>
          <w:ilvl w:val="0"/>
          <w:numId w:val="17"/>
        </w:numPr>
        <w:spacing w:line="240" w:lineRule="auto"/>
        <w:jc w:val="both"/>
        <w:rPr>
          <w:rFonts w:ascii="Arial" w:hAnsi="Arial" w:cs="Arial"/>
        </w:rPr>
      </w:pPr>
      <w:r w:rsidRPr="005B5F14">
        <w:rPr>
          <w:rFonts w:ascii="Arial" w:hAnsi="Arial" w:cs="Arial"/>
        </w:rPr>
        <w:t xml:space="preserve">Pro případ prodlení s placením jakéhokoliv peněžitého závazku dle této smlouvy sjednávají smluvní strany smluvní pokutu ve výši 0,05% z dlužné částky za každý den prodlení až do úplného zaplacení dlužné částky. </w:t>
      </w:r>
    </w:p>
    <w:p w14:paraId="261BD336" w14:textId="77777777" w:rsidR="00FA0016" w:rsidRPr="005B5F14" w:rsidRDefault="00FA0016" w:rsidP="00FA0016">
      <w:pPr>
        <w:pStyle w:val="Default"/>
        <w:spacing w:line="240" w:lineRule="auto"/>
        <w:ind w:left="360"/>
        <w:jc w:val="both"/>
        <w:rPr>
          <w:rFonts w:ascii="Arial" w:hAnsi="Arial" w:cs="Arial"/>
        </w:rPr>
      </w:pPr>
    </w:p>
    <w:p w14:paraId="2DBA1625" w14:textId="12D3CF12" w:rsidR="00733C24" w:rsidRDefault="00FA0016" w:rsidP="00FA0016">
      <w:pPr>
        <w:pStyle w:val="Default"/>
        <w:numPr>
          <w:ilvl w:val="0"/>
          <w:numId w:val="17"/>
        </w:numPr>
        <w:spacing w:line="240" w:lineRule="auto"/>
        <w:jc w:val="both"/>
        <w:rPr>
          <w:rFonts w:ascii="Arial" w:hAnsi="Arial" w:cs="Arial"/>
        </w:rPr>
      </w:pPr>
      <w:r w:rsidRPr="005B5F14">
        <w:rPr>
          <w:rFonts w:ascii="Arial" w:hAnsi="Arial" w:cs="Arial"/>
        </w:rPr>
        <w:t>Pro případ porušení povinností Nabyvatele</w:t>
      </w:r>
      <w:r w:rsidR="00733C24">
        <w:rPr>
          <w:rFonts w:ascii="Arial" w:hAnsi="Arial" w:cs="Arial"/>
        </w:rPr>
        <w:t xml:space="preserve"> nebo Poskytovatele</w:t>
      </w:r>
      <w:r w:rsidRPr="005B5F14">
        <w:rPr>
          <w:rFonts w:ascii="Arial" w:hAnsi="Arial" w:cs="Arial"/>
        </w:rPr>
        <w:t xml:space="preserve"> uvedených v čl. IV</w:t>
      </w:r>
      <w:r w:rsidR="00733C24">
        <w:rPr>
          <w:rFonts w:ascii="Arial" w:hAnsi="Arial" w:cs="Arial"/>
        </w:rPr>
        <w:t xml:space="preserve"> (taktéž v čl. IV odst. 6e) a odst. 7b) )</w:t>
      </w:r>
      <w:r w:rsidRPr="005B5F14">
        <w:rPr>
          <w:rFonts w:ascii="Arial" w:hAnsi="Arial" w:cs="Arial"/>
        </w:rPr>
        <w:t xml:space="preserve"> této smlouvy </w:t>
      </w:r>
      <w:r w:rsidR="00733C24">
        <w:rPr>
          <w:rFonts w:ascii="Arial" w:hAnsi="Arial" w:cs="Arial"/>
        </w:rPr>
        <w:t>je výše pokuty uvedena v čl IV odst. 12 této smlouvy.</w:t>
      </w:r>
    </w:p>
    <w:p w14:paraId="56F0647A" w14:textId="77777777" w:rsidR="00733C24" w:rsidRDefault="00733C24" w:rsidP="00733C24">
      <w:pPr>
        <w:pStyle w:val="Odstavecseseznamem"/>
        <w:rPr>
          <w:rFonts w:ascii="Arial" w:hAnsi="Arial" w:cs="Arial"/>
        </w:rPr>
      </w:pPr>
    </w:p>
    <w:p w14:paraId="3C4AC1F0" w14:textId="498397D5" w:rsidR="00733C24" w:rsidRDefault="00FA0016" w:rsidP="00FA0016">
      <w:pPr>
        <w:pStyle w:val="Default"/>
        <w:numPr>
          <w:ilvl w:val="0"/>
          <w:numId w:val="17"/>
        </w:numPr>
        <w:spacing w:line="240" w:lineRule="auto"/>
        <w:jc w:val="both"/>
        <w:rPr>
          <w:rFonts w:ascii="Arial" w:hAnsi="Arial" w:cs="Arial"/>
        </w:rPr>
      </w:pPr>
      <w:r w:rsidRPr="005B5F14">
        <w:rPr>
          <w:rFonts w:ascii="Arial" w:hAnsi="Arial" w:cs="Arial"/>
        </w:rPr>
        <w:t xml:space="preserve">Pro případ podstatného porušení smlouvy ze strany Nabyvatele vyjmenovaného v čl. V odst. </w:t>
      </w:r>
      <w:r w:rsidR="00733C24">
        <w:rPr>
          <w:rFonts w:ascii="Arial" w:hAnsi="Arial" w:cs="Arial"/>
        </w:rPr>
        <w:t>6</w:t>
      </w:r>
      <w:r w:rsidRPr="005B5F14">
        <w:rPr>
          <w:rFonts w:ascii="Arial" w:hAnsi="Arial" w:cs="Arial"/>
        </w:rPr>
        <w:t xml:space="preserve"> písmena a) až </w:t>
      </w:r>
      <w:r w:rsidR="00733C24">
        <w:rPr>
          <w:rFonts w:ascii="Arial" w:hAnsi="Arial" w:cs="Arial"/>
        </w:rPr>
        <w:t>c</w:t>
      </w:r>
      <w:r w:rsidRPr="005B5F14">
        <w:rPr>
          <w:rFonts w:ascii="Arial" w:hAnsi="Arial" w:cs="Arial"/>
        </w:rPr>
        <w:t xml:space="preserve">) této smlouvy si smluvní strany ujednávají smluvní pokutu ve výši 5 000,--Kč za každé jednotlivé porušení. </w:t>
      </w:r>
    </w:p>
    <w:p w14:paraId="2FF4D0A5" w14:textId="77777777" w:rsidR="00733C24" w:rsidRDefault="00733C24" w:rsidP="00733C24">
      <w:pPr>
        <w:pStyle w:val="Odstavecseseznamem"/>
        <w:rPr>
          <w:rFonts w:ascii="Arial" w:hAnsi="Arial" w:cs="Arial"/>
        </w:rPr>
      </w:pPr>
    </w:p>
    <w:p w14:paraId="5DF508CE" w14:textId="302AE275" w:rsidR="00733C24" w:rsidRDefault="00733C24" w:rsidP="00733C24">
      <w:pPr>
        <w:pStyle w:val="Default"/>
        <w:numPr>
          <w:ilvl w:val="0"/>
          <w:numId w:val="17"/>
        </w:numPr>
        <w:spacing w:line="240" w:lineRule="auto"/>
        <w:jc w:val="both"/>
        <w:rPr>
          <w:rFonts w:ascii="Arial" w:hAnsi="Arial" w:cs="Arial"/>
        </w:rPr>
      </w:pPr>
      <w:r w:rsidRPr="005B5F14">
        <w:rPr>
          <w:rFonts w:ascii="Arial" w:hAnsi="Arial" w:cs="Arial"/>
        </w:rPr>
        <w:t xml:space="preserve">Pro případ podstatného porušení smlouvy ze strany Nabyvatele vyjmenovaného v čl. V odst. </w:t>
      </w:r>
      <w:r>
        <w:rPr>
          <w:rFonts w:ascii="Arial" w:hAnsi="Arial" w:cs="Arial"/>
        </w:rPr>
        <w:t>6</w:t>
      </w:r>
      <w:r w:rsidRPr="005B5F14">
        <w:rPr>
          <w:rFonts w:ascii="Arial" w:hAnsi="Arial" w:cs="Arial"/>
        </w:rPr>
        <w:t xml:space="preserve"> písmena </w:t>
      </w:r>
      <w:r>
        <w:rPr>
          <w:rFonts w:ascii="Arial" w:hAnsi="Arial" w:cs="Arial"/>
        </w:rPr>
        <w:t>d)</w:t>
      </w:r>
      <w:r w:rsidRPr="005B5F14">
        <w:rPr>
          <w:rFonts w:ascii="Arial" w:hAnsi="Arial" w:cs="Arial"/>
        </w:rPr>
        <w:t xml:space="preserve"> a</w:t>
      </w:r>
      <w:r>
        <w:rPr>
          <w:rFonts w:ascii="Arial" w:hAnsi="Arial" w:cs="Arial"/>
        </w:rPr>
        <w:t xml:space="preserve"> opakovaného porušení </w:t>
      </w:r>
      <w:r w:rsidR="00E22D01">
        <w:rPr>
          <w:rFonts w:ascii="Arial" w:hAnsi="Arial" w:cs="Arial"/>
        </w:rPr>
        <w:lastRenderedPageBreak/>
        <w:t>(ve</w:t>
      </w:r>
      <w:r w:rsidR="001B2298" w:rsidRPr="005B5F14">
        <w:rPr>
          <w:rFonts w:ascii="Arial" w:hAnsi="Arial" w:cs="Arial"/>
        </w:rPr>
        <w:t> </w:t>
      </w:r>
      <w:r w:rsidR="00E22D01">
        <w:rPr>
          <w:rFonts w:ascii="Arial" w:hAnsi="Arial" w:cs="Arial"/>
        </w:rPr>
        <w:t>smyslu nepředložení písemné zprávy o stavu využití know</w:t>
      </w:r>
      <w:r w:rsidR="00C05208">
        <w:rPr>
          <w:rFonts w:ascii="Arial" w:hAnsi="Arial" w:cs="Arial"/>
        </w:rPr>
        <w:t>-</w:t>
      </w:r>
      <w:r w:rsidR="00E22D01">
        <w:rPr>
          <w:rFonts w:ascii="Arial" w:hAnsi="Arial" w:cs="Arial"/>
        </w:rPr>
        <w:t xml:space="preserve">how i přes výzvu k předložení ze strany Poskytovatele) </w:t>
      </w:r>
      <w:r>
        <w:rPr>
          <w:rFonts w:ascii="Arial" w:hAnsi="Arial" w:cs="Arial"/>
        </w:rPr>
        <w:t xml:space="preserve">dle čl. V odst. </w:t>
      </w:r>
      <w:r w:rsidR="00E22D01">
        <w:rPr>
          <w:rFonts w:ascii="Arial" w:hAnsi="Arial" w:cs="Arial"/>
        </w:rPr>
        <w:t>6c)</w:t>
      </w:r>
      <w:r>
        <w:rPr>
          <w:rFonts w:ascii="Arial" w:hAnsi="Arial" w:cs="Arial"/>
        </w:rPr>
        <w:t xml:space="preserve"> písmena</w:t>
      </w:r>
      <w:r w:rsidRPr="005B5F14">
        <w:rPr>
          <w:rFonts w:ascii="Arial" w:hAnsi="Arial" w:cs="Arial"/>
        </w:rPr>
        <w:t xml:space="preserve"> této smlouvy si smluvní strany ujednávají smluvní pokutu ve výši 5</w:t>
      </w:r>
      <w:r>
        <w:rPr>
          <w:rFonts w:ascii="Arial" w:hAnsi="Arial" w:cs="Arial"/>
        </w:rPr>
        <w:t>0</w:t>
      </w:r>
      <w:r w:rsidRPr="005B5F14">
        <w:rPr>
          <w:rFonts w:ascii="Arial" w:hAnsi="Arial" w:cs="Arial"/>
        </w:rPr>
        <w:t> 000,--Kč za</w:t>
      </w:r>
      <w:r w:rsidR="004D495B" w:rsidRPr="004D495B">
        <w:rPr>
          <w:rFonts w:ascii="Arial" w:hAnsi="Arial" w:cs="Arial"/>
        </w:rPr>
        <w:t> </w:t>
      </w:r>
      <w:r w:rsidRPr="005B5F14">
        <w:rPr>
          <w:rFonts w:ascii="Arial" w:hAnsi="Arial" w:cs="Arial"/>
        </w:rPr>
        <w:t xml:space="preserve">každé jednotlivé porušení. </w:t>
      </w:r>
    </w:p>
    <w:p w14:paraId="5423235B" w14:textId="77777777" w:rsidR="00E22D01" w:rsidRDefault="00E22D01" w:rsidP="00E22D01">
      <w:pPr>
        <w:pStyle w:val="Odstavecseseznamem"/>
        <w:rPr>
          <w:rFonts w:ascii="Arial" w:hAnsi="Arial" w:cs="Arial"/>
        </w:rPr>
      </w:pPr>
    </w:p>
    <w:p w14:paraId="631038FE" w14:textId="3BAC0669" w:rsidR="00E22D01" w:rsidRDefault="00E22D01" w:rsidP="00E22D01">
      <w:pPr>
        <w:pStyle w:val="Default"/>
        <w:numPr>
          <w:ilvl w:val="0"/>
          <w:numId w:val="17"/>
        </w:numPr>
        <w:spacing w:line="240" w:lineRule="auto"/>
        <w:jc w:val="both"/>
        <w:rPr>
          <w:rFonts w:ascii="Arial" w:hAnsi="Arial" w:cs="Arial"/>
        </w:rPr>
      </w:pPr>
      <w:r w:rsidRPr="005B5F14">
        <w:rPr>
          <w:rFonts w:ascii="Arial" w:hAnsi="Arial" w:cs="Arial"/>
        </w:rPr>
        <w:t xml:space="preserve">Pro případ </w:t>
      </w:r>
      <w:r>
        <w:rPr>
          <w:rFonts w:ascii="Arial" w:hAnsi="Arial" w:cs="Arial"/>
        </w:rPr>
        <w:t>opakovaného podstatného porušení smlouvy ze strany Poskytovatele (ve smyslu neposkytnutí nutné součinnosti Nabyvateli i přes výzvu Nabyvatele) dle čl. V odst. 7 písmena</w:t>
      </w:r>
      <w:r w:rsidRPr="005B5F14">
        <w:rPr>
          <w:rFonts w:ascii="Arial" w:hAnsi="Arial" w:cs="Arial"/>
        </w:rPr>
        <w:t xml:space="preserve"> </w:t>
      </w:r>
      <w:r>
        <w:rPr>
          <w:rFonts w:ascii="Arial" w:hAnsi="Arial" w:cs="Arial"/>
        </w:rPr>
        <w:t xml:space="preserve">b) </w:t>
      </w:r>
      <w:r w:rsidRPr="005B5F14">
        <w:rPr>
          <w:rFonts w:ascii="Arial" w:hAnsi="Arial" w:cs="Arial"/>
        </w:rPr>
        <w:t>této smlouvy si smluvní strany ujednávají smluvní pokutu ve výši</w:t>
      </w:r>
      <w:r>
        <w:rPr>
          <w:rFonts w:ascii="Arial" w:hAnsi="Arial" w:cs="Arial"/>
        </w:rPr>
        <w:t xml:space="preserve"> 25</w:t>
      </w:r>
      <w:r w:rsidRPr="005B5F14">
        <w:rPr>
          <w:rFonts w:ascii="Arial" w:hAnsi="Arial" w:cs="Arial"/>
        </w:rPr>
        <w:t xml:space="preserve"> 000,--Kč za každé jednotlivé porušení. </w:t>
      </w:r>
    </w:p>
    <w:p w14:paraId="53DA84C3" w14:textId="77777777" w:rsidR="00FA0016" w:rsidRPr="005B5F14" w:rsidRDefault="00FA0016" w:rsidP="00E22D01">
      <w:pPr>
        <w:pStyle w:val="Default"/>
        <w:spacing w:line="240" w:lineRule="auto"/>
        <w:jc w:val="both"/>
        <w:rPr>
          <w:rFonts w:ascii="Arial" w:hAnsi="Arial" w:cs="Arial"/>
        </w:rPr>
      </w:pPr>
    </w:p>
    <w:p w14:paraId="627BB457" w14:textId="517ED12C" w:rsidR="00FA0016" w:rsidRDefault="00FA0016" w:rsidP="00FA0016">
      <w:pPr>
        <w:pStyle w:val="Default"/>
        <w:numPr>
          <w:ilvl w:val="0"/>
          <w:numId w:val="17"/>
        </w:numPr>
        <w:spacing w:line="240" w:lineRule="auto"/>
        <w:jc w:val="both"/>
        <w:rPr>
          <w:rFonts w:ascii="Arial" w:hAnsi="Arial" w:cs="Arial"/>
        </w:rPr>
      </w:pPr>
      <w:r w:rsidRPr="005B5F14">
        <w:rPr>
          <w:rFonts w:ascii="Arial" w:hAnsi="Arial" w:cs="Arial"/>
        </w:rPr>
        <w:t>Smluvní pokuta je splatná do 10 /slovy: deseti/ dnů ode dne, kdy bude druhé straně doručena písemná výzva na doručovací adresu k její úhradě. V případě, že se písemnou výzvu k úhradě smluvní pokuty nepodaří doručit druhé smluvní straně, má se za to, že byla doručena třetím dnem po odeslání druhé smluvní straně. Vedle nároku na smluvní pokutu zůstává zachován nárok na náhradu škody v plném rozsahu.</w:t>
      </w:r>
    </w:p>
    <w:p w14:paraId="5E7A467D" w14:textId="77777777" w:rsidR="00E22D01" w:rsidRDefault="00E22D01" w:rsidP="00E22D01">
      <w:pPr>
        <w:pStyle w:val="Odstavecseseznamem"/>
        <w:rPr>
          <w:rFonts w:ascii="Arial" w:hAnsi="Arial" w:cs="Arial"/>
        </w:rPr>
      </w:pPr>
    </w:p>
    <w:p w14:paraId="34E9F454" w14:textId="77777777" w:rsidR="00E22D01" w:rsidRPr="005B5F14" w:rsidRDefault="00E22D01" w:rsidP="00E22D01">
      <w:pPr>
        <w:pStyle w:val="Default"/>
        <w:spacing w:line="240" w:lineRule="auto"/>
        <w:jc w:val="both"/>
        <w:rPr>
          <w:rFonts w:ascii="Arial" w:hAnsi="Arial" w:cs="Arial"/>
        </w:rPr>
      </w:pPr>
    </w:p>
    <w:p w14:paraId="3F162842" w14:textId="77777777" w:rsidR="00FA0016" w:rsidRPr="005B5F14" w:rsidRDefault="00FA0016" w:rsidP="00FA0016">
      <w:pPr>
        <w:pStyle w:val="Default"/>
        <w:spacing w:line="240" w:lineRule="auto"/>
        <w:jc w:val="center"/>
        <w:rPr>
          <w:rFonts w:ascii="Arial" w:hAnsi="Arial" w:cs="Arial"/>
          <w:b/>
          <w:bCs/>
          <w:color w:val="auto"/>
        </w:rPr>
      </w:pPr>
      <w:r w:rsidRPr="005B5F14">
        <w:rPr>
          <w:rFonts w:ascii="Arial" w:hAnsi="Arial" w:cs="Arial"/>
          <w:b/>
          <w:bCs/>
          <w:color w:val="auto"/>
        </w:rPr>
        <w:t>Článek VII.</w:t>
      </w:r>
    </w:p>
    <w:p w14:paraId="50133F12" w14:textId="77777777" w:rsidR="00FA0016" w:rsidRPr="005B5F14" w:rsidRDefault="00FA0016" w:rsidP="00FA0016">
      <w:pPr>
        <w:pStyle w:val="Default"/>
        <w:spacing w:line="240" w:lineRule="auto"/>
        <w:jc w:val="center"/>
        <w:rPr>
          <w:rFonts w:ascii="Arial" w:hAnsi="Arial" w:cs="Arial"/>
          <w:b/>
          <w:bCs/>
        </w:rPr>
      </w:pPr>
      <w:r w:rsidRPr="005B5F14">
        <w:rPr>
          <w:rFonts w:ascii="Arial" w:hAnsi="Arial" w:cs="Arial"/>
          <w:b/>
          <w:bCs/>
        </w:rPr>
        <w:t>Závěrečná ustanovení</w:t>
      </w:r>
    </w:p>
    <w:p w14:paraId="0D67803E" w14:textId="77777777" w:rsidR="00FA0016" w:rsidRPr="005B5F14" w:rsidRDefault="00FA0016" w:rsidP="00FA0016">
      <w:pPr>
        <w:pStyle w:val="Default"/>
        <w:spacing w:line="240" w:lineRule="auto"/>
        <w:rPr>
          <w:rFonts w:ascii="Arial" w:hAnsi="Arial" w:cs="Arial"/>
          <w:b/>
          <w:bCs/>
        </w:rPr>
      </w:pPr>
    </w:p>
    <w:p w14:paraId="56AF70D0" w14:textId="77777777" w:rsidR="00FA0016" w:rsidRPr="005B5F14" w:rsidRDefault="00FA0016" w:rsidP="00FA0016">
      <w:pPr>
        <w:numPr>
          <w:ilvl w:val="0"/>
          <w:numId w:val="16"/>
        </w:numPr>
        <w:spacing w:after="0" w:line="240" w:lineRule="auto"/>
        <w:outlineLvl w:val="0"/>
        <w:rPr>
          <w:rFonts w:ascii="Arial" w:hAnsi="Arial" w:cs="Arial"/>
          <w:b/>
          <w:sz w:val="24"/>
          <w:szCs w:val="24"/>
        </w:rPr>
      </w:pPr>
      <w:r w:rsidRPr="005B5F14">
        <w:rPr>
          <w:rFonts w:ascii="Arial" w:hAnsi="Arial" w:cs="Arial"/>
          <w:sz w:val="24"/>
          <w:szCs w:val="24"/>
        </w:rPr>
        <w:t>Tato Smlouva nabývá platnosti a účinnosti dnem jejího podpisu oběma Smluvními stranami.</w:t>
      </w:r>
    </w:p>
    <w:p w14:paraId="2387AE6F" w14:textId="77777777" w:rsidR="00FA0016" w:rsidRPr="005B5F14" w:rsidRDefault="00FA0016" w:rsidP="00FA0016">
      <w:pPr>
        <w:spacing w:line="240" w:lineRule="auto"/>
        <w:ind w:left="360"/>
        <w:outlineLvl w:val="0"/>
        <w:rPr>
          <w:rFonts w:ascii="Arial" w:hAnsi="Arial" w:cs="Arial"/>
          <w:b/>
          <w:sz w:val="24"/>
          <w:szCs w:val="24"/>
        </w:rPr>
      </w:pPr>
    </w:p>
    <w:p w14:paraId="273BAE1E" w14:textId="77777777" w:rsidR="00FA0016" w:rsidRPr="005B5F14" w:rsidRDefault="00FA0016" w:rsidP="00FA0016">
      <w:pPr>
        <w:numPr>
          <w:ilvl w:val="0"/>
          <w:numId w:val="16"/>
        </w:numPr>
        <w:spacing w:after="0" w:line="240" w:lineRule="auto"/>
        <w:outlineLvl w:val="0"/>
        <w:rPr>
          <w:rFonts w:ascii="Arial" w:hAnsi="Arial" w:cs="Arial"/>
          <w:b/>
          <w:sz w:val="24"/>
          <w:szCs w:val="24"/>
        </w:rPr>
      </w:pPr>
      <w:r w:rsidRPr="005B5F14">
        <w:rPr>
          <w:rFonts w:ascii="Arial" w:hAnsi="Arial" w:cs="Arial"/>
          <w:sz w:val="24"/>
          <w:szCs w:val="24"/>
        </w:rPr>
        <w:t xml:space="preserve">Tato Smlouva a vztahy z ní vyplývající se řídí právním řádem České republiky, </w:t>
      </w:r>
    </w:p>
    <w:p w14:paraId="37938DEA" w14:textId="77777777" w:rsidR="00FA0016" w:rsidRPr="005B5F14" w:rsidRDefault="00FA0016" w:rsidP="00FA0016">
      <w:pPr>
        <w:spacing w:line="240" w:lineRule="auto"/>
        <w:ind w:left="720"/>
        <w:outlineLvl w:val="0"/>
        <w:rPr>
          <w:rFonts w:ascii="Arial" w:hAnsi="Arial" w:cs="Arial"/>
          <w:b/>
          <w:sz w:val="24"/>
          <w:szCs w:val="24"/>
        </w:rPr>
      </w:pPr>
    </w:p>
    <w:p w14:paraId="32B81BC1" w14:textId="77777777" w:rsidR="00FA0016" w:rsidRPr="005B5F14" w:rsidRDefault="00FA0016" w:rsidP="00FA0016">
      <w:pPr>
        <w:numPr>
          <w:ilvl w:val="0"/>
          <w:numId w:val="16"/>
        </w:numPr>
        <w:spacing w:after="0" w:line="240" w:lineRule="auto"/>
        <w:outlineLvl w:val="0"/>
        <w:rPr>
          <w:rFonts w:ascii="Arial" w:hAnsi="Arial" w:cs="Arial"/>
          <w:b/>
          <w:sz w:val="24"/>
          <w:szCs w:val="24"/>
        </w:rPr>
      </w:pPr>
      <w:r w:rsidRPr="005B5F14">
        <w:rPr>
          <w:rFonts w:ascii="Arial" w:hAnsi="Arial" w:cs="Arial"/>
          <w:sz w:val="24"/>
          <w:szCs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5C0D9B78" w14:textId="77777777" w:rsidR="00FA0016" w:rsidRPr="005B5F14" w:rsidRDefault="00FA0016" w:rsidP="00FA0016">
      <w:pPr>
        <w:spacing w:line="240" w:lineRule="auto"/>
        <w:ind w:left="360"/>
        <w:outlineLvl w:val="0"/>
        <w:rPr>
          <w:rFonts w:ascii="Arial" w:hAnsi="Arial" w:cs="Arial"/>
          <w:b/>
          <w:sz w:val="24"/>
          <w:szCs w:val="24"/>
        </w:rPr>
      </w:pPr>
    </w:p>
    <w:p w14:paraId="11123B10" w14:textId="77777777" w:rsidR="00FA0016" w:rsidRPr="005B5F14" w:rsidRDefault="00FA0016" w:rsidP="00FA0016">
      <w:pPr>
        <w:numPr>
          <w:ilvl w:val="0"/>
          <w:numId w:val="16"/>
        </w:numPr>
        <w:spacing w:after="0" w:line="240" w:lineRule="auto"/>
        <w:outlineLvl w:val="0"/>
        <w:rPr>
          <w:rFonts w:ascii="Arial" w:hAnsi="Arial" w:cs="Arial"/>
          <w:b/>
          <w:sz w:val="24"/>
          <w:szCs w:val="24"/>
        </w:rPr>
      </w:pPr>
      <w:r w:rsidRPr="005B5F14">
        <w:rPr>
          <w:rFonts w:ascii="Arial" w:hAnsi="Arial" w:cs="Arial"/>
          <w:sz w:val="24"/>
          <w:szCs w:val="24"/>
        </w:rPr>
        <w:t>Smlouva byla vyhotovena ve dvou stejnopisech, z nichž každá Smluvní strana obdrží po jednom vyhotovení.</w:t>
      </w:r>
    </w:p>
    <w:p w14:paraId="0370A0F2" w14:textId="77777777" w:rsidR="00FA0016" w:rsidRPr="005B5F14" w:rsidRDefault="00FA0016" w:rsidP="00FA0016">
      <w:pPr>
        <w:spacing w:line="240" w:lineRule="auto"/>
        <w:ind w:left="360"/>
        <w:outlineLvl w:val="0"/>
        <w:rPr>
          <w:rFonts w:ascii="Arial" w:hAnsi="Arial" w:cs="Arial"/>
          <w:b/>
          <w:sz w:val="24"/>
          <w:szCs w:val="24"/>
        </w:rPr>
      </w:pPr>
    </w:p>
    <w:p w14:paraId="12DB0602" w14:textId="77777777" w:rsidR="00FA0016" w:rsidRPr="005B5F14" w:rsidRDefault="00FA0016" w:rsidP="00FA0016">
      <w:pPr>
        <w:numPr>
          <w:ilvl w:val="0"/>
          <w:numId w:val="16"/>
        </w:numPr>
        <w:spacing w:after="0" w:line="240" w:lineRule="auto"/>
        <w:outlineLvl w:val="0"/>
        <w:rPr>
          <w:rFonts w:ascii="Arial" w:hAnsi="Arial" w:cs="Arial"/>
          <w:b/>
          <w:sz w:val="24"/>
          <w:szCs w:val="24"/>
        </w:rPr>
      </w:pPr>
      <w:r w:rsidRPr="005B5F14">
        <w:rPr>
          <w:rFonts w:ascii="Arial" w:hAnsi="Arial" w:cs="Arial"/>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77824700" w14:textId="77777777" w:rsidR="00FA0016" w:rsidRPr="005B5F14" w:rsidRDefault="00FA0016" w:rsidP="00FA0016">
      <w:pPr>
        <w:spacing w:line="240" w:lineRule="auto"/>
        <w:ind w:left="360"/>
        <w:outlineLvl w:val="0"/>
        <w:rPr>
          <w:rFonts w:ascii="Arial" w:hAnsi="Arial" w:cs="Arial"/>
          <w:b/>
          <w:sz w:val="24"/>
          <w:szCs w:val="24"/>
        </w:rPr>
      </w:pPr>
    </w:p>
    <w:p w14:paraId="5BEAC7C1" w14:textId="39580DC5" w:rsidR="00FA0016" w:rsidRPr="005B5F14" w:rsidRDefault="00FA0016" w:rsidP="00FA0016">
      <w:pPr>
        <w:numPr>
          <w:ilvl w:val="0"/>
          <w:numId w:val="16"/>
        </w:numPr>
        <w:spacing w:after="0" w:line="240" w:lineRule="auto"/>
        <w:outlineLvl w:val="0"/>
        <w:rPr>
          <w:rFonts w:ascii="Arial" w:hAnsi="Arial" w:cs="Arial"/>
          <w:b/>
          <w:sz w:val="24"/>
          <w:szCs w:val="24"/>
        </w:rPr>
      </w:pPr>
      <w:r w:rsidRPr="005B5F14">
        <w:rPr>
          <w:rFonts w:ascii="Arial" w:hAnsi="Arial" w:cs="Arial"/>
          <w:sz w:val="24"/>
          <w:szCs w:val="24"/>
        </w:rPr>
        <w:t xml:space="preserve">Pokud jakákoliv ustanovení nebo jakékoliv části ustanovení smlouvy budou považovány za neplatné nebo nevymahatelné, nebude mít taková neplatnost nebo nevymahatelnost za následek neplatnost nebo nevymahatelnost celé </w:t>
      </w:r>
      <w:r w:rsidRPr="005B5F14">
        <w:rPr>
          <w:rFonts w:ascii="Arial" w:hAnsi="Arial" w:cs="Arial"/>
          <w:sz w:val="24"/>
          <w:szCs w:val="24"/>
        </w:rPr>
        <w:lastRenderedPageBreak/>
        <w:t>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w:t>
      </w:r>
      <w:r w:rsidR="001B2298" w:rsidRPr="005B5F14">
        <w:rPr>
          <w:rFonts w:ascii="Arial" w:hAnsi="Arial" w:cs="Arial"/>
        </w:rPr>
        <w:t> </w:t>
      </w:r>
      <w:r w:rsidRPr="005B5F14">
        <w:rPr>
          <w:rFonts w:ascii="Arial" w:hAnsi="Arial" w:cs="Arial"/>
          <w:sz w:val="24"/>
          <w:szCs w:val="24"/>
        </w:rPr>
        <w:t>maximálním možném rozsahu v souladu s právními předpisy), jako bylo zamýšleno ustanovením, jež bylo shledáno neplatným či nevymahatelným.</w:t>
      </w:r>
    </w:p>
    <w:p w14:paraId="52EFD42E" w14:textId="77777777" w:rsidR="00FA0016" w:rsidRPr="005B5F14" w:rsidRDefault="00FA0016" w:rsidP="00FA0016">
      <w:pPr>
        <w:spacing w:line="240" w:lineRule="auto"/>
        <w:outlineLvl w:val="0"/>
        <w:rPr>
          <w:rFonts w:ascii="Arial" w:hAnsi="Arial" w:cs="Arial"/>
          <w:b/>
          <w:sz w:val="24"/>
          <w:szCs w:val="24"/>
        </w:rPr>
      </w:pPr>
    </w:p>
    <w:p w14:paraId="55ABBD61" w14:textId="77777777" w:rsidR="00FA0016" w:rsidRPr="005B5F14" w:rsidRDefault="00FA0016" w:rsidP="00FA0016">
      <w:pPr>
        <w:numPr>
          <w:ilvl w:val="0"/>
          <w:numId w:val="16"/>
        </w:numPr>
        <w:spacing w:after="0" w:line="240" w:lineRule="auto"/>
        <w:outlineLvl w:val="0"/>
        <w:rPr>
          <w:rFonts w:ascii="Arial" w:hAnsi="Arial" w:cs="Arial"/>
          <w:b/>
          <w:sz w:val="24"/>
          <w:szCs w:val="24"/>
        </w:rPr>
      </w:pPr>
      <w:r w:rsidRPr="005B5F14">
        <w:rPr>
          <w:rFonts w:ascii="Arial" w:hAnsi="Arial" w:cs="Arial"/>
          <w:sz w:val="24"/>
          <w:szCs w:val="24"/>
        </w:rPr>
        <w:t xml:space="preserve">Změny a doplňky této smlouvy lze provádět pouze písemnými a vzestupně očíslovanými dodatky, přičemž každá ze smluvních stran se zavazuje spravedlivě zvážit návrhy druhé smluvní strany. </w:t>
      </w:r>
    </w:p>
    <w:p w14:paraId="388D15D2" w14:textId="0E4F19FA" w:rsidR="00FA0016" w:rsidRDefault="00FA0016" w:rsidP="00FA0016">
      <w:pPr>
        <w:spacing w:line="240" w:lineRule="auto"/>
        <w:ind w:left="360"/>
        <w:outlineLvl w:val="0"/>
        <w:rPr>
          <w:rFonts w:ascii="Arial" w:hAnsi="Arial" w:cs="Arial"/>
          <w:b/>
          <w:sz w:val="24"/>
          <w:szCs w:val="24"/>
        </w:rPr>
      </w:pPr>
    </w:p>
    <w:p w14:paraId="178ADC21" w14:textId="77777777" w:rsidR="00FA0016" w:rsidRPr="005B5F14" w:rsidRDefault="00FA0016" w:rsidP="00FA0016">
      <w:pPr>
        <w:numPr>
          <w:ilvl w:val="0"/>
          <w:numId w:val="16"/>
        </w:numPr>
        <w:spacing w:after="0" w:line="240" w:lineRule="auto"/>
        <w:outlineLvl w:val="0"/>
        <w:rPr>
          <w:rFonts w:ascii="Arial" w:hAnsi="Arial" w:cs="Arial"/>
          <w:b/>
          <w:sz w:val="24"/>
          <w:szCs w:val="24"/>
        </w:rPr>
      </w:pPr>
      <w:r w:rsidRPr="005B5F14">
        <w:rPr>
          <w:rFonts w:ascii="Arial" w:hAnsi="Arial" w:cs="Arial"/>
          <w:sz w:val="24"/>
          <w:szCs w:val="24"/>
        </w:rPr>
        <w:t xml:space="preserve">Nedílnou součástí této smlouvy jsou následující přílohy: </w:t>
      </w:r>
    </w:p>
    <w:p w14:paraId="26C6F4B5" w14:textId="5DE013C3" w:rsidR="006A7CCC" w:rsidRPr="006A7CCC" w:rsidRDefault="006A7CCC" w:rsidP="008A41E5">
      <w:pPr>
        <w:numPr>
          <w:ilvl w:val="0"/>
          <w:numId w:val="15"/>
        </w:numPr>
        <w:spacing w:after="0" w:line="240" w:lineRule="auto"/>
        <w:outlineLvl w:val="0"/>
        <w:rPr>
          <w:rFonts w:ascii="Arial" w:hAnsi="Arial" w:cs="Arial"/>
          <w:sz w:val="24"/>
          <w:szCs w:val="24"/>
        </w:rPr>
      </w:pPr>
      <w:r w:rsidRPr="006A7CCC">
        <w:rPr>
          <w:rFonts w:ascii="Arial" w:hAnsi="Arial" w:cs="Arial"/>
          <w:sz w:val="24"/>
          <w:szCs w:val="24"/>
        </w:rPr>
        <w:t xml:space="preserve">Příloha č. </w:t>
      </w:r>
      <w:r w:rsidR="00C05208">
        <w:rPr>
          <w:rFonts w:ascii="Arial" w:hAnsi="Arial" w:cs="Arial"/>
          <w:sz w:val="24"/>
          <w:szCs w:val="24"/>
        </w:rPr>
        <w:t>1</w:t>
      </w:r>
      <w:r w:rsidRPr="006A7CCC">
        <w:rPr>
          <w:rFonts w:ascii="Arial" w:hAnsi="Arial" w:cs="Arial"/>
          <w:sz w:val="24"/>
          <w:szCs w:val="24"/>
        </w:rPr>
        <w:t xml:space="preserve"> - Vymezení Výsledk</w:t>
      </w:r>
      <w:r w:rsidR="00FB1AA9">
        <w:rPr>
          <w:rFonts w:ascii="Arial" w:hAnsi="Arial" w:cs="Arial"/>
          <w:sz w:val="24"/>
          <w:szCs w:val="24"/>
        </w:rPr>
        <w:t>u</w:t>
      </w:r>
      <w:r w:rsidRPr="006A7CCC">
        <w:rPr>
          <w:rFonts w:ascii="Arial" w:hAnsi="Arial" w:cs="Arial"/>
          <w:sz w:val="24"/>
          <w:szCs w:val="24"/>
        </w:rPr>
        <w:t xml:space="preserve"> a podílu na Výsled</w:t>
      </w:r>
      <w:r w:rsidR="00FB1AA9">
        <w:rPr>
          <w:rFonts w:ascii="Arial" w:hAnsi="Arial" w:cs="Arial"/>
          <w:sz w:val="24"/>
          <w:szCs w:val="24"/>
        </w:rPr>
        <w:t>ku</w:t>
      </w:r>
    </w:p>
    <w:p w14:paraId="6032270C" w14:textId="3354273B" w:rsidR="00FA0016" w:rsidRDefault="00FA0016" w:rsidP="006A7CCC">
      <w:pPr>
        <w:spacing w:after="0" w:line="240" w:lineRule="auto"/>
        <w:ind w:left="720"/>
        <w:outlineLvl w:val="0"/>
        <w:rPr>
          <w:rFonts w:ascii="Arial" w:hAnsi="Arial" w:cs="Arial"/>
          <w:sz w:val="24"/>
          <w:szCs w:val="24"/>
        </w:rPr>
      </w:pPr>
    </w:p>
    <w:p w14:paraId="3E71C93E" w14:textId="77777777" w:rsidR="006A7CCC" w:rsidRPr="006A7CCC" w:rsidRDefault="006A7CCC" w:rsidP="006A7CCC">
      <w:pPr>
        <w:spacing w:after="0" w:line="240" w:lineRule="auto"/>
        <w:ind w:left="720"/>
        <w:outlineLvl w:val="0"/>
        <w:rPr>
          <w:rFonts w:ascii="Arial" w:hAnsi="Arial" w:cs="Arial"/>
          <w:sz w:val="24"/>
          <w:szCs w:val="24"/>
        </w:rPr>
      </w:pPr>
    </w:p>
    <w:p w14:paraId="7F10EEB8" w14:textId="441D607D" w:rsidR="00FA0016" w:rsidRPr="005B5F14" w:rsidRDefault="00FA0016" w:rsidP="00FA0016">
      <w:pPr>
        <w:spacing w:line="240" w:lineRule="auto"/>
        <w:rPr>
          <w:rFonts w:ascii="Arial" w:hAnsi="Arial" w:cs="Arial"/>
          <w:b/>
          <w:sz w:val="24"/>
          <w:szCs w:val="24"/>
        </w:rPr>
      </w:pPr>
      <w:r w:rsidRPr="005B5F14">
        <w:rPr>
          <w:rFonts w:ascii="Arial" w:hAnsi="Arial" w:cs="Arial"/>
          <w:sz w:val="24"/>
          <w:szCs w:val="24"/>
        </w:rPr>
        <w:t xml:space="preserve">V Buštěhradu dne </w:t>
      </w:r>
      <w:r w:rsidR="005B5F14">
        <w:rPr>
          <w:rFonts w:ascii="Arial" w:hAnsi="Arial" w:cs="Arial"/>
          <w:sz w:val="24"/>
          <w:szCs w:val="24"/>
        </w:rPr>
        <w:tab/>
      </w:r>
      <w:r w:rsidR="005B5F14">
        <w:rPr>
          <w:rFonts w:ascii="Arial" w:hAnsi="Arial" w:cs="Arial"/>
          <w:sz w:val="24"/>
          <w:szCs w:val="24"/>
        </w:rPr>
        <w:tab/>
      </w:r>
      <w:r w:rsidR="005B5F14">
        <w:rPr>
          <w:rFonts w:ascii="Arial" w:hAnsi="Arial" w:cs="Arial"/>
          <w:sz w:val="24"/>
          <w:szCs w:val="24"/>
        </w:rPr>
        <w:tab/>
      </w:r>
      <w:r w:rsidR="005B5F14">
        <w:rPr>
          <w:rFonts w:ascii="Arial" w:hAnsi="Arial" w:cs="Arial"/>
          <w:sz w:val="24"/>
          <w:szCs w:val="24"/>
        </w:rPr>
        <w:tab/>
      </w:r>
      <w:r w:rsidR="005B5F14">
        <w:rPr>
          <w:rFonts w:ascii="Arial" w:hAnsi="Arial" w:cs="Arial"/>
          <w:sz w:val="24"/>
          <w:szCs w:val="24"/>
        </w:rPr>
        <w:tab/>
      </w:r>
      <w:r w:rsidRPr="005B5F14">
        <w:rPr>
          <w:rFonts w:ascii="Arial" w:hAnsi="Arial" w:cs="Arial"/>
          <w:sz w:val="24"/>
          <w:szCs w:val="24"/>
        </w:rPr>
        <w:t>V Praze dne …………</w:t>
      </w:r>
    </w:p>
    <w:p w14:paraId="47A3073F" w14:textId="77777777" w:rsidR="00FA0016" w:rsidRPr="005B5F14" w:rsidRDefault="00FA0016" w:rsidP="00FA0016">
      <w:pPr>
        <w:spacing w:line="240" w:lineRule="auto"/>
        <w:rPr>
          <w:rFonts w:ascii="Arial" w:hAnsi="Arial" w:cs="Arial"/>
          <w:sz w:val="24"/>
          <w:szCs w:val="24"/>
        </w:rPr>
      </w:pPr>
    </w:p>
    <w:p w14:paraId="5459E636" w14:textId="77777777" w:rsidR="00FA0016" w:rsidRPr="005B5F14" w:rsidRDefault="00FA0016" w:rsidP="00FA0016">
      <w:pPr>
        <w:pStyle w:val="normlnn"/>
        <w:spacing w:before="0"/>
        <w:rPr>
          <w:rFonts w:ascii="Arial" w:hAnsi="Arial" w:cs="Arial"/>
          <w:sz w:val="24"/>
          <w:szCs w:val="24"/>
        </w:rPr>
      </w:pPr>
    </w:p>
    <w:p w14:paraId="17E175CB" w14:textId="5475982E" w:rsidR="00FA0016" w:rsidRDefault="00FA0016" w:rsidP="00FA0016">
      <w:pPr>
        <w:pStyle w:val="normlnn"/>
        <w:spacing w:before="0"/>
        <w:rPr>
          <w:rFonts w:ascii="Arial" w:hAnsi="Arial" w:cs="Arial"/>
          <w:sz w:val="24"/>
          <w:szCs w:val="24"/>
        </w:rPr>
      </w:pPr>
    </w:p>
    <w:p w14:paraId="3E5C0D8E" w14:textId="77777777" w:rsidR="00B67C4A" w:rsidRDefault="00B67C4A" w:rsidP="00FA0016">
      <w:pPr>
        <w:pStyle w:val="normlnn"/>
        <w:spacing w:before="0"/>
        <w:rPr>
          <w:rFonts w:ascii="Arial" w:hAnsi="Arial" w:cs="Arial"/>
          <w:sz w:val="24"/>
          <w:szCs w:val="24"/>
        </w:rPr>
      </w:pPr>
    </w:p>
    <w:p w14:paraId="6AC17742" w14:textId="6C4690EC" w:rsidR="005B5F14" w:rsidRDefault="005B5F14" w:rsidP="00FA0016">
      <w:pPr>
        <w:pStyle w:val="normlnn"/>
        <w:spacing w:before="0"/>
        <w:rPr>
          <w:rFonts w:ascii="Arial" w:hAnsi="Arial" w:cs="Arial"/>
          <w:sz w:val="24"/>
          <w:szCs w:val="24"/>
        </w:rPr>
      </w:pPr>
    </w:p>
    <w:p w14:paraId="6A32950F" w14:textId="318D4CDF" w:rsidR="00BF66C2" w:rsidRDefault="00BF66C2" w:rsidP="00FA0016">
      <w:pPr>
        <w:pStyle w:val="normlnn"/>
        <w:spacing w:before="0"/>
        <w:rPr>
          <w:rFonts w:ascii="Arial" w:hAnsi="Arial" w:cs="Arial"/>
          <w:sz w:val="24"/>
          <w:szCs w:val="24"/>
        </w:rPr>
      </w:pPr>
    </w:p>
    <w:p w14:paraId="14CADA7C" w14:textId="77777777" w:rsidR="00BF66C2" w:rsidRPr="005B5F14" w:rsidRDefault="00BF66C2" w:rsidP="00FA0016">
      <w:pPr>
        <w:pStyle w:val="normlnn"/>
        <w:spacing w:before="0"/>
        <w:rPr>
          <w:rFonts w:ascii="Arial" w:hAnsi="Arial" w:cs="Arial"/>
          <w:sz w:val="24"/>
          <w:szCs w:val="24"/>
        </w:rPr>
      </w:pPr>
    </w:p>
    <w:p w14:paraId="5922B6BA" w14:textId="77777777" w:rsidR="00FA0016" w:rsidRPr="005B5F14" w:rsidRDefault="00FA0016" w:rsidP="00FA0016">
      <w:pPr>
        <w:pStyle w:val="normlnn"/>
        <w:spacing w:before="0"/>
        <w:rPr>
          <w:rFonts w:ascii="Arial" w:hAnsi="Arial" w:cs="Arial"/>
          <w:sz w:val="24"/>
          <w:szCs w:val="24"/>
        </w:rPr>
      </w:pPr>
    </w:p>
    <w:p w14:paraId="23C8E99E" w14:textId="0DC8E9F2" w:rsidR="00FA0016" w:rsidRPr="005B5F14" w:rsidRDefault="00FA0016" w:rsidP="00FA0016">
      <w:pPr>
        <w:pStyle w:val="normlnn"/>
        <w:spacing w:before="0"/>
        <w:rPr>
          <w:rFonts w:ascii="Arial" w:hAnsi="Arial" w:cs="Arial"/>
          <w:sz w:val="24"/>
          <w:szCs w:val="24"/>
        </w:rPr>
      </w:pPr>
      <w:r w:rsidRPr="005B5F14">
        <w:rPr>
          <w:rFonts w:ascii="Arial" w:hAnsi="Arial" w:cs="Arial"/>
          <w:sz w:val="24"/>
          <w:szCs w:val="24"/>
        </w:rPr>
        <w:t>…………………………………………..</w:t>
      </w:r>
      <w:r w:rsidRPr="005B5F14">
        <w:rPr>
          <w:rFonts w:ascii="Arial" w:hAnsi="Arial" w:cs="Arial"/>
          <w:sz w:val="24"/>
          <w:szCs w:val="24"/>
        </w:rPr>
        <w:tab/>
        <w:t xml:space="preserve">    …………………………………………..</w:t>
      </w:r>
    </w:p>
    <w:p w14:paraId="6DB72963" w14:textId="14C65AB3" w:rsidR="00FA0016" w:rsidRPr="00E22D01" w:rsidRDefault="00BF66C2" w:rsidP="00FA0016">
      <w:pPr>
        <w:pStyle w:val="normlnn"/>
        <w:spacing w:before="0"/>
        <w:rPr>
          <w:rFonts w:ascii="Arial" w:hAnsi="Arial" w:cs="Arial"/>
          <w:sz w:val="24"/>
          <w:szCs w:val="24"/>
        </w:rPr>
      </w:pPr>
      <w:r>
        <w:rPr>
          <w:rFonts w:ascii="Arial" w:hAnsi="Arial" w:cs="Arial"/>
          <w:sz w:val="24"/>
          <w:szCs w:val="24"/>
        </w:rPr>
        <w:t>d</w:t>
      </w:r>
      <w:r w:rsidR="00FA0016" w:rsidRPr="00E22D01">
        <w:rPr>
          <w:rFonts w:ascii="Arial" w:hAnsi="Arial" w:cs="Arial"/>
          <w:sz w:val="24"/>
          <w:szCs w:val="24"/>
        </w:rPr>
        <w:t>oc. Ing. Lukáš Ferkl, Ph.D., ředitel</w:t>
      </w:r>
      <w:r w:rsidR="005B5F14" w:rsidRPr="00E22D01">
        <w:rPr>
          <w:rFonts w:ascii="Arial" w:hAnsi="Arial" w:cs="Arial"/>
          <w:sz w:val="24"/>
          <w:szCs w:val="24"/>
        </w:rPr>
        <w:tab/>
      </w:r>
      <w:r w:rsidR="005B5F14" w:rsidRPr="00E22D01">
        <w:rPr>
          <w:rFonts w:ascii="Arial" w:hAnsi="Arial" w:cs="Arial"/>
          <w:sz w:val="24"/>
          <w:szCs w:val="24"/>
        </w:rPr>
        <w:tab/>
      </w:r>
      <w:r>
        <w:rPr>
          <w:rFonts w:ascii="Arial" w:hAnsi="Arial" w:cs="Arial"/>
          <w:sz w:val="24"/>
          <w:szCs w:val="24"/>
        </w:rPr>
        <w:t xml:space="preserve">Ing. </w:t>
      </w:r>
      <w:r w:rsidR="009E247B" w:rsidRPr="00102379">
        <w:rPr>
          <w:rFonts w:ascii="Arial" w:hAnsi="Arial" w:cs="Arial"/>
          <w:sz w:val="24"/>
          <w:szCs w:val="24"/>
        </w:rPr>
        <w:t>Petr Mydlil, jednatel</w:t>
      </w:r>
    </w:p>
    <w:p w14:paraId="58BE8283" w14:textId="2438F376" w:rsidR="00E22D01" w:rsidRPr="00E22D01" w:rsidRDefault="00E22D01" w:rsidP="00E22D01">
      <w:pPr>
        <w:pStyle w:val="normlnn"/>
        <w:spacing w:before="0"/>
        <w:rPr>
          <w:rFonts w:ascii="Arial" w:hAnsi="Arial" w:cs="Arial"/>
          <w:sz w:val="24"/>
          <w:szCs w:val="24"/>
        </w:rPr>
      </w:pPr>
      <w:r w:rsidRPr="00E22D01">
        <w:rPr>
          <w:rFonts w:ascii="Arial" w:eastAsia="Lucida Sans Unicode" w:hAnsi="Arial" w:cs="Arial"/>
          <w:bCs/>
          <w:snapToGrid/>
          <w:kern w:val="1"/>
          <w:sz w:val="24"/>
          <w:szCs w:val="24"/>
          <w:lang w:eastAsia="ar-SA"/>
        </w:rPr>
        <w:t>České vysoké učení technické v Praze</w:t>
      </w:r>
      <w:r w:rsidRPr="00E22D01">
        <w:rPr>
          <w:rFonts w:ascii="Arial" w:hAnsi="Arial" w:cs="Arial"/>
          <w:sz w:val="24"/>
          <w:szCs w:val="24"/>
        </w:rPr>
        <w:tab/>
      </w:r>
      <w:r w:rsidRPr="00E22D01">
        <w:rPr>
          <w:rFonts w:ascii="Arial" w:hAnsi="Arial" w:cs="Arial"/>
          <w:sz w:val="24"/>
          <w:szCs w:val="24"/>
        </w:rPr>
        <w:tab/>
      </w:r>
      <w:r w:rsidR="00BC63A7" w:rsidRPr="005E415D">
        <w:rPr>
          <w:rFonts w:ascii="Arial" w:hAnsi="Arial" w:cs="Arial"/>
          <w:sz w:val="24"/>
          <w:szCs w:val="24"/>
        </w:rPr>
        <w:t>DAMGAARD Consulting s.r.o.</w:t>
      </w:r>
    </w:p>
    <w:p w14:paraId="26BBB6C0" w14:textId="2043D26B" w:rsidR="00FA0016" w:rsidRPr="00E22D01" w:rsidRDefault="00FA0016" w:rsidP="00FA0016">
      <w:pPr>
        <w:pStyle w:val="normlnn"/>
        <w:spacing w:before="0"/>
        <w:rPr>
          <w:rFonts w:ascii="Arial" w:hAnsi="Arial" w:cs="Arial"/>
          <w:sz w:val="24"/>
          <w:szCs w:val="24"/>
        </w:rPr>
      </w:pPr>
      <w:r w:rsidRPr="00E22D01">
        <w:rPr>
          <w:rFonts w:ascii="Arial" w:hAnsi="Arial" w:cs="Arial"/>
          <w:sz w:val="24"/>
          <w:szCs w:val="24"/>
        </w:rPr>
        <w:t>Univerzitní centr</w:t>
      </w:r>
      <w:r w:rsidR="00E22D01" w:rsidRPr="00E22D01">
        <w:rPr>
          <w:rFonts w:ascii="Arial" w:hAnsi="Arial" w:cs="Arial"/>
          <w:sz w:val="24"/>
          <w:szCs w:val="24"/>
        </w:rPr>
        <w:t>um</w:t>
      </w:r>
      <w:r w:rsidRPr="00E22D01">
        <w:rPr>
          <w:rFonts w:ascii="Arial" w:hAnsi="Arial" w:cs="Arial"/>
          <w:sz w:val="24"/>
          <w:szCs w:val="24"/>
        </w:rPr>
        <w:t xml:space="preserve"> energeticky efektivních</w:t>
      </w:r>
    </w:p>
    <w:p w14:paraId="0A5E99ED" w14:textId="2BCC971B" w:rsidR="00FA0016" w:rsidRPr="00E22D01" w:rsidRDefault="00FA0016" w:rsidP="00FA0016">
      <w:pPr>
        <w:pStyle w:val="normlnn"/>
        <w:spacing w:before="0"/>
        <w:rPr>
          <w:rFonts w:ascii="Arial" w:hAnsi="Arial" w:cs="Arial"/>
          <w:sz w:val="24"/>
          <w:szCs w:val="24"/>
        </w:rPr>
      </w:pPr>
      <w:r w:rsidRPr="00E22D01">
        <w:rPr>
          <w:rFonts w:ascii="Arial" w:hAnsi="Arial" w:cs="Arial"/>
          <w:sz w:val="24"/>
          <w:szCs w:val="24"/>
        </w:rPr>
        <w:t>budov</w:t>
      </w:r>
      <w:r w:rsidRPr="00E22D01">
        <w:rPr>
          <w:rFonts w:ascii="Arial" w:hAnsi="Arial" w:cs="Arial"/>
          <w:sz w:val="24"/>
          <w:szCs w:val="24"/>
        </w:rPr>
        <w:tab/>
      </w:r>
      <w:r w:rsidRPr="00E22D01">
        <w:rPr>
          <w:rFonts w:ascii="Arial" w:hAnsi="Arial" w:cs="Arial"/>
          <w:sz w:val="24"/>
          <w:szCs w:val="24"/>
        </w:rPr>
        <w:tab/>
      </w:r>
      <w:r w:rsidRPr="00E22D01">
        <w:rPr>
          <w:rFonts w:ascii="Arial" w:hAnsi="Arial" w:cs="Arial"/>
          <w:sz w:val="24"/>
          <w:szCs w:val="24"/>
        </w:rPr>
        <w:tab/>
      </w:r>
      <w:r w:rsidRPr="00E22D01">
        <w:rPr>
          <w:rFonts w:ascii="Arial" w:hAnsi="Arial" w:cs="Arial"/>
          <w:sz w:val="24"/>
          <w:szCs w:val="24"/>
        </w:rPr>
        <w:tab/>
      </w:r>
      <w:r w:rsidRPr="00E22D01">
        <w:rPr>
          <w:rFonts w:ascii="Arial" w:hAnsi="Arial" w:cs="Arial"/>
          <w:sz w:val="24"/>
          <w:szCs w:val="24"/>
        </w:rPr>
        <w:tab/>
      </w:r>
    </w:p>
    <w:p w14:paraId="29628C05" w14:textId="2999D211" w:rsidR="00FA0016" w:rsidRPr="005B5F14" w:rsidRDefault="00FA0016" w:rsidP="001A6CD1">
      <w:pPr>
        <w:spacing w:after="200" w:line="276" w:lineRule="auto"/>
        <w:jc w:val="left"/>
        <w:rPr>
          <w:rFonts w:ascii="Arial" w:hAnsi="Arial" w:cs="Arial"/>
          <w:sz w:val="24"/>
          <w:szCs w:val="24"/>
        </w:rPr>
      </w:pPr>
    </w:p>
    <w:sectPr w:rsidR="00FA0016" w:rsidRPr="005B5F14" w:rsidSect="00382D47">
      <w:headerReference w:type="default" r:id="rId7"/>
      <w:footerReference w:type="default" r:id="rId8"/>
      <w:headerReference w:type="first" r:id="rId9"/>
      <w:footerReference w:type="first" r:id="rId10"/>
      <w:type w:val="continuous"/>
      <w:pgSz w:w="11906" w:h="16838" w:code="9"/>
      <w:pgMar w:top="2552" w:right="1701"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DDAB6" w14:textId="77777777" w:rsidR="006B256C" w:rsidRDefault="006B256C" w:rsidP="004010A7">
      <w:pPr>
        <w:spacing w:line="240" w:lineRule="auto"/>
      </w:pPr>
      <w:r>
        <w:separator/>
      </w:r>
    </w:p>
  </w:endnote>
  <w:endnote w:type="continuationSeparator" w:id="0">
    <w:p w14:paraId="59D17C9B" w14:textId="77777777" w:rsidR="006B256C" w:rsidRDefault="006B256C"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7569BA">
          <w:pPr>
            <w:pStyle w:val="Zpat"/>
            <w:rPr>
              <w:caps w:val="0"/>
              <w:lang w:val="en-GB"/>
            </w:rPr>
          </w:pPr>
        </w:p>
        <w:p w14:paraId="209C489D" w14:textId="77777777" w:rsidR="00B26E8E" w:rsidRDefault="00B26E8E" w:rsidP="007569BA">
          <w:pPr>
            <w:pStyle w:val="Zpat"/>
            <w:rPr>
              <w:caps w:val="0"/>
              <w:lang w:val="en-GB"/>
            </w:rPr>
          </w:pPr>
        </w:p>
        <w:p w14:paraId="269A6E80" w14:textId="0F7BE219" w:rsidR="00B26E8E" w:rsidRPr="00B26E8E" w:rsidRDefault="00B26E8E" w:rsidP="007569BA">
          <w:pPr>
            <w:pStyle w:val="Zpat"/>
            <w:jc w:val="right"/>
          </w:pPr>
          <w:r>
            <w:fldChar w:fldCharType="begin"/>
          </w:r>
          <w:r>
            <w:instrText xml:space="preserve"> PAGE   \* MERGEFORMAT </w:instrText>
          </w:r>
          <w:r>
            <w:fldChar w:fldCharType="separate"/>
          </w:r>
          <w:r w:rsidR="004E3201">
            <w:rPr>
              <w:noProof/>
            </w:rPr>
            <w:t>10</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4E3201">
            <w:rPr>
              <w:noProof/>
            </w:rPr>
            <w:t>10</w:t>
          </w:r>
          <w:r w:rsidR="00E01426">
            <w:rPr>
              <w:noProof/>
            </w:rPr>
            <w:fldChar w:fldCharType="end"/>
          </w:r>
        </w:p>
      </w:tc>
    </w:tr>
  </w:tbl>
  <w:p w14:paraId="1A85CB3D"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95"/>
      <w:gridCol w:w="1922"/>
      <w:gridCol w:w="2796"/>
      <w:gridCol w:w="1792"/>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1829FCBE" w:rsidR="00B26E8E" w:rsidRPr="00B26E8E" w:rsidRDefault="00B26E8E" w:rsidP="00B26E8E">
          <w:pPr>
            <w:pStyle w:val="Zpat"/>
            <w:rPr>
              <w:caps w:val="0"/>
            </w:rPr>
          </w:pPr>
          <w:r w:rsidRPr="00B26E8E">
            <w:t>+</w:t>
          </w:r>
          <w:r w:rsidR="00BE6A17">
            <w:t>XXXXXXXXXXXX</w:t>
          </w:r>
        </w:p>
        <w:p w14:paraId="6C30AE1A" w14:textId="6B3A390A" w:rsidR="00B26E8E" w:rsidRPr="00B26E8E" w:rsidRDefault="00BE6A17" w:rsidP="00B26E8E">
          <w:pPr>
            <w:pStyle w:val="Zpat"/>
            <w:rPr>
              <w:caps w:val="0"/>
            </w:rPr>
          </w:pPr>
          <w:r>
            <w:t>XXXXXXXXXXXXX</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4FA36A44" w:rsidR="00B26E8E" w:rsidRPr="00B26E8E" w:rsidRDefault="00BE6A17" w:rsidP="00B26E8E">
          <w:pPr>
            <w:pStyle w:val="Zpat"/>
            <w:rPr>
              <w:caps w:val="0"/>
            </w:rPr>
          </w:pPr>
          <w:r>
            <w:t>BANKOVNÍ SPOJENÍ XXXXXXX</w:t>
          </w:r>
        </w:p>
        <w:p w14:paraId="2A81D27E" w14:textId="69F2E1F0" w:rsidR="00B26E8E" w:rsidRPr="00B26E8E" w:rsidRDefault="00B26E8E" w:rsidP="00B26E8E">
          <w:pPr>
            <w:pStyle w:val="Zpat"/>
            <w:rPr>
              <w:caps w:val="0"/>
              <w:lang w:val="en-GB"/>
            </w:rPr>
          </w:pPr>
          <w:r w:rsidRPr="000403B8">
            <w:rPr>
              <w:lang w:val="en-GB"/>
            </w:rPr>
            <w:t xml:space="preserve">Č. Ú. </w:t>
          </w:r>
          <w:r w:rsidR="00BE6A17">
            <w:rPr>
              <w:lang w:val="en-GB"/>
            </w:rPr>
            <w:t>XXXXXXXXXXXXXXXXXX</w:t>
          </w:r>
        </w:p>
      </w:tc>
      <w:tc>
        <w:tcPr>
          <w:tcW w:w="1860" w:type="dxa"/>
          <w:tcMar>
            <w:right w:w="0" w:type="dxa"/>
          </w:tcMar>
          <w:vAlign w:val="bottom"/>
        </w:tcPr>
        <w:p w14:paraId="5174ED69" w14:textId="50527E4A" w:rsidR="00B26E8E" w:rsidRPr="00B26E8E" w:rsidRDefault="00B26E8E" w:rsidP="00B26E8E">
          <w:pPr>
            <w:pStyle w:val="Zpat"/>
            <w:jc w:val="right"/>
          </w:pPr>
          <w:r>
            <w:fldChar w:fldCharType="begin"/>
          </w:r>
          <w:r>
            <w:instrText xml:space="preserve"> PAGE   \* MERGEFORMAT </w:instrText>
          </w:r>
          <w:r>
            <w:fldChar w:fldCharType="separate"/>
          </w:r>
          <w:r w:rsidR="003C1EC3">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3C1EC3">
            <w:rPr>
              <w:noProof/>
            </w:rPr>
            <w:t>10</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DF410" w14:textId="77777777" w:rsidR="006B256C" w:rsidRDefault="006B256C" w:rsidP="004010A7">
      <w:pPr>
        <w:spacing w:line="240" w:lineRule="auto"/>
      </w:pPr>
      <w:r>
        <w:separator/>
      </w:r>
    </w:p>
  </w:footnote>
  <w:footnote w:type="continuationSeparator" w:id="0">
    <w:p w14:paraId="70CA97EE" w14:textId="77777777" w:rsidR="006B256C" w:rsidRDefault="006B256C"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77777777"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63FDE81F" wp14:editId="1EBED38B">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F41AE5"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19C62CA7" wp14:editId="62ABBC23">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14:paraId="4E2CC29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715D70C4" wp14:editId="28BBF82E">
          <wp:simplePos x="0" y="0"/>
          <wp:positionH relativeFrom="column">
            <wp:posOffset>-742950</wp:posOffset>
          </wp:positionH>
          <wp:positionV relativeFrom="paragraph">
            <wp:posOffset>-755955</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3E4477D1"/>
    <w:multiLevelType w:val="hybridMultilevel"/>
    <w:tmpl w:val="FAE47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487802"/>
    <w:multiLevelType w:val="hybridMultilevel"/>
    <w:tmpl w:val="71567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9"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abstractNumId w:val="0"/>
  </w:num>
  <w:num w:numId="2">
    <w:abstractNumId w:val="1"/>
  </w:num>
  <w:num w:numId="3">
    <w:abstractNumId w:val="8"/>
  </w:num>
  <w:num w:numId="4">
    <w:abstractNumId w:val="11"/>
  </w:num>
  <w:num w:numId="5">
    <w:abstractNumId w:val="2"/>
  </w:num>
  <w:num w:numId="6">
    <w:abstractNumId w:val="13"/>
  </w:num>
  <w:num w:numId="7">
    <w:abstractNumId w:val="10"/>
  </w:num>
  <w:num w:numId="8">
    <w:abstractNumId w:val="19"/>
  </w:num>
  <w:num w:numId="9">
    <w:abstractNumId w:val="1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7"/>
  </w:num>
  <w:num w:numId="14">
    <w:abstractNumId w:val="5"/>
  </w:num>
  <w:num w:numId="15">
    <w:abstractNumId w:val="16"/>
  </w:num>
  <w:num w:numId="16">
    <w:abstractNumId w:val="3"/>
  </w:num>
  <w:num w:numId="17">
    <w:abstractNumId w:val="9"/>
  </w:num>
  <w:num w:numId="18">
    <w:abstractNumId w:val="14"/>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6D32"/>
    <w:rsid w:val="000120A8"/>
    <w:rsid w:val="000163B8"/>
    <w:rsid w:val="00045FC7"/>
    <w:rsid w:val="00051B93"/>
    <w:rsid w:val="00054B7A"/>
    <w:rsid w:val="000550D5"/>
    <w:rsid w:val="00060B77"/>
    <w:rsid w:val="00066B3C"/>
    <w:rsid w:val="0007051F"/>
    <w:rsid w:val="000762DD"/>
    <w:rsid w:val="00096D0B"/>
    <w:rsid w:val="000A57FF"/>
    <w:rsid w:val="000B7BC0"/>
    <w:rsid w:val="000C5559"/>
    <w:rsid w:val="000E26C5"/>
    <w:rsid w:val="000E548D"/>
    <w:rsid w:val="00102379"/>
    <w:rsid w:val="00103A68"/>
    <w:rsid w:val="0011081C"/>
    <w:rsid w:val="001134EB"/>
    <w:rsid w:val="00114211"/>
    <w:rsid w:val="001407B8"/>
    <w:rsid w:val="00152FDC"/>
    <w:rsid w:val="00166AE1"/>
    <w:rsid w:val="001707BB"/>
    <w:rsid w:val="00172799"/>
    <w:rsid w:val="0018049D"/>
    <w:rsid w:val="0018285C"/>
    <w:rsid w:val="001A4FE6"/>
    <w:rsid w:val="001A60B5"/>
    <w:rsid w:val="001A65A3"/>
    <w:rsid w:val="001A6CD1"/>
    <w:rsid w:val="001B2298"/>
    <w:rsid w:val="001C274E"/>
    <w:rsid w:val="001C2EE2"/>
    <w:rsid w:val="001D4182"/>
    <w:rsid w:val="001D6326"/>
    <w:rsid w:val="001D7E26"/>
    <w:rsid w:val="001E6ED1"/>
    <w:rsid w:val="00213898"/>
    <w:rsid w:val="00230E37"/>
    <w:rsid w:val="0023470A"/>
    <w:rsid w:val="00242A5C"/>
    <w:rsid w:val="0025426B"/>
    <w:rsid w:val="002555DE"/>
    <w:rsid w:val="00256C2E"/>
    <w:rsid w:val="00263C8F"/>
    <w:rsid w:val="00284F91"/>
    <w:rsid w:val="002A516A"/>
    <w:rsid w:val="002C06B0"/>
    <w:rsid w:val="002C0FE4"/>
    <w:rsid w:val="002C4940"/>
    <w:rsid w:val="002D4758"/>
    <w:rsid w:val="002E070B"/>
    <w:rsid w:val="002F4C99"/>
    <w:rsid w:val="002F607F"/>
    <w:rsid w:val="00313D85"/>
    <w:rsid w:val="00320EE7"/>
    <w:rsid w:val="003266E8"/>
    <w:rsid w:val="00333AE8"/>
    <w:rsid w:val="00333C14"/>
    <w:rsid w:val="0033654D"/>
    <w:rsid w:val="00347324"/>
    <w:rsid w:val="00350402"/>
    <w:rsid w:val="003770BC"/>
    <w:rsid w:val="003815E8"/>
    <w:rsid w:val="00381DC0"/>
    <w:rsid w:val="00381E31"/>
    <w:rsid w:val="00382D47"/>
    <w:rsid w:val="00383D41"/>
    <w:rsid w:val="0038751B"/>
    <w:rsid w:val="00387AED"/>
    <w:rsid w:val="003A31D5"/>
    <w:rsid w:val="003A56CF"/>
    <w:rsid w:val="003B624C"/>
    <w:rsid w:val="003C1EC3"/>
    <w:rsid w:val="003C7672"/>
    <w:rsid w:val="003D27B5"/>
    <w:rsid w:val="003D2E57"/>
    <w:rsid w:val="0040069A"/>
    <w:rsid w:val="004010A7"/>
    <w:rsid w:val="00432321"/>
    <w:rsid w:val="00442706"/>
    <w:rsid w:val="00451539"/>
    <w:rsid w:val="0047113A"/>
    <w:rsid w:val="0048567E"/>
    <w:rsid w:val="00485C5E"/>
    <w:rsid w:val="00497EF6"/>
    <w:rsid w:val="004A00AD"/>
    <w:rsid w:val="004A2BDC"/>
    <w:rsid w:val="004A5B59"/>
    <w:rsid w:val="004D0F0A"/>
    <w:rsid w:val="004D495B"/>
    <w:rsid w:val="004E3201"/>
    <w:rsid w:val="004E4329"/>
    <w:rsid w:val="004E556B"/>
    <w:rsid w:val="004F2D73"/>
    <w:rsid w:val="004F787D"/>
    <w:rsid w:val="00503544"/>
    <w:rsid w:val="005068EB"/>
    <w:rsid w:val="00507DA8"/>
    <w:rsid w:val="005224B1"/>
    <w:rsid w:val="0053384D"/>
    <w:rsid w:val="00542302"/>
    <w:rsid w:val="0055423B"/>
    <w:rsid w:val="0055793C"/>
    <w:rsid w:val="00562109"/>
    <w:rsid w:val="00563241"/>
    <w:rsid w:val="00564C9D"/>
    <w:rsid w:val="005A43EC"/>
    <w:rsid w:val="005A6706"/>
    <w:rsid w:val="005A744D"/>
    <w:rsid w:val="005B5F14"/>
    <w:rsid w:val="005C5FA4"/>
    <w:rsid w:val="005E415D"/>
    <w:rsid w:val="00607A9F"/>
    <w:rsid w:val="00623675"/>
    <w:rsid w:val="00630784"/>
    <w:rsid w:val="006322CE"/>
    <w:rsid w:val="0063586E"/>
    <w:rsid w:val="00666488"/>
    <w:rsid w:val="00667C0C"/>
    <w:rsid w:val="00674FF1"/>
    <w:rsid w:val="00677466"/>
    <w:rsid w:val="00686C3E"/>
    <w:rsid w:val="00693C17"/>
    <w:rsid w:val="006A7CCC"/>
    <w:rsid w:val="006B256C"/>
    <w:rsid w:val="006B6D73"/>
    <w:rsid w:val="006C2022"/>
    <w:rsid w:val="006C4FF1"/>
    <w:rsid w:val="006E083E"/>
    <w:rsid w:val="006E30A4"/>
    <w:rsid w:val="006E6177"/>
    <w:rsid w:val="007146F4"/>
    <w:rsid w:val="00717FAA"/>
    <w:rsid w:val="0072006E"/>
    <w:rsid w:val="00723EAD"/>
    <w:rsid w:val="00733C24"/>
    <w:rsid w:val="00757C55"/>
    <w:rsid w:val="00766E50"/>
    <w:rsid w:val="00770BE2"/>
    <w:rsid w:val="00773F09"/>
    <w:rsid w:val="007856C6"/>
    <w:rsid w:val="00787207"/>
    <w:rsid w:val="00792E9E"/>
    <w:rsid w:val="007D60C7"/>
    <w:rsid w:val="0080339B"/>
    <w:rsid w:val="00823FF3"/>
    <w:rsid w:val="008276F4"/>
    <w:rsid w:val="00833ABF"/>
    <w:rsid w:val="008368F1"/>
    <w:rsid w:val="00841C34"/>
    <w:rsid w:val="00842F1B"/>
    <w:rsid w:val="008445A1"/>
    <w:rsid w:val="00855733"/>
    <w:rsid w:val="008626C6"/>
    <w:rsid w:val="00870FE3"/>
    <w:rsid w:val="0087399B"/>
    <w:rsid w:val="008A0E3D"/>
    <w:rsid w:val="008A41E5"/>
    <w:rsid w:val="008A75A8"/>
    <w:rsid w:val="008B2B9A"/>
    <w:rsid w:val="008B6C80"/>
    <w:rsid w:val="00901C5E"/>
    <w:rsid w:val="009129F4"/>
    <w:rsid w:val="00915B57"/>
    <w:rsid w:val="0092707D"/>
    <w:rsid w:val="00940F67"/>
    <w:rsid w:val="009621A9"/>
    <w:rsid w:val="009650A0"/>
    <w:rsid w:val="00973DB2"/>
    <w:rsid w:val="00980082"/>
    <w:rsid w:val="00980766"/>
    <w:rsid w:val="009B7C14"/>
    <w:rsid w:val="009B7FF8"/>
    <w:rsid w:val="009C5AA8"/>
    <w:rsid w:val="009E247B"/>
    <w:rsid w:val="00A07944"/>
    <w:rsid w:val="00A132F9"/>
    <w:rsid w:val="00A25BBB"/>
    <w:rsid w:val="00A26235"/>
    <w:rsid w:val="00A40C58"/>
    <w:rsid w:val="00A41164"/>
    <w:rsid w:val="00A559FD"/>
    <w:rsid w:val="00A63931"/>
    <w:rsid w:val="00A70426"/>
    <w:rsid w:val="00A93453"/>
    <w:rsid w:val="00AB7211"/>
    <w:rsid w:val="00AC1AE6"/>
    <w:rsid w:val="00AE0509"/>
    <w:rsid w:val="00AE3006"/>
    <w:rsid w:val="00AE6164"/>
    <w:rsid w:val="00B01461"/>
    <w:rsid w:val="00B26E8E"/>
    <w:rsid w:val="00B54DE0"/>
    <w:rsid w:val="00B63060"/>
    <w:rsid w:val="00B64223"/>
    <w:rsid w:val="00B67C4A"/>
    <w:rsid w:val="00B73C81"/>
    <w:rsid w:val="00B76D6B"/>
    <w:rsid w:val="00B85697"/>
    <w:rsid w:val="00BB0493"/>
    <w:rsid w:val="00BC63A7"/>
    <w:rsid w:val="00BD0426"/>
    <w:rsid w:val="00BE6A17"/>
    <w:rsid w:val="00BF66C2"/>
    <w:rsid w:val="00BF6F63"/>
    <w:rsid w:val="00C05208"/>
    <w:rsid w:val="00C22ADE"/>
    <w:rsid w:val="00C40B3C"/>
    <w:rsid w:val="00C42999"/>
    <w:rsid w:val="00C55D02"/>
    <w:rsid w:val="00C61E09"/>
    <w:rsid w:val="00C621E2"/>
    <w:rsid w:val="00C63D4E"/>
    <w:rsid w:val="00C7182E"/>
    <w:rsid w:val="00C84DC1"/>
    <w:rsid w:val="00C86641"/>
    <w:rsid w:val="00CA2C25"/>
    <w:rsid w:val="00CB039F"/>
    <w:rsid w:val="00CB6AF1"/>
    <w:rsid w:val="00D05FF6"/>
    <w:rsid w:val="00D117E6"/>
    <w:rsid w:val="00D12333"/>
    <w:rsid w:val="00D16E0C"/>
    <w:rsid w:val="00D20B4A"/>
    <w:rsid w:val="00D2764A"/>
    <w:rsid w:val="00D54EBA"/>
    <w:rsid w:val="00D551C2"/>
    <w:rsid w:val="00D87ACC"/>
    <w:rsid w:val="00DA7072"/>
    <w:rsid w:val="00DB3C7F"/>
    <w:rsid w:val="00DB417A"/>
    <w:rsid w:val="00DB7D71"/>
    <w:rsid w:val="00DD6DD5"/>
    <w:rsid w:val="00DE6559"/>
    <w:rsid w:val="00DF3E80"/>
    <w:rsid w:val="00DF491C"/>
    <w:rsid w:val="00E01426"/>
    <w:rsid w:val="00E01898"/>
    <w:rsid w:val="00E0293F"/>
    <w:rsid w:val="00E0382B"/>
    <w:rsid w:val="00E045F4"/>
    <w:rsid w:val="00E217C8"/>
    <w:rsid w:val="00E22D01"/>
    <w:rsid w:val="00E25102"/>
    <w:rsid w:val="00E258D1"/>
    <w:rsid w:val="00E2668D"/>
    <w:rsid w:val="00E45584"/>
    <w:rsid w:val="00E56F67"/>
    <w:rsid w:val="00E65D41"/>
    <w:rsid w:val="00E72C5D"/>
    <w:rsid w:val="00E81487"/>
    <w:rsid w:val="00E93946"/>
    <w:rsid w:val="00E95992"/>
    <w:rsid w:val="00EA3140"/>
    <w:rsid w:val="00EB4AED"/>
    <w:rsid w:val="00EC33EA"/>
    <w:rsid w:val="00ED42A1"/>
    <w:rsid w:val="00ED57BC"/>
    <w:rsid w:val="00EE061A"/>
    <w:rsid w:val="00EE11D4"/>
    <w:rsid w:val="00EE5214"/>
    <w:rsid w:val="00F03350"/>
    <w:rsid w:val="00F16777"/>
    <w:rsid w:val="00F23646"/>
    <w:rsid w:val="00F23A3A"/>
    <w:rsid w:val="00F25B6A"/>
    <w:rsid w:val="00F33A71"/>
    <w:rsid w:val="00F367CB"/>
    <w:rsid w:val="00F3732F"/>
    <w:rsid w:val="00F41BBC"/>
    <w:rsid w:val="00F55AA0"/>
    <w:rsid w:val="00F6053F"/>
    <w:rsid w:val="00F82FED"/>
    <w:rsid w:val="00F874EC"/>
    <w:rsid w:val="00F92400"/>
    <w:rsid w:val="00FA0016"/>
    <w:rsid w:val="00FA2F8D"/>
    <w:rsid w:val="00FA54C9"/>
    <w:rsid w:val="00FA7EFB"/>
    <w:rsid w:val="00FB1AA9"/>
    <w:rsid w:val="00FB3A05"/>
    <w:rsid w:val="00FB5400"/>
    <w:rsid w:val="00FC3A34"/>
    <w:rsid w:val="00FC3DA6"/>
    <w:rsid w:val="00FC5BA7"/>
    <w:rsid w:val="00FC7FF9"/>
    <w:rsid w:val="00FE2116"/>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semiHidden/>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semiHidden/>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semiHidden/>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semiHidden/>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A001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A0016"/>
    <w:rPr>
      <w:sz w:val="16"/>
      <w:szCs w:val="16"/>
    </w:rPr>
  </w:style>
  <w:style w:type="paragraph" w:customStyle="1" w:styleId="Default">
    <w:name w:val="Default"/>
    <w:rsid w:val="00FA001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A001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A001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A001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A0016"/>
    <w:pPr>
      <w:spacing w:before="60" w:after="0" w:line="240" w:lineRule="auto"/>
    </w:pPr>
    <w:rPr>
      <w:rFonts w:ascii="Times New Roman" w:eastAsia="Times New Roman" w:hAnsi="Times New Roman" w:cs="Times New Roman"/>
      <w:snapToGrid w:val="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32301">
      <w:bodyDiv w:val="1"/>
      <w:marLeft w:val="0"/>
      <w:marRight w:val="0"/>
      <w:marTop w:val="0"/>
      <w:marBottom w:val="0"/>
      <w:divBdr>
        <w:top w:val="none" w:sz="0" w:space="0" w:color="auto"/>
        <w:left w:val="none" w:sz="0" w:space="0" w:color="auto"/>
        <w:bottom w:val="none" w:sz="0" w:space="0" w:color="auto"/>
        <w:right w:val="none" w:sz="0" w:space="0" w:color="auto"/>
      </w:divBdr>
    </w:div>
    <w:div w:id="1333993539">
      <w:bodyDiv w:val="1"/>
      <w:marLeft w:val="0"/>
      <w:marRight w:val="0"/>
      <w:marTop w:val="0"/>
      <w:marBottom w:val="0"/>
      <w:divBdr>
        <w:top w:val="none" w:sz="0" w:space="0" w:color="auto"/>
        <w:left w:val="none" w:sz="0" w:space="0" w:color="auto"/>
        <w:bottom w:val="none" w:sz="0" w:space="0" w:color="auto"/>
        <w:right w:val="none" w:sz="0" w:space="0" w:color="auto"/>
      </w:divBdr>
    </w:div>
    <w:div w:id="20124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10</Pages>
  <Words>2582</Words>
  <Characters>15236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2021-01-05T10:19:00Z</dcterms:created>
  <dcterms:modified xsi:type="dcterms:W3CDTF">2021-01-06T10:23:00Z</dcterms:modified>
</cp:coreProperties>
</file>