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0AE" w:rsidRDefault="004216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ARCO DIVA management s.r.o</w:t>
      </w:r>
      <w:r>
        <w:rPr>
          <w:color w:val="000000"/>
          <w:sz w:val="24"/>
          <w:szCs w:val="24"/>
        </w:rPr>
        <w:t>.</w:t>
      </w:r>
    </w:p>
    <w:p w:rsidR="00F600AE" w:rsidRDefault="004216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koresp</w:t>
      </w:r>
      <w:proofErr w:type="spellEnd"/>
      <w:r>
        <w:rPr>
          <w:color w:val="000000"/>
          <w:sz w:val="24"/>
          <w:szCs w:val="24"/>
        </w:rPr>
        <w:t>. adresa: Jaromírova 54, 120 00 Praha 2</w:t>
      </w:r>
    </w:p>
    <w:p w:rsidR="00F600AE" w:rsidRDefault="004216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 sídlem: Urešova 1266/2, 148 00 Praha 4</w:t>
      </w:r>
    </w:p>
    <w:p w:rsidR="00F600AE" w:rsidRDefault="004216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IČO 25655094  DIČ CZ25655094</w:t>
      </w:r>
    </w:p>
    <w:p w:rsidR="00F600AE" w:rsidRDefault="004216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jako producent pro firmu NAXOS </w:t>
      </w:r>
    </w:p>
    <w:p w:rsidR="00F600AE" w:rsidRDefault="004216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zastoupená: Prof. Jiřím </w:t>
      </w:r>
      <w:proofErr w:type="spellStart"/>
      <w:r>
        <w:rPr>
          <w:color w:val="000000"/>
          <w:sz w:val="24"/>
          <w:szCs w:val="24"/>
        </w:rPr>
        <w:t>Štilcem</w:t>
      </w:r>
      <w:proofErr w:type="spellEnd"/>
      <w:r>
        <w:rPr>
          <w:color w:val="000000"/>
          <w:sz w:val="24"/>
          <w:szCs w:val="24"/>
        </w:rPr>
        <w:t>, jednatelem</w:t>
      </w:r>
    </w:p>
    <w:p w:rsidR="00F600AE" w:rsidRDefault="00F600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F600AE" w:rsidRDefault="004216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:rsidR="00F600AE" w:rsidRDefault="00F600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F600AE" w:rsidRDefault="004216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276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 xml:space="preserve">umělec: </w:t>
      </w:r>
      <w:r>
        <w:rPr>
          <w:b/>
          <w:color w:val="000000"/>
          <w:sz w:val="22"/>
          <w:szCs w:val="22"/>
        </w:rPr>
        <w:t xml:space="preserve">Janáčkova filharmonie Ostrava, příspěvková organizace </w:t>
      </w:r>
      <w:r>
        <w:rPr>
          <w:b/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se sídlem ul. 28. října 2556/124, 702 00 Ostrava - Moravská Ostrava, Česká republika</w:t>
      </w:r>
    </w:p>
    <w:p w:rsidR="00F600AE" w:rsidRDefault="004216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276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IČ: 00373222, DIČ: CZ00373222</w:t>
      </w:r>
    </w:p>
    <w:p w:rsidR="00F600AE" w:rsidRDefault="004216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zastoupena Mgr. Janem Žemlou, ředitelem</w:t>
      </w:r>
      <w:r>
        <w:rPr>
          <w:color w:val="000000"/>
          <w:sz w:val="22"/>
          <w:szCs w:val="22"/>
        </w:rPr>
        <w:br/>
      </w:r>
      <w:r>
        <w:rPr>
          <w:color w:val="000000"/>
          <w:sz w:val="24"/>
          <w:szCs w:val="24"/>
        </w:rPr>
        <w:t>/dále jen umělec/</w:t>
      </w:r>
    </w:p>
    <w:p w:rsidR="00F600AE" w:rsidRDefault="00F600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F600AE" w:rsidRDefault="00F600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F600AE" w:rsidRDefault="004216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uzavírají tuto </w:t>
      </w:r>
    </w:p>
    <w:p w:rsidR="00F600AE" w:rsidRDefault="00F600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:rsidR="00F600AE" w:rsidRDefault="00421684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379"/>
          <w:tab w:val="left" w:pos="7088"/>
        </w:tabs>
        <w:spacing w:line="240" w:lineRule="auto"/>
        <w:ind w:hanging="2"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Smlouvu o vytvoření, záznamu uměleckého výkonu a poskytnutí licence</w:t>
      </w:r>
    </w:p>
    <w:p w:rsidR="00F600AE" w:rsidRDefault="00F600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F600AE" w:rsidRDefault="00421684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Umělec se zavazuje za podmínek dále v této smlouvě sjednaných vytvořit umělecký výkon:</w:t>
      </w:r>
    </w:p>
    <w:p w:rsidR="00F600AE" w:rsidRDefault="004216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Josef Bohuslav Foerster: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Festive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Overture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Op. 70; Shakespeare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Suite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Symphony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No. 1, op. 9</w:t>
      </w:r>
    </w:p>
    <w:p w:rsidR="00F600AE" w:rsidRDefault="004216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2"/>
          <w:szCs w:val="22"/>
        </w:rPr>
        <w:t>NAXOS 8. 574336</w:t>
      </w:r>
    </w:p>
    <w:p w:rsidR="00F600AE" w:rsidRDefault="00F600A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F600AE" w:rsidRDefault="0042168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ve dnech: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6</w:t>
      </w:r>
      <w:r>
        <w:rPr>
          <w:color w:val="000000"/>
          <w:sz w:val="24"/>
          <w:szCs w:val="24"/>
        </w:rPr>
        <w:t>. – 7. 1. + 2</w:t>
      </w:r>
      <w:r>
        <w:rPr>
          <w:sz w:val="24"/>
          <w:szCs w:val="24"/>
        </w:rPr>
        <w:t>2</w:t>
      </w:r>
      <w:r>
        <w:rPr>
          <w:color w:val="000000"/>
          <w:sz w:val="24"/>
          <w:szCs w:val="24"/>
        </w:rPr>
        <w:t>. – 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. 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>. 2021</w:t>
      </w:r>
    </w:p>
    <w:p w:rsidR="00F600AE" w:rsidRDefault="0042168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 místě: </w:t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Dům kultury Ostrava</w:t>
      </w:r>
    </w:p>
    <w:p w:rsidR="00F600AE" w:rsidRDefault="0042168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>spoluúčinkuje:</w:t>
      </w:r>
      <w:r>
        <w:rPr>
          <w:color w:val="000000"/>
          <w:sz w:val="24"/>
          <w:szCs w:val="24"/>
        </w:rPr>
        <w:tab/>
        <w:t xml:space="preserve">Marek </w:t>
      </w:r>
      <w:proofErr w:type="spellStart"/>
      <w:r>
        <w:rPr>
          <w:color w:val="000000"/>
          <w:sz w:val="24"/>
          <w:szCs w:val="24"/>
        </w:rPr>
        <w:t>Štilec</w:t>
      </w:r>
      <w:proofErr w:type="spellEnd"/>
      <w:r>
        <w:rPr>
          <w:color w:val="000000"/>
          <w:sz w:val="24"/>
          <w:szCs w:val="24"/>
        </w:rPr>
        <w:t xml:space="preserve">  - dirigent</w:t>
      </w:r>
    </w:p>
    <w:p w:rsidR="00F600AE" w:rsidRDefault="00F600A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F600AE" w:rsidRDefault="0042168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Licence</w:t>
      </w:r>
    </w:p>
    <w:p w:rsidR="00F600AE" w:rsidRDefault="004216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a) Umělec touto smlouvou uděluje (licenci) ke zveřejnění Výkonu pro společnost NAXOS, k jeho spojení s jinými autorskými díly a uměleckými výkony, k jeho zaznamenání na zvukové či zvukově-obrazové záznamy a jejich zařazení či spojení s jinými zvukovými</w:t>
      </w:r>
      <w:r>
        <w:rPr>
          <w:color w:val="000000"/>
          <w:sz w:val="24"/>
          <w:szCs w:val="24"/>
        </w:rPr>
        <w:t xml:space="preserve"> či zvukově-obrazovými záznamy, k jeho zařazení do souboru děl nebo výkonů, k jeho úpravě a editaci nutné pro užití Výkonu dle této smlouvy a k jeho užití</w:t>
      </w:r>
    </w:p>
    <w:p w:rsidR="00F600AE" w:rsidRDefault="004216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vcelku i po částech těmito způsoby:</w:t>
      </w:r>
    </w:p>
    <w:p w:rsidR="00F600AE" w:rsidRDefault="004216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všemi způsoby užití všemi formami a všemi technickými prostředky</w:t>
      </w:r>
    </w:p>
    <w:p w:rsidR="00F600AE" w:rsidRDefault="004216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Licence pro výše uvedené způsoby užití je poskytnuta v tomto rozsahu</w:t>
      </w:r>
    </w:p>
    <w:p w:rsidR="00F600AE" w:rsidRDefault="004216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časový </w:t>
      </w:r>
      <w:proofErr w:type="gramStart"/>
      <w:r>
        <w:rPr>
          <w:color w:val="000000"/>
          <w:sz w:val="24"/>
          <w:szCs w:val="24"/>
        </w:rPr>
        <w:t>rozsah:        neomezený</w:t>
      </w:r>
      <w:proofErr w:type="gramEnd"/>
    </w:p>
    <w:p w:rsidR="00F600AE" w:rsidRDefault="004216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místní </w:t>
      </w:r>
      <w:proofErr w:type="gramStart"/>
      <w:r>
        <w:rPr>
          <w:color w:val="000000"/>
          <w:sz w:val="24"/>
          <w:szCs w:val="24"/>
        </w:rPr>
        <w:t>rozsah:         neomezený</w:t>
      </w:r>
      <w:proofErr w:type="gramEnd"/>
    </w:p>
    <w:p w:rsidR="00F600AE" w:rsidRDefault="0042168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množstevní rozsah: neomezený</w:t>
      </w:r>
    </w:p>
    <w:p w:rsidR="00F600AE" w:rsidRDefault="00F600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F600AE" w:rsidRDefault="004216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Umělecký výkon, který je předmětem této smlouvy, bude proveden za následujících podmínek:</w:t>
      </w:r>
    </w:p>
    <w:p w:rsidR="00F600AE" w:rsidRDefault="0042168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a)</w:t>
      </w:r>
      <w:r>
        <w:rPr>
          <w:color w:val="000000"/>
          <w:sz w:val="24"/>
          <w:szCs w:val="24"/>
        </w:rPr>
        <w:tab/>
        <w:t xml:space="preserve">cena za vytvoření záznamu a poskytnutí </w:t>
      </w:r>
      <w:proofErr w:type="gramStart"/>
      <w:r>
        <w:rPr>
          <w:color w:val="000000"/>
          <w:sz w:val="24"/>
          <w:szCs w:val="24"/>
        </w:rPr>
        <w:t xml:space="preserve">licence : </w:t>
      </w:r>
      <w:r>
        <w:rPr>
          <w:b/>
          <w:color w:val="000000"/>
          <w:sz w:val="24"/>
          <w:szCs w:val="24"/>
        </w:rPr>
        <w:t>5.000</w:t>
      </w:r>
      <w:proofErr w:type="gramEnd"/>
      <w:r>
        <w:rPr>
          <w:b/>
          <w:color w:val="000000"/>
          <w:sz w:val="24"/>
          <w:szCs w:val="24"/>
        </w:rPr>
        <w:t xml:space="preserve"> EUR</w:t>
      </w:r>
      <w:r>
        <w:rPr>
          <w:color w:val="000000"/>
          <w:sz w:val="24"/>
          <w:szCs w:val="24"/>
        </w:rPr>
        <w:t xml:space="preserve"> </w:t>
      </w:r>
    </w:p>
    <w:p w:rsidR="00F600AE" w:rsidRDefault="0042168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b)</w:t>
      </w:r>
      <w:r>
        <w:rPr>
          <w:color w:val="000000"/>
          <w:sz w:val="24"/>
          <w:szCs w:val="24"/>
        </w:rPr>
        <w:tab/>
        <w:t>cestovní náklady: ne</w:t>
      </w:r>
    </w:p>
    <w:p w:rsidR="00F600AE" w:rsidRDefault="0042168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c)</w:t>
      </w:r>
      <w:r>
        <w:rPr>
          <w:color w:val="000000"/>
          <w:sz w:val="24"/>
          <w:szCs w:val="24"/>
        </w:rPr>
        <w:tab/>
        <w:t>volné vzorky – 30 ks</w:t>
      </w:r>
    </w:p>
    <w:p w:rsidR="00F600AE" w:rsidRDefault="00F600A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F600AE" w:rsidRDefault="0042168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  Výplata honoráře</w:t>
      </w:r>
    </w:p>
    <w:p w:rsidR="00F600AE" w:rsidRDefault="0042168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Bankovním převodem na základě faktury se splatností 180 dnů.</w:t>
      </w:r>
    </w:p>
    <w:p w:rsidR="00F600AE" w:rsidRDefault="00F600A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F600AE" w:rsidRDefault="0042168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5.  Ostatní ujednání</w:t>
      </w:r>
    </w:p>
    <w:p w:rsidR="00F600AE" w:rsidRDefault="004216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a) Jestliže nahrávka, které je předmětem této smlouvy nebude moci být uskutečněna z důvodu vyšší moci, tj. např. z příčin přírodní katastrofy, nehody, oficiální stávky, epidemie, nařízení či výnosů příslušných úřadů jak místních, tak národních vydaných</w:t>
      </w:r>
      <w:r>
        <w:rPr>
          <w:color w:val="000000"/>
          <w:sz w:val="24"/>
          <w:szCs w:val="24"/>
        </w:rPr>
        <w:t xml:space="preserve"> po podpisu této smlouvy nebo i z jiných příčin, které nebylo možné předvídat nebo odpovídajícím úsilím odvrátit a které nebyly zapříčiněny některým z účastníků smlouvy a nelze spravedlivě na kterémkoliv z nich požadovat, aby v plnění smlouvy pokračoval ne</w:t>
      </w:r>
      <w:r>
        <w:rPr>
          <w:color w:val="000000"/>
          <w:sz w:val="24"/>
          <w:szCs w:val="24"/>
        </w:rPr>
        <w:t>bo jej vyžadoval, pak má každý z nich právo od smlouvy odstoupit. Pro tento případ nemá žádný z účastníků smlouvy právo na úhradu jakýchkoliv finančních výdajů vynaložených v souvislosti s plněním této smlouvy.</w:t>
      </w:r>
    </w:p>
    <w:p w:rsidR="00F600AE" w:rsidRDefault="004216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b) Umělec uděluje souhlas se shromažďován</w:t>
      </w:r>
      <w:r>
        <w:rPr>
          <w:color w:val="000000"/>
          <w:sz w:val="24"/>
          <w:szCs w:val="24"/>
        </w:rPr>
        <w:t xml:space="preserve">ím, uchováním a zpracováním údajů obsažených v této smlouvě správcem </w:t>
      </w:r>
      <w:proofErr w:type="spellStart"/>
      <w:r>
        <w:rPr>
          <w:color w:val="000000"/>
          <w:sz w:val="24"/>
          <w:szCs w:val="24"/>
        </w:rPr>
        <w:t>ArcoDiva</w:t>
      </w:r>
      <w:proofErr w:type="spellEnd"/>
      <w:r>
        <w:rPr>
          <w:color w:val="000000"/>
          <w:sz w:val="24"/>
          <w:szCs w:val="24"/>
        </w:rPr>
        <w:t xml:space="preserve"> (příp. jeho zaměstnancům) v souladu s </w:t>
      </w:r>
      <w:r>
        <w:rPr>
          <w:color w:val="000000"/>
          <w:sz w:val="24"/>
          <w:szCs w:val="24"/>
          <w:highlight w:val="white"/>
        </w:rPr>
        <w:t xml:space="preserve">Obecným nařízením na ochranu osobních údajů, nařízení (EU) 2016/679, </w:t>
      </w:r>
      <w:r>
        <w:rPr>
          <w:color w:val="000000"/>
          <w:sz w:val="24"/>
          <w:szCs w:val="24"/>
        </w:rPr>
        <w:t xml:space="preserve">pro účely realizace </w:t>
      </w:r>
      <w:proofErr w:type="gramStart"/>
      <w:r>
        <w:rPr>
          <w:color w:val="000000"/>
          <w:sz w:val="24"/>
          <w:szCs w:val="24"/>
        </w:rPr>
        <w:t>práv a   povinností</w:t>
      </w:r>
      <w:proofErr w:type="gramEnd"/>
      <w:r>
        <w:rPr>
          <w:color w:val="000000"/>
          <w:sz w:val="24"/>
          <w:szCs w:val="24"/>
        </w:rPr>
        <w:t xml:space="preserve"> plynoucí z této smlouvy, zařaze</w:t>
      </w:r>
      <w:r>
        <w:rPr>
          <w:color w:val="000000"/>
          <w:sz w:val="24"/>
          <w:szCs w:val="24"/>
        </w:rPr>
        <w:t>ní osobních údajů do vnitřních databází správce a poskytování osobních údajů třetím osobám, a to do doby, kdy subjekt údajů přímo a účinně zašle správci informaci o tom, že svůj souhlas odvolává.</w:t>
      </w:r>
    </w:p>
    <w:p w:rsidR="00F600AE" w:rsidRDefault="004216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c) Umělec uděluje souhlas s realizací </w:t>
      </w:r>
      <w:proofErr w:type="spellStart"/>
      <w:r>
        <w:rPr>
          <w:color w:val="000000"/>
          <w:sz w:val="24"/>
          <w:szCs w:val="24"/>
        </w:rPr>
        <w:t>promo</w:t>
      </w:r>
      <w:proofErr w:type="spellEnd"/>
      <w:r>
        <w:rPr>
          <w:color w:val="000000"/>
          <w:sz w:val="24"/>
          <w:szCs w:val="24"/>
        </w:rPr>
        <w:t xml:space="preserve"> videa v nezby</w:t>
      </w:r>
      <w:r>
        <w:rPr>
          <w:color w:val="000000"/>
          <w:sz w:val="24"/>
          <w:szCs w:val="24"/>
        </w:rPr>
        <w:t xml:space="preserve">tně nutné délce dle par. 34 (úřední a zpravodajská licence) Autorského zákona. </w:t>
      </w:r>
    </w:p>
    <w:p w:rsidR="00F600AE" w:rsidRDefault="00F600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600AE" w:rsidRDefault="00F600A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F600AE" w:rsidRDefault="00F600A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F600AE" w:rsidRDefault="00F600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F600AE" w:rsidRDefault="004216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Podmínky registrace smlouvy do registru smluv při MVČR od </w:t>
      </w:r>
      <w:proofErr w:type="gramStart"/>
      <w:r>
        <w:rPr>
          <w:b/>
          <w:color w:val="000000"/>
          <w:sz w:val="24"/>
          <w:szCs w:val="24"/>
        </w:rPr>
        <w:t>1.7.2017</w:t>
      </w:r>
      <w:proofErr w:type="gramEnd"/>
    </w:p>
    <w:p w:rsidR="00F600AE" w:rsidRDefault="00F600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F600AE" w:rsidRDefault="004216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Smluvní strany se dohodly, že JFO bezodkladně po uzavření této smlouvy odešle smlouvu k řádnému uveřejnění do registru smluv vedeného Ministerstvem vnitra ČR. O uveřejnění smlouvy JFO bezodkladně informuje druhou smluvní stranu, nebyl-li kontaktní údaj </w:t>
      </w:r>
      <w:r>
        <w:rPr>
          <w:color w:val="000000"/>
          <w:sz w:val="24"/>
          <w:szCs w:val="24"/>
        </w:rPr>
        <w:lastRenderedPageBreak/>
        <w:t>tét</w:t>
      </w:r>
      <w:r>
        <w:rPr>
          <w:color w:val="000000"/>
          <w:sz w:val="24"/>
          <w:szCs w:val="24"/>
        </w:rPr>
        <w:t>o smluvní strany uveden přímo do registru smluv jako kontakt pro notifikaci o uveřejnění.</w:t>
      </w:r>
    </w:p>
    <w:p w:rsidR="00F600AE" w:rsidRDefault="00F600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F600AE" w:rsidRDefault="004216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Smluvní strany berou na vědomí, že nebude-li smlouva zveřejněna ani devadesátý den od jejího uzavření, je následujícím dnem zrušena od počátku s účinky případného be</w:t>
      </w:r>
      <w:r>
        <w:rPr>
          <w:color w:val="000000"/>
          <w:sz w:val="24"/>
          <w:szCs w:val="24"/>
        </w:rPr>
        <w:t>zdůvodného obohacení.</w:t>
      </w:r>
    </w:p>
    <w:p w:rsidR="00F600AE" w:rsidRDefault="00F600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F600AE" w:rsidRDefault="004216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Smluvní strany prohlašují, že žádná část smlouvy nenaplňuje znaky obchodního tajemství (§ 504 z. </w:t>
      </w:r>
      <w:proofErr w:type="gramStart"/>
      <w:r>
        <w:rPr>
          <w:color w:val="000000"/>
          <w:sz w:val="24"/>
          <w:szCs w:val="24"/>
        </w:rPr>
        <w:t>č.</w:t>
      </w:r>
      <w:proofErr w:type="gramEnd"/>
      <w:r>
        <w:rPr>
          <w:color w:val="000000"/>
          <w:sz w:val="24"/>
          <w:szCs w:val="24"/>
        </w:rPr>
        <w:t xml:space="preserve"> 89/2012 Sb., občanský zákoník).</w:t>
      </w:r>
    </w:p>
    <w:p w:rsidR="00F600AE" w:rsidRDefault="00F600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F600AE" w:rsidRDefault="004216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 případ, kdy je v uzavřené smlouvě uvedeno rodné číslo, e-mailová adresa, telefonní číslo, číslo účtu fyzické osoby, bydliště/sídlo fyzické osoby, se mluvní strany se dohodly, že smlouva bude uveřejněna bez těchto údajů. Dále se mluvní strany dohodly, ž</w:t>
      </w:r>
      <w:r>
        <w:rPr>
          <w:color w:val="000000"/>
          <w:sz w:val="24"/>
          <w:szCs w:val="24"/>
        </w:rPr>
        <w:t>e smlouva bude uveřejněna bez podpisů.</w:t>
      </w:r>
    </w:p>
    <w:p w:rsidR="00F600AE" w:rsidRDefault="00F600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F600AE" w:rsidRDefault="00F600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F600AE" w:rsidRDefault="00F600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F600AE" w:rsidRDefault="00F600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F600AE" w:rsidRDefault="004216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 souladu se zněním předchozího odstavce platí, že pro případ, kdy by smlouva obsahovala osobní údaje, které nejsou zahrnuty ve výše uvedeném výčtu a které zároveň nepodléhají uveřejnění dle příslušných právních p</w:t>
      </w:r>
      <w:r>
        <w:rPr>
          <w:color w:val="000000"/>
          <w:sz w:val="24"/>
          <w:szCs w:val="24"/>
        </w:rPr>
        <w:t xml:space="preserve">ředpisů, poskytuje </w:t>
      </w:r>
      <w:proofErr w:type="spellStart"/>
      <w:r>
        <w:rPr>
          <w:color w:val="000000"/>
          <w:sz w:val="24"/>
          <w:szCs w:val="24"/>
        </w:rPr>
        <w:t>Arco</w:t>
      </w:r>
      <w:proofErr w:type="spellEnd"/>
      <w:r>
        <w:rPr>
          <w:color w:val="000000"/>
          <w:sz w:val="24"/>
          <w:szCs w:val="24"/>
        </w:rPr>
        <w:t xml:space="preserve"> Diva svůj souhlas se zpracováním těchto údajů, konkrétně s jejich zveřejněním v registru smluv ve smyslu zákona č. 340/2015 Sb. JFO. Souhlas se uděluje na dobu neurčitou a je poskytnut dobrovolně. </w:t>
      </w:r>
    </w:p>
    <w:p w:rsidR="00F600AE" w:rsidRDefault="00F600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F600AE" w:rsidRDefault="00F600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F600AE" w:rsidRDefault="00F600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F600AE" w:rsidRDefault="00F600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F600AE" w:rsidRDefault="00F600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F600AE" w:rsidRDefault="00F600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F600AE" w:rsidRDefault="004216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…………………………..                                   …………………………….</w:t>
      </w:r>
    </w:p>
    <w:p w:rsidR="00F600AE" w:rsidRDefault="004216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ArcoDiva</w:t>
      </w:r>
      <w:proofErr w:type="spellEnd"/>
      <w:r>
        <w:rPr>
          <w:color w:val="000000"/>
          <w:sz w:val="22"/>
          <w:szCs w:val="22"/>
        </w:rPr>
        <w:t xml:space="preserve">                                                             Umělec</w:t>
      </w:r>
    </w:p>
    <w:p w:rsidR="00F600AE" w:rsidRDefault="00F600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F600AE" w:rsidRDefault="00F600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F600AE" w:rsidRDefault="00421684">
      <w:pPr>
        <w:pBdr>
          <w:top w:val="nil"/>
          <w:left w:val="nil"/>
          <w:bottom w:val="nil"/>
          <w:right w:val="nil"/>
          <w:between w:val="nil"/>
        </w:pBdr>
        <w:tabs>
          <w:tab w:val="left" w:pos="4239"/>
        </w:tabs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 Praze dne </w:t>
      </w:r>
      <w:proofErr w:type="gramStart"/>
      <w:r>
        <w:rPr>
          <w:color w:val="000000"/>
          <w:sz w:val="22"/>
          <w:szCs w:val="22"/>
        </w:rPr>
        <w:t>17.12. 2020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color w:val="000000"/>
          <w:sz w:val="22"/>
          <w:szCs w:val="22"/>
        </w:rPr>
        <w:t>V Ostravě dne 5. 12. 2020</w:t>
      </w:r>
      <w:bookmarkStart w:id="0" w:name="_GoBack"/>
      <w:bookmarkEnd w:id="0"/>
    </w:p>
    <w:sectPr w:rsidR="00F600AE">
      <w:headerReference w:type="default" r:id="rId8"/>
      <w:footerReference w:type="default" r:id="rId9"/>
      <w:headerReference w:type="first" r:id="rId10"/>
      <w:footerReference w:type="first" r:id="rId11"/>
      <w:pgSz w:w="11905" w:h="16837"/>
      <w:pgMar w:top="1418" w:right="1701" w:bottom="1418" w:left="1701" w:header="567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21684">
      <w:pPr>
        <w:spacing w:line="240" w:lineRule="auto"/>
        <w:ind w:left="0" w:hanging="2"/>
      </w:pPr>
      <w:r>
        <w:separator/>
      </w:r>
    </w:p>
  </w:endnote>
  <w:endnote w:type="continuationSeparator" w:id="0">
    <w:p w:rsidR="00000000" w:rsidRDefault="0042168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0AE" w:rsidRDefault="0042168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  <w:tab w:val="left" w:pos="4395"/>
        <w:tab w:val="left" w:pos="4678"/>
        <w:tab w:val="left" w:pos="6379"/>
      </w:tabs>
      <w:spacing w:line="240" w:lineRule="auto"/>
      <w:ind w:left="0" w:hanging="2"/>
      <w:rPr>
        <w:rFonts w:ascii="Arial" w:eastAsia="Arial" w:hAnsi="Arial" w:cs="Arial"/>
        <w:color w:val="000000"/>
        <w:sz w:val="16"/>
        <w:szCs w:val="16"/>
      </w:rPr>
    </w:pPr>
    <w:r>
      <w:rPr>
        <w:color w:val="000000"/>
      </w:rPr>
      <w:tab/>
    </w:r>
    <w:proofErr w:type="spellStart"/>
    <w:r>
      <w:rPr>
        <w:rFonts w:ascii="Arial" w:eastAsia="Arial" w:hAnsi="Arial" w:cs="Arial"/>
        <w:color w:val="000000"/>
        <w:sz w:val="16"/>
        <w:szCs w:val="16"/>
      </w:rPr>
      <w:t>ArcoDiva</w:t>
    </w:r>
    <w:proofErr w:type="spellEnd"/>
    <w:r>
      <w:rPr>
        <w:rFonts w:ascii="Arial" w:eastAsia="Arial" w:hAnsi="Arial" w:cs="Arial"/>
        <w:color w:val="000000"/>
        <w:sz w:val="16"/>
        <w:szCs w:val="16"/>
      </w:rPr>
      <w:t xml:space="preserve"> Management s.r.o.</w:t>
    </w:r>
    <w:r>
      <w:rPr>
        <w:rFonts w:ascii="Arial" w:eastAsia="Arial" w:hAnsi="Arial" w:cs="Arial"/>
        <w:color w:val="000000"/>
        <w:sz w:val="16"/>
        <w:szCs w:val="16"/>
      </w:rPr>
      <w:tab/>
      <w:t>tel.:</w:t>
    </w:r>
    <w:r>
      <w:rPr>
        <w:rFonts w:ascii="Arial" w:eastAsia="Arial" w:hAnsi="Arial" w:cs="Arial"/>
        <w:color w:val="000000"/>
        <w:sz w:val="16"/>
        <w:szCs w:val="16"/>
      </w:rPr>
      <w:tab/>
      <w:t>+ 420 223 006 934-5</w:t>
    </w:r>
    <w:r>
      <w:rPr>
        <w:rFonts w:ascii="Arial" w:eastAsia="Arial" w:hAnsi="Arial" w:cs="Arial"/>
        <w:color w:val="000000"/>
        <w:sz w:val="16"/>
        <w:szCs w:val="16"/>
      </w:rPr>
      <w:tab/>
      <w:t>e-mail: arcodiva@arcodiva.cz</w:t>
    </w:r>
    <w:r>
      <w:rPr>
        <w:noProof/>
        <w:lang w:eastAsia="cs-CZ"/>
      </w:rPr>
      <w:drawing>
        <wp:anchor distT="0" distB="0" distL="114935" distR="114935" simplePos="0" relativeHeight="251659264" behindDoc="0" locked="0" layoutInCell="1" hidden="0" allowOverlap="1">
          <wp:simplePos x="0" y="0"/>
          <wp:positionH relativeFrom="column">
            <wp:posOffset>-800099</wp:posOffset>
          </wp:positionH>
          <wp:positionV relativeFrom="paragraph">
            <wp:posOffset>-59054</wp:posOffset>
          </wp:positionV>
          <wp:extent cx="2056130" cy="266700"/>
          <wp:effectExtent l="0" t="0" r="0" b="0"/>
          <wp:wrapSquare wrapText="bothSides" distT="0" distB="0" distL="114935" distR="114935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6130" cy="266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600AE" w:rsidRDefault="0042168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  <w:tab w:val="left" w:pos="4395"/>
        <w:tab w:val="left" w:pos="4678"/>
        <w:tab w:val="left" w:pos="6379"/>
      </w:tabs>
      <w:spacing w:line="240" w:lineRule="auto"/>
      <w:ind w:left="0" w:hanging="2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ab/>
      <w:t>Jaromírova 48, 128 00 Praha 2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>+ 420 777 687 797</w:t>
    </w:r>
    <w:r>
      <w:rPr>
        <w:rFonts w:ascii="Arial" w:eastAsia="Arial" w:hAnsi="Arial" w:cs="Arial"/>
        <w:color w:val="000000"/>
        <w:sz w:val="16"/>
        <w:szCs w:val="16"/>
      </w:rPr>
      <w:tab/>
      <w:t>www.arcodiva.cz</w:t>
    </w:r>
  </w:p>
  <w:p w:rsidR="00F600AE" w:rsidRDefault="0042168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  <w:tab w:val="left" w:pos="4395"/>
        <w:tab w:val="left" w:pos="4678"/>
        <w:tab w:val="left" w:pos="6379"/>
      </w:tabs>
      <w:spacing w:line="240" w:lineRule="auto"/>
      <w:ind w:left="0" w:hanging="2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ab/>
      <w:t>Czech Republic</w:t>
    </w:r>
    <w:r>
      <w:rPr>
        <w:rFonts w:ascii="Arial" w:eastAsia="Arial" w:hAnsi="Arial" w:cs="Arial"/>
        <w:color w:val="000000"/>
        <w:sz w:val="16"/>
        <w:szCs w:val="16"/>
      </w:rPr>
      <w:tab/>
      <w:t>fax:</w:t>
    </w:r>
    <w:r>
      <w:rPr>
        <w:rFonts w:ascii="Arial" w:eastAsia="Arial" w:hAnsi="Arial" w:cs="Arial"/>
        <w:color w:val="000000"/>
        <w:sz w:val="16"/>
        <w:szCs w:val="16"/>
      </w:rPr>
      <w:tab/>
      <w:t>+ 420  223 006 935</w:t>
    </w:r>
    <w:r>
      <w:rPr>
        <w:rFonts w:ascii="Arial" w:eastAsia="Arial" w:hAnsi="Arial" w:cs="Arial"/>
        <w:color w:val="000000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0AE" w:rsidRDefault="00F600A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21684">
      <w:pPr>
        <w:spacing w:line="240" w:lineRule="auto"/>
        <w:ind w:left="0" w:hanging="2"/>
      </w:pPr>
      <w:r>
        <w:separator/>
      </w:r>
    </w:p>
  </w:footnote>
  <w:footnote w:type="continuationSeparator" w:id="0">
    <w:p w:rsidR="00000000" w:rsidRDefault="0042168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0AE" w:rsidRDefault="0042168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noProof/>
        <w:lang w:eastAsia="cs-CZ"/>
      </w:rPr>
      <w:drawing>
        <wp:anchor distT="0" distB="0" distL="114935" distR="114935" simplePos="0" relativeHeight="251658240" behindDoc="0" locked="0" layoutInCell="1" hidden="0" allowOverlap="1">
          <wp:simplePos x="0" y="0"/>
          <wp:positionH relativeFrom="column">
            <wp:posOffset>4636135</wp:posOffset>
          </wp:positionH>
          <wp:positionV relativeFrom="paragraph">
            <wp:posOffset>-14604</wp:posOffset>
          </wp:positionV>
          <wp:extent cx="1381125" cy="521970"/>
          <wp:effectExtent l="0" t="0" r="0" b="0"/>
          <wp:wrapSquare wrapText="bothSides" distT="0" distB="0" distL="114935" distR="114935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1125" cy="5219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0AE" w:rsidRDefault="00F600A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4038D"/>
    <w:multiLevelType w:val="multilevel"/>
    <w:tmpl w:val="D35ACBA8"/>
    <w:lvl w:ilvl="0">
      <w:start w:val="1"/>
      <w:numFmt w:val="bullet"/>
      <w:pStyle w:val="Nadpis1"/>
      <w:lvlText w:val="€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lowerLetter"/>
      <w:pStyle w:val="Nadpis2"/>
      <w:lvlText w:val="%2)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pStyle w:val="Nadpis3"/>
      <w:lvlText w:val="%3)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pStyle w:val="Nadpis4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pStyle w:val="Nadpis5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pStyle w:val="Nadpis6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1" w15:restartNumberingAfterBreak="0">
    <w:nsid w:val="28D1111B"/>
    <w:multiLevelType w:val="multilevel"/>
    <w:tmpl w:val="EDDA7854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4E2E0DAB"/>
    <w:multiLevelType w:val="multilevel"/>
    <w:tmpl w:val="23DC24A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0AE"/>
    <w:rsid w:val="00421684"/>
    <w:rsid w:val="00F6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E5FD8-096D-42B4-AE54-5E1D8B6F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Nadpis1">
    <w:name w:val="heading 1"/>
    <w:basedOn w:val="Normln"/>
    <w:next w:val="Normln"/>
    <w:pPr>
      <w:keepNext/>
      <w:numPr>
        <w:numId w:val="1"/>
      </w:numPr>
      <w:tabs>
        <w:tab w:val="left" w:pos="6379"/>
        <w:tab w:val="left" w:pos="7088"/>
      </w:tabs>
      <w:ind w:left="0" w:firstLine="0"/>
    </w:pPr>
    <w:rPr>
      <w:rFonts w:ascii="Gill Sans" w:hAnsi="Gill Sans"/>
      <w:b/>
      <w:sz w:val="18"/>
      <w:u w:val="single"/>
    </w:rPr>
  </w:style>
  <w:style w:type="paragraph" w:styleId="Nadpis2">
    <w:name w:val="heading 2"/>
    <w:basedOn w:val="Normln"/>
    <w:next w:val="Normln"/>
    <w:pPr>
      <w:keepNext/>
      <w:numPr>
        <w:ilvl w:val="1"/>
        <w:numId w:val="1"/>
      </w:numPr>
      <w:tabs>
        <w:tab w:val="left" w:pos="851"/>
      </w:tabs>
      <w:spacing w:before="240" w:after="240"/>
      <w:ind w:left="0" w:firstLine="0"/>
      <w:outlineLvl w:val="1"/>
    </w:pPr>
    <w:rPr>
      <w:rFonts w:ascii="Gill Sans" w:hAnsi="Gill Sans"/>
      <w:b/>
      <w:spacing w:val="20"/>
      <w:sz w:val="22"/>
      <w:u w:val="single"/>
    </w:rPr>
  </w:style>
  <w:style w:type="paragraph" w:styleId="Nadpis3">
    <w:name w:val="heading 3"/>
    <w:basedOn w:val="Normln"/>
    <w:next w:val="Normln"/>
    <w:pPr>
      <w:keepNext/>
      <w:numPr>
        <w:ilvl w:val="2"/>
        <w:numId w:val="1"/>
      </w:numPr>
      <w:spacing w:before="240" w:after="240"/>
      <w:ind w:left="0" w:firstLine="0"/>
      <w:jc w:val="center"/>
      <w:outlineLvl w:val="2"/>
    </w:pPr>
    <w:rPr>
      <w:rFonts w:ascii="Gill Sans" w:hAnsi="Gill Sans"/>
      <w:b/>
      <w:color w:val="000000"/>
      <w:sz w:val="28"/>
    </w:rPr>
  </w:style>
  <w:style w:type="paragraph" w:styleId="Nadpis4">
    <w:name w:val="heading 4"/>
    <w:basedOn w:val="Normln"/>
    <w:next w:val="Normln"/>
    <w:pPr>
      <w:keepNext/>
      <w:numPr>
        <w:ilvl w:val="3"/>
        <w:numId w:val="1"/>
      </w:numPr>
      <w:tabs>
        <w:tab w:val="left" w:pos="6237"/>
        <w:tab w:val="left" w:pos="9356"/>
      </w:tabs>
      <w:ind w:left="0" w:firstLine="0"/>
      <w:outlineLvl w:val="3"/>
    </w:pPr>
    <w:rPr>
      <w:rFonts w:ascii="Gill Sans" w:hAnsi="Gill Sans"/>
      <w:b/>
      <w:color w:val="000000"/>
    </w:rPr>
  </w:style>
  <w:style w:type="paragraph" w:styleId="Nadpis5">
    <w:name w:val="heading 5"/>
    <w:basedOn w:val="Normln"/>
    <w:next w:val="Normln"/>
    <w:pPr>
      <w:keepNext/>
      <w:numPr>
        <w:ilvl w:val="4"/>
        <w:numId w:val="1"/>
      </w:numPr>
      <w:ind w:left="0" w:firstLine="0"/>
      <w:outlineLvl w:val="4"/>
    </w:pPr>
    <w:rPr>
      <w:rFonts w:ascii="Tahoma" w:hAnsi="Tahoma"/>
      <w:b/>
      <w:color w:val="000000"/>
      <w:sz w:val="18"/>
    </w:rPr>
  </w:style>
  <w:style w:type="paragraph" w:styleId="Nadpis6">
    <w:name w:val="heading 6"/>
    <w:basedOn w:val="Normln"/>
    <w:next w:val="Normln"/>
    <w:pPr>
      <w:keepNext/>
      <w:numPr>
        <w:ilvl w:val="5"/>
        <w:numId w:val="1"/>
      </w:numPr>
      <w:tabs>
        <w:tab w:val="left" w:pos="6237"/>
        <w:tab w:val="left" w:pos="7258"/>
        <w:tab w:val="left" w:pos="7825"/>
        <w:tab w:val="left" w:pos="9526"/>
      </w:tabs>
      <w:ind w:left="0" w:firstLine="0"/>
      <w:outlineLvl w:val="5"/>
    </w:pPr>
    <w:rPr>
      <w:rFonts w:ascii="Tahoma" w:hAnsi="Tahoma"/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imes New Roman" w:hAnsi="Times New Roman"/>
      <w:b/>
      <w:i w:val="0"/>
      <w:w w:val="100"/>
      <w:position w:val="-1"/>
      <w:sz w:val="12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Standardnpsmoodstavce1">
    <w:name w:val="Standardní písmo odstavce1"/>
    <w:rPr>
      <w:w w:val="100"/>
      <w:position w:val="-1"/>
      <w:effect w:val="none"/>
      <w:vertAlign w:val="baseline"/>
      <w:cs w:val="0"/>
      <w:em w:val="none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Sledovanodkaz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tabs>
        <w:tab w:val="left" w:pos="284"/>
      </w:tabs>
      <w:spacing w:before="120" w:after="120"/>
      <w:jc w:val="both"/>
    </w:pPr>
    <w:rPr>
      <w:rFonts w:ascii="Gill Sans" w:hAnsi="Gill Sans"/>
      <w:b/>
      <w:sz w:val="22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Hracsystm">
    <w:name w:val="Hrací systém:"/>
    <w:basedOn w:val="Normln"/>
  </w:style>
  <w:style w:type="paragraph" w:styleId="Zkladntextodsazen">
    <w:name w:val="Body Text Indent"/>
    <w:basedOn w:val="Normln"/>
    <w:pPr>
      <w:tabs>
        <w:tab w:val="left" w:pos="284"/>
        <w:tab w:val="left" w:pos="6379"/>
        <w:tab w:val="left" w:pos="7088"/>
      </w:tabs>
      <w:ind w:left="-142" w:firstLine="0"/>
      <w:jc w:val="both"/>
    </w:pPr>
    <w:rPr>
      <w:rFonts w:ascii="Gill Sans" w:hAnsi="Gill Sans"/>
    </w:rPr>
  </w:style>
  <w:style w:type="paragraph" w:customStyle="1" w:styleId="Zkladntext21">
    <w:name w:val="Základní text 21"/>
    <w:basedOn w:val="Normln"/>
    <w:pPr>
      <w:tabs>
        <w:tab w:val="left" w:pos="284"/>
      </w:tabs>
      <w:spacing w:before="120" w:after="120"/>
      <w:jc w:val="both"/>
    </w:pPr>
    <w:rPr>
      <w:rFonts w:ascii="Gill Sans" w:hAnsi="Gill Sans"/>
      <w:sz w:val="22"/>
    </w:rPr>
  </w:style>
  <w:style w:type="paragraph" w:customStyle="1" w:styleId="Zkladntext31">
    <w:name w:val="Základní text 31"/>
    <w:basedOn w:val="Normln"/>
    <w:pPr>
      <w:tabs>
        <w:tab w:val="left" w:pos="567"/>
      </w:tabs>
      <w:spacing w:before="120"/>
      <w:jc w:val="both"/>
    </w:pPr>
    <w:rPr>
      <w:rFonts w:ascii="Gill Sans" w:hAnsi="Gill Sans"/>
      <w:spacing w:val="20"/>
    </w:rPr>
  </w:style>
  <w:style w:type="paragraph" w:customStyle="1" w:styleId="Zkladntextodsazen21">
    <w:name w:val="Základní text odsazený 21"/>
    <w:basedOn w:val="Normln"/>
    <w:pPr>
      <w:tabs>
        <w:tab w:val="left" w:pos="284"/>
        <w:tab w:val="left" w:pos="6379"/>
        <w:tab w:val="left" w:pos="7088"/>
      </w:tabs>
      <w:ind w:left="-142" w:firstLine="0"/>
      <w:jc w:val="both"/>
    </w:pPr>
    <w:rPr>
      <w:rFonts w:ascii="Tahoma" w:hAnsi="Tahoma"/>
      <w:sz w:val="18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numbering" w:customStyle="1" w:styleId="Styl1">
    <w:name w:val="Styl1"/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KbGyRLBBo7ewEuIMLuH1lh9qNQ==">AMUW2mUrQoFiIrYCwKQPfNTo2OL6zHZMU4gs9wLGXSyPmq25Oc7fw1PnFxFVhQjIjIJRsCAHKh+V84Hj7VTAA9VmWoj9WFCxMVRWgEW1prO9aAlJtOXze2Y=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4182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Mlčoušek</dc:creator>
  <cp:lastModifiedBy>Markéta Vyležíková</cp:lastModifiedBy>
  <cp:revision>2</cp:revision>
  <dcterms:created xsi:type="dcterms:W3CDTF">2021-01-06T07:39:00Z</dcterms:created>
  <dcterms:modified xsi:type="dcterms:W3CDTF">2021-01-06T07:39:00Z</dcterms:modified>
</cp:coreProperties>
</file>