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1"/>
        <w:gridCol w:w="588"/>
        <w:gridCol w:w="907"/>
      </w:tblGrid>
      <w:tr w:rsidR="008373AD" w:rsidTr="00290C87">
        <w:trPr>
          <w:trHeight w:hRule="exact" w:val="323"/>
        </w:trPr>
        <w:tc>
          <w:tcPr>
            <w:tcW w:w="5071" w:type="dxa"/>
            <w:vMerge w:val="restart"/>
          </w:tcPr>
          <w:p w:rsidR="008373AD" w:rsidRDefault="008373AD" w:rsidP="00290C87">
            <w:pPr>
              <w:spacing w:line="295" w:lineRule="auto"/>
              <w:ind w:left="432" w:right="1116" w:hanging="360"/>
              <w:rPr>
                <w:rFonts w:ascii="Arial" w:hAnsi="Arial"/>
                <w:b/>
                <w:i/>
                <w:color w:val="000000"/>
                <w:spacing w:val="3"/>
                <w:sz w:val="23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3"/>
                <w:sz w:val="23"/>
                <w:lang w:val="cs-CZ"/>
              </w:rPr>
              <w:t xml:space="preserve">Dodatek č. 9 kupní smlouvy -KS : </w:t>
            </w:r>
            <w:r>
              <w:rPr>
                <w:rFonts w:ascii="Arial" w:hAnsi="Arial"/>
                <w:b/>
                <w:i/>
                <w:color w:val="000000"/>
                <w:spacing w:val="4"/>
                <w:sz w:val="23"/>
                <w:lang w:val="cs-CZ"/>
              </w:rPr>
              <w:t xml:space="preserve">Cenová doložka </w:t>
            </w:r>
            <w:proofErr w:type="gramStart"/>
            <w:r>
              <w:rPr>
                <w:rFonts w:ascii="Arial" w:hAnsi="Arial"/>
                <w:b/>
                <w:i/>
                <w:color w:val="000000"/>
                <w:spacing w:val="4"/>
                <w:sz w:val="23"/>
                <w:lang w:val="cs-CZ"/>
              </w:rPr>
              <w:t>číslo :</w:t>
            </w:r>
            <w:proofErr w:type="gramEnd"/>
          </w:p>
        </w:tc>
        <w:tc>
          <w:tcPr>
            <w:tcW w:w="588" w:type="dxa"/>
            <w:tcBorders>
              <w:top w:val="none" w:sz="0" w:space="0" w:color="000000"/>
              <w:left w:val="nil"/>
              <w:bottom w:val="none" w:sz="0" w:space="0" w:color="000000"/>
              <w:right w:val="single" w:sz="12" w:space="0" w:color="444242"/>
            </w:tcBorders>
          </w:tcPr>
          <w:p w:rsidR="008373AD" w:rsidRDefault="008373AD" w:rsidP="00290C87"/>
        </w:tc>
        <w:tc>
          <w:tcPr>
            <w:tcW w:w="907" w:type="dxa"/>
            <w:tcBorders>
              <w:top w:val="single" w:sz="10" w:space="0" w:color="454342"/>
              <w:left w:val="single" w:sz="12" w:space="0" w:color="444242"/>
              <w:bottom w:val="single" w:sz="12" w:space="0" w:color="4F4F50"/>
              <w:right w:val="single" w:sz="12" w:space="0" w:color="444242"/>
            </w:tcBorders>
            <w:vAlign w:val="center"/>
          </w:tcPr>
          <w:p w:rsidR="008373AD" w:rsidRDefault="008373AD" w:rsidP="00290C87">
            <w:pPr>
              <w:ind w:right="100"/>
              <w:jc w:val="right"/>
              <w:rPr>
                <w:rFonts w:ascii="Arial" w:hAnsi="Arial"/>
                <w:b/>
                <w:i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23"/>
                <w:lang w:val="cs-CZ"/>
              </w:rPr>
              <w:t>47</w:t>
            </w:r>
          </w:p>
        </w:tc>
      </w:tr>
      <w:tr w:rsidR="008373AD" w:rsidTr="00290C87">
        <w:trPr>
          <w:trHeight w:hRule="exact" w:val="357"/>
        </w:trPr>
        <w:tc>
          <w:tcPr>
            <w:tcW w:w="5071" w:type="dxa"/>
            <w:vMerge/>
          </w:tcPr>
          <w:p w:rsidR="008373AD" w:rsidRDefault="008373AD" w:rsidP="00290C87"/>
        </w:tc>
        <w:tc>
          <w:tcPr>
            <w:tcW w:w="588" w:type="dxa"/>
            <w:tcBorders>
              <w:top w:val="none" w:sz="0" w:space="0" w:color="000000"/>
              <w:left w:val="nil"/>
              <w:bottom w:val="none" w:sz="0" w:space="0" w:color="000000"/>
              <w:right w:val="single" w:sz="12" w:space="0" w:color="444242"/>
            </w:tcBorders>
          </w:tcPr>
          <w:p w:rsidR="008373AD" w:rsidRDefault="008373AD" w:rsidP="00290C87"/>
        </w:tc>
        <w:tc>
          <w:tcPr>
            <w:tcW w:w="907" w:type="dxa"/>
            <w:tcBorders>
              <w:top w:val="single" w:sz="12" w:space="0" w:color="4F4F50"/>
              <w:left w:val="single" w:sz="12" w:space="0" w:color="444242"/>
              <w:bottom w:val="single" w:sz="12" w:space="0" w:color="4F4F50"/>
              <w:right w:val="single" w:sz="12" w:space="0" w:color="444242"/>
            </w:tcBorders>
            <w:vAlign w:val="center"/>
          </w:tcPr>
          <w:p w:rsidR="008373AD" w:rsidRDefault="008373AD" w:rsidP="00290C87">
            <w:pPr>
              <w:ind w:right="100"/>
              <w:jc w:val="right"/>
              <w:rPr>
                <w:rFonts w:ascii="Arial" w:hAnsi="Arial"/>
                <w:b/>
                <w:i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23"/>
                <w:lang w:val="cs-CZ"/>
              </w:rPr>
              <w:t>9</w:t>
            </w:r>
          </w:p>
        </w:tc>
      </w:tr>
    </w:tbl>
    <w:p w:rsidR="008373AD" w:rsidRDefault="008373AD" w:rsidP="008373AD">
      <w:pPr>
        <w:spacing w:after="222" w:line="20" w:lineRule="exact"/>
      </w:pPr>
    </w:p>
    <w:p w:rsidR="008373AD" w:rsidRDefault="008373AD" w:rsidP="008373AD">
      <w:pPr>
        <w:spacing w:line="216" w:lineRule="auto"/>
        <w:jc w:val="center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Předběžná kalkulace na rok 2021</w:t>
      </w:r>
    </w:p>
    <w:tbl>
      <w:tblPr>
        <w:tblW w:w="0" w:type="auto"/>
        <w:tblInd w:w="9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43"/>
        <w:gridCol w:w="888"/>
        <w:gridCol w:w="848"/>
        <w:gridCol w:w="985"/>
        <w:gridCol w:w="3640"/>
      </w:tblGrid>
      <w:tr w:rsidR="008373AD" w:rsidTr="00761F1E">
        <w:trPr>
          <w:trHeight w:hRule="exact" w:val="79"/>
        </w:trPr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18" w:space="0" w:color="544D4A"/>
              <w:right w:val="none" w:sz="0" w:space="0" w:color="000000"/>
            </w:tcBorders>
          </w:tcPr>
          <w:p w:rsidR="008373AD" w:rsidRDefault="008373AD" w:rsidP="00290C87"/>
        </w:tc>
        <w:tc>
          <w:tcPr>
            <w:tcW w:w="24" w:type="dxa"/>
            <w:tcBorders>
              <w:top w:val="none" w:sz="0" w:space="0" w:color="000000"/>
              <w:left w:val="none" w:sz="0" w:space="0" w:color="000000"/>
              <w:bottom w:val="single" w:sz="14" w:space="0" w:color="544D4A"/>
            </w:tcBorders>
          </w:tcPr>
          <w:p w:rsidR="008373AD" w:rsidRDefault="008373AD" w:rsidP="00290C87"/>
        </w:tc>
        <w:tc>
          <w:tcPr>
            <w:tcW w:w="888" w:type="dxa"/>
          </w:tcPr>
          <w:p w:rsidR="008373AD" w:rsidRDefault="008373AD" w:rsidP="00290C87"/>
        </w:tc>
        <w:tc>
          <w:tcPr>
            <w:tcW w:w="848" w:type="dxa"/>
            <w:tcBorders>
              <w:right w:val="single" w:sz="4" w:space="0" w:color="auto"/>
            </w:tcBorders>
          </w:tcPr>
          <w:p w:rsidR="008373AD" w:rsidRDefault="008373AD" w:rsidP="00290C87"/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AD" w:rsidRDefault="008373AD" w:rsidP="00290C87">
            <w:pPr>
              <w:ind w:right="197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ADRESA: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:rsidR="008373AD" w:rsidRDefault="008373AD" w:rsidP="00290C87"/>
        </w:tc>
      </w:tr>
      <w:tr w:rsidR="008373AD" w:rsidTr="00761F1E">
        <w:trPr>
          <w:trHeight w:hRule="exact" w:val="158"/>
        </w:trPr>
        <w:tc>
          <w:tcPr>
            <w:tcW w:w="1088" w:type="dxa"/>
            <w:vMerge w:val="restart"/>
            <w:tcBorders>
              <w:top w:val="single" w:sz="18" w:space="0" w:color="544D4A"/>
              <w:left w:val="single" w:sz="18" w:space="0" w:color="575153"/>
              <w:bottom w:val="single" w:sz="4" w:space="0" w:color="auto"/>
              <w:right w:val="single" w:sz="18" w:space="0" w:color="585151"/>
            </w:tcBorders>
            <w:vAlign w:val="center"/>
          </w:tcPr>
          <w:p w:rsidR="008373AD" w:rsidRPr="00761F1E" w:rsidRDefault="008373AD" w:rsidP="00761F1E">
            <w:pPr>
              <w:ind w:right="186"/>
              <w:jc w:val="right"/>
              <w:rPr>
                <w:rFonts w:ascii="Times New Roman" w:hAnsi="Times New Roman"/>
                <w:b/>
                <w:color w:val="000000"/>
                <w:spacing w:val="-44"/>
                <w:w w:val="110"/>
                <w:sz w:val="52"/>
                <w:szCs w:val="52"/>
                <w:lang w:val="cs-CZ"/>
              </w:rPr>
            </w:pPr>
            <w:r w:rsidRPr="00761F1E">
              <w:rPr>
                <w:rFonts w:ascii="Times New Roman" w:hAnsi="Times New Roman"/>
                <w:b/>
                <w:color w:val="000000"/>
                <w:spacing w:val="-44"/>
                <w:w w:val="110"/>
                <w:sz w:val="52"/>
                <w:szCs w:val="52"/>
                <w:lang w:val="cs-CZ"/>
              </w:rPr>
              <w:t>T</w:t>
            </w:r>
            <w:r w:rsidR="00761F1E" w:rsidRPr="00761F1E">
              <w:rPr>
                <w:rFonts w:ascii="Times New Roman" w:hAnsi="Times New Roman"/>
                <w:b/>
                <w:color w:val="000000"/>
                <w:spacing w:val="-44"/>
                <w:w w:val="110"/>
                <w:sz w:val="52"/>
                <w:szCs w:val="52"/>
                <w:lang w:val="cs-CZ"/>
              </w:rPr>
              <w:t>H</w:t>
            </w:r>
          </w:p>
        </w:tc>
        <w:tc>
          <w:tcPr>
            <w:tcW w:w="24" w:type="dxa"/>
            <w:tcBorders>
              <w:top w:val="single" w:sz="14" w:space="0" w:color="544D4A"/>
              <w:left w:val="single" w:sz="18" w:space="0" w:color="585151"/>
              <w:bottom w:val="none" w:sz="0" w:space="0" w:color="000000"/>
            </w:tcBorders>
          </w:tcPr>
          <w:p w:rsidR="008373AD" w:rsidRDefault="008373AD" w:rsidP="00290C87"/>
        </w:tc>
        <w:tc>
          <w:tcPr>
            <w:tcW w:w="888" w:type="dxa"/>
          </w:tcPr>
          <w:p w:rsidR="008373AD" w:rsidRDefault="008373AD" w:rsidP="00290C87"/>
        </w:tc>
        <w:tc>
          <w:tcPr>
            <w:tcW w:w="848" w:type="dxa"/>
            <w:tcBorders>
              <w:right w:val="single" w:sz="4" w:space="0" w:color="auto"/>
            </w:tcBorders>
          </w:tcPr>
          <w:p w:rsidR="008373AD" w:rsidRDefault="008373AD" w:rsidP="00290C87"/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AD" w:rsidRDefault="008373AD" w:rsidP="00290C87"/>
        </w:tc>
        <w:tc>
          <w:tcPr>
            <w:tcW w:w="3640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:rsidR="008373AD" w:rsidRDefault="008373AD" w:rsidP="00290C87"/>
        </w:tc>
      </w:tr>
      <w:tr w:rsidR="008373AD" w:rsidTr="00761F1E">
        <w:trPr>
          <w:trHeight w:hRule="exact" w:val="1159"/>
        </w:trPr>
        <w:tc>
          <w:tcPr>
            <w:tcW w:w="1088" w:type="dxa"/>
            <w:vMerge/>
            <w:tcBorders>
              <w:left w:val="single" w:sz="18" w:space="0" w:color="575153"/>
              <w:bottom w:val="single" w:sz="4" w:space="0" w:color="auto"/>
              <w:right w:val="single" w:sz="18" w:space="0" w:color="585151"/>
            </w:tcBorders>
            <w:vAlign w:val="center"/>
          </w:tcPr>
          <w:p w:rsidR="008373AD" w:rsidRDefault="008373AD" w:rsidP="00290C87"/>
        </w:tc>
        <w:tc>
          <w:tcPr>
            <w:tcW w:w="24" w:type="dxa"/>
            <w:tcBorders>
              <w:top w:val="none" w:sz="0" w:space="0" w:color="000000"/>
              <w:left w:val="single" w:sz="18" w:space="0" w:color="585151"/>
              <w:bottom w:val="none" w:sz="0" w:space="0" w:color="000000"/>
            </w:tcBorders>
          </w:tcPr>
          <w:p w:rsidR="008373AD" w:rsidRDefault="008373AD" w:rsidP="00290C87"/>
        </w:tc>
        <w:tc>
          <w:tcPr>
            <w:tcW w:w="888" w:type="dxa"/>
          </w:tcPr>
          <w:p w:rsidR="008373AD" w:rsidRDefault="008373AD" w:rsidP="00290C87">
            <w:bookmarkStart w:id="0" w:name="_GoBack"/>
            <w:bookmarkEnd w:id="0"/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8373AD" w:rsidRDefault="008373AD" w:rsidP="00290C87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3AD" w:rsidRDefault="008373AD" w:rsidP="00290C87"/>
        </w:tc>
        <w:tc>
          <w:tcPr>
            <w:tcW w:w="3640" w:type="dxa"/>
            <w:vMerge w:val="restart"/>
            <w:tcBorders>
              <w:top w:val="none" w:sz="0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8373AD" w:rsidRDefault="008373AD" w:rsidP="00290C87">
            <w:pPr>
              <w:ind w:left="30" w:right="2016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 xml:space="preserve">2. </w:t>
            </w:r>
            <w:r>
              <w:rPr>
                <w:rFonts w:ascii="Verdana" w:hAnsi="Verdana"/>
                <w:i/>
                <w:color w:val="000000"/>
                <w:sz w:val="16"/>
                <w:lang w:val="cs-CZ"/>
              </w:rPr>
              <w:t xml:space="preserve">Základní škola </w:t>
            </w:r>
            <w:r>
              <w:rPr>
                <w:rFonts w:ascii="Verdana" w:hAnsi="Verdana"/>
                <w:i/>
                <w:color w:val="000000"/>
                <w:spacing w:val="-10"/>
                <w:sz w:val="16"/>
                <w:lang w:val="cs-CZ"/>
              </w:rPr>
              <w:t xml:space="preserve">Smetanovy sady 625 </w:t>
            </w:r>
            <w:r>
              <w:rPr>
                <w:rFonts w:ascii="Verdana" w:hAnsi="Verdana"/>
                <w:i/>
                <w:color w:val="000000"/>
                <w:sz w:val="16"/>
                <w:lang w:val="cs-CZ"/>
              </w:rPr>
              <w:t>PK 11</w:t>
            </w:r>
          </w:p>
          <w:p w:rsidR="008373AD" w:rsidRDefault="008373AD" w:rsidP="00290C87">
            <w:pPr>
              <w:spacing w:before="36" w:line="206" w:lineRule="auto"/>
              <w:ind w:left="30"/>
              <w:rPr>
                <w:rFonts w:ascii="Verdana" w:hAnsi="Verdana"/>
                <w:i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i/>
                <w:color w:val="000000"/>
                <w:spacing w:val="-4"/>
                <w:sz w:val="16"/>
                <w:lang w:val="cs-CZ"/>
              </w:rPr>
              <w:t>769 01 Holešov</w:t>
            </w:r>
          </w:p>
        </w:tc>
      </w:tr>
      <w:tr w:rsidR="008373AD" w:rsidTr="00290C87">
        <w:trPr>
          <w:trHeight w:hRule="exact" w:val="90"/>
        </w:trPr>
        <w:tc>
          <w:tcPr>
            <w:tcW w:w="111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vAlign w:val="center"/>
          </w:tcPr>
          <w:p w:rsidR="008373AD" w:rsidRDefault="008373AD" w:rsidP="00290C87">
            <w:pPr>
              <w:jc w:val="center"/>
              <w:rPr>
                <w:rFonts w:ascii="Verdana" w:hAnsi="Verdana"/>
                <w:b/>
                <w:color w:val="000000"/>
                <w:spacing w:val="-13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3"/>
                <w:lang w:val="cs-CZ"/>
              </w:rPr>
              <w:t>HOLEŠOV</w:t>
            </w:r>
          </w:p>
        </w:tc>
        <w:tc>
          <w:tcPr>
            <w:tcW w:w="888" w:type="dxa"/>
          </w:tcPr>
          <w:p w:rsidR="008373AD" w:rsidRDefault="008373AD" w:rsidP="00290C87"/>
        </w:tc>
        <w:tc>
          <w:tcPr>
            <w:tcW w:w="848" w:type="dxa"/>
          </w:tcPr>
          <w:p w:rsidR="008373AD" w:rsidRDefault="008373AD" w:rsidP="00290C87"/>
        </w:tc>
        <w:tc>
          <w:tcPr>
            <w:tcW w:w="985" w:type="dxa"/>
            <w:tcBorders>
              <w:top w:val="single" w:sz="4" w:space="0" w:color="auto"/>
            </w:tcBorders>
          </w:tcPr>
          <w:p w:rsidR="008373AD" w:rsidRDefault="008373AD" w:rsidP="00290C87"/>
        </w:tc>
        <w:tc>
          <w:tcPr>
            <w:tcW w:w="3640" w:type="dxa"/>
            <w:vMerge/>
            <w:tcBorders>
              <w:top w:val="single" w:sz="4" w:space="0" w:color="auto"/>
              <w:left w:val="nil"/>
              <w:bottom w:val="single" w:sz="12" w:space="0" w:color="4C4B4B"/>
              <w:right w:val="none" w:sz="0" w:space="0" w:color="000000"/>
            </w:tcBorders>
          </w:tcPr>
          <w:p w:rsidR="008373AD" w:rsidRDefault="008373AD" w:rsidP="00290C87"/>
        </w:tc>
      </w:tr>
      <w:tr w:rsidR="008373AD" w:rsidTr="00290C87">
        <w:trPr>
          <w:trHeight w:hRule="exact" w:val="219"/>
        </w:trPr>
        <w:tc>
          <w:tcPr>
            <w:tcW w:w="111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vAlign w:val="center"/>
          </w:tcPr>
          <w:p w:rsidR="008373AD" w:rsidRDefault="008373AD" w:rsidP="00290C87"/>
        </w:tc>
        <w:tc>
          <w:tcPr>
            <w:tcW w:w="888" w:type="dxa"/>
          </w:tcPr>
          <w:p w:rsidR="008373AD" w:rsidRDefault="008373AD" w:rsidP="00290C87"/>
        </w:tc>
        <w:tc>
          <w:tcPr>
            <w:tcW w:w="848" w:type="dxa"/>
          </w:tcPr>
          <w:p w:rsidR="008373AD" w:rsidRDefault="008373AD" w:rsidP="00290C87"/>
        </w:tc>
        <w:tc>
          <w:tcPr>
            <w:tcW w:w="985" w:type="dxa"/>
            <w:tcBorders>
              <w:left w:val="nil"/>
              <w:bottom w:val="none" w:sz="0" w:space="0" w:color="000000"/>
              <w:right w:val="none" w:sz="0" w:space="0" w:color="000000"/>
            </w:tcBorders>
          </w:tcPr>
          <w:p w:rsidR="008373AD" w:rsidRDefault="008373AD" w:rsidP="00290C87"/>
        </w:tc>
        <w:tc>
          <w:tcPr>
            <w:tcW w:w="3640" w:type="dxa"/>
            <w:tcBorders>
              <w:top w:val="single" w:sz="12" w:space="0" w:color="4C4B4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73AD" w:rsidRDefault="008373AD" w:rsidP="00290C87"/>
        </w:tc>
      </w:tr>
    </w:tbl>
    <w:p w:rsidR="008373AD" w:rsidRDefault="008373AD" w:rsidP="008373AD">
      <w:pPr>
        <w:spacing w:after="124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3658"/>
        <w:gridCol w:w="1887"/>
      </w:tblGrid>
      <w:tr w:rsidR="008373AD" w:rsidTr="00290C87">
        <w:trPr>
          <w:trHeight w:hRule="exact" w:val="238"/>
        </w:trPr>
        <w:tc>
          <w:tcPr>
            <w:tcW w:w="28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POLOZKA</w:t>
            </w:r>
          </w:p>
        </w:tc>
        <w:tc>
          <w:tcPr>
            <w:tcW w:w="365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81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Kalkulace příslušné ceny</w:t>
            </w:r>
          </w:p>
        </w:tc>
        <w:tc>
          <w:tcPr>
            <w:tcW w:w="188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8373AD" w:rsidRDefault="008373AD" w:rsidP="00290C87">
            <w:pPr>
              <w:jc w:val="center"/>
              <w:rPr>
                <w:rFonts w:ascii="Arial" w:hAnsi="Arial"/>
                <w:color w:val="000000"/>
                <w:spacing w:val="-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-5"/>
                <w:sz w:val="17"/>
                <w:lang w:val="cs-CZ"/>
              </w:rPr>
              <w:t>Kalkulace příslušné ceny</w:t>
            </w:r>
          </w:p>
        </w:tc>
      </w:tr>
      <w:tr w:rsidR="008373AD" w:rsidTr="00290C87">
        <w:trPr>
          <w:trHeight w:hRule="exact" w:val="212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1.Proměnné</w:t>
            </w:r>
            <w:proofErr w:type="gramEnd"/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 náklady (Kč)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353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cs-CZ"/>
              </w:rPr>
              <w:t>17 736 200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2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1.1 Palivo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35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15 800 000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3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1.2 Nákup tepelné energie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71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2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1.3 elektrická energie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1531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886 200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6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1.4 Technologická voda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71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23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1.5 Ostatní proměnné náklady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1531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50 000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6"/>
        </w:trPr>
        <w:tc>
          <w:tcPr>
            <w:tcW w:w="28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2.Stálé</w:t>
            </w:r>
            <w:proofErr w:type="gramEnd"/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 náklady (Kč) I</w:t>
            </w:r>
          </w:p>
        </w:tc>
        <w:tc>
          <w:tcPr>
            <w:tcW w:w="365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353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9 473 970</w:t>
            </w:r>
          </w:p>
        </w:tc>
        <w:tc>
          <w:tcPr>
            <w:tcW w:w="188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3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pacing w:val="1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7"/>
                <w:lang w:val="cs-CZ"/>
              </w:rPr>
              <w:t>2.1 Mzdy a zákonné pojištění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35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1 197 000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6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2.2 Opravy a údržba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35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1 029 000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2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2.3 Odpisy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tabs>
                <w:tab w:val="right" w:pos="3565"/>
              </w:tabs>
              <w:ind w:right="9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2 175 000</w:t>
            </w:r>
            <w:r>
              <w:rPr>
                <w:rFonts w:ascii="Arial" w:hAnsi="Arial"/>
                <w:color w:val="000000"/>
                <w:sz w:val="17"/>
                <w:lang w:val="cs-CZ"/>
              </w:rPr>
              <w:tab/>
              <w:t>,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3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2.4 Nájem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1531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996 000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2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2.5 Finanční leasing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71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6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2.6 Zákonné rezervy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71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2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2.7 Výrobní režie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1531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902 910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6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2.8 Správní režie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35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2 673 560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3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2.9 Úroky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71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2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Arial" w:hAnsi="Arial"/>
                <w:color w:val="000000"/>
                <w:spacing w:val="1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7"/>
                <w:lang w:val="cs-CZ"/>
              </w:rPr>
              <w:t>2.10 Ostatní stálé náklady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1531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500 500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6"/>
        </w:trPr>
        <w:tc>
          <w:tcPr>
            <w:tcW w:w="28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3. Zisk (Kč)</w:t>
            </w:r>
          </w:p>
        </w:tc>
        <w:tc>
          <w:tcPr>
            <w:tcW w:w="365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353"/>
              <w:jc w:val="right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1 100 000</w:t>
            </w:r>
          </w:p>
        </w:tc>
        <w:tc>
          <w:tcPr>
            <w:tcW w:w="188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09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Stálé náklady a zisk celkem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353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cs-CZ"/>
              </w:rPr>
              <w:t>10 573 970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2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Celkem náklady a zisk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353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28 310 170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6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Množství tepelné energie (kWh)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263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  <w:t>14 948 345,29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6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Tahoma" w:hAnsi="Tahoma"/>
                <w:b/>
                <w:color w:val="000000"/>
                <w:spacing w:val="4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6"/>
                <w:lang w:val="cs-CZ"/>
              </w:rPr>
              <w:t>Cena bez DPH (Kč/kWh)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623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1,89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3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tabs>
                <w:tab w:val="right" w:pos="2416"/>
              </w:tabs>
              <w:ind w:left="58"/>
              <w:rPr>
                <w:rFonts w:ascii="Tahoma" w:hAnsi="Tahoma"/>
                <w:b/>
                <w:color w:val="000000"/>
                <w:spacing w:val="-2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cs-CZ"/>
              </w:rPr>
              <w:t>Cena včetně DPH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cs-CZ"/>
              </w:rPr>
              <w:t>(Kč/kWh)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right="1623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2,08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6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Tahoma" w:hAnsi="Tahoma"/>
                <w:b/>
                <w:color w:val="000000"/>
                <w:spacing w:val="1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1"/>
                <w:sz w:val="16"/>
                <w:lang w:val="cs-CZ"/>
              </w:rPr>
              <w:t>Množství tepelné energie (GJ)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1531"/>
              <w:rPr>
                <w:rFonts w:ascii="Arial" w:hAnsi="Arial"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z w:val="17"/>
                <w:lang w:val="cs-CZ"/>
              </w:rPr>
              <w:t>53814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12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58"/>
              <w:rPr>
                <w:rFonts w:ascii="Tahoma" w:hAnsi="Tahoma"/>
                <w:b/>
                <w:color w:val="000000"/>
                <w:spacing w:val="4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6"/>
                <w:lang w:val="cs-CZ"/>
              </w:rPr>
              <w:t>Cena bez DPH (Kč/GJ)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1531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526,07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373AD" w:rsidRDefault="008373AD" w:rsidP="00290C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373AD" w:rsidTr="00290C87">
        <w:trPr>
          <w:trHeight w:hRule="exact" w:val="248"/>
        </w:trPr>
        <w:tc>
          <w:tcPr>
            <w:tcW w:w="286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tabs>
                <w:tab w:val="right" w:pos="2276"/>
              </w:tabs>
              <w:ind w:left="58"/>
              <w:rPr>
                <w:rFonts w:ascii="Tahoma" w:hAnsi="Tahoma"/>
                <w:b/>
                <w:color w:val="000000"/>
                <w:spacing w:val="-2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cs-CZ"/>
              </w:rPr>
              <w:t>Cena včetně DPH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(Kč/GJ)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8373AD" w:rsidRDefault="008373AD" w:rsidP="00290C87">
            <w:pPr>
              <w:ind w:left="1531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578,68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373AD" w:rsidRDefault="008373AD" w:rsidP="00290C87">
            <w:pPr>
              <w:ind w:right="1232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•</w:t>
            </w:r>
          </w:p>
        </w:tc>
      </w:tr>
    </w:tbl>
    <w:p w:rsidR="008373AD" w:rsidRDefault="008373AD" w:rsidP="008373AD">
      <w:pPr>
        <w:spacing w:after="165" w:line="20" w:lineRule="exact"/>
      </w:pPr>
    </w:p>
    <w:p w:rsidR="008373AD" w:rsidRDefault="008373AD" w:rsidP="008373AD">
      <w:pPr>
        <w:tabs>
          <w:tab w:val="right" w:pos="2862"/>
          <w:tab w:val="left" w:pos="3211"/>
          <w:tab w:val="right" w:pos="8143"/>
        </w:tabs>
        <w:spacing w:line="319" w:lineRule="auto"/>
        <w:ind w:left="72"/>
        <w:rPr>
          <w:rFonts w:ascii="Arial" w:hAnsi="Arial"/>
          <w:color w:val="000000"/>
          <w:sz w:val="17"/>
          <w:lang w:val="cs-CZ"/>
        </w:rPr>
      </w:pPr>
      <w:r>
        <w:rPr>
          <w:rFonts w:ascii="Arial" w:hAnsi="Arial"/>
          <w:color w:val="000000"/>
          <w:sz w:val="17"/>
          <w:lang w:val="cs-CZ"/>
        </w:rPr>
        <w:t xml:space="preserve">Stanovená cena tepelné </w:t>
      </w:r>
      <w:proofErr w:type="spellStart"/>
      <w:r>
        <w:rPr>
          <w:rFonts w:ascii="Arial" w:hAnsi="Arial"/>
          <w:color w:val="000000"/>
          <w:sz w:val="17"/>
          <w:lang w:val="cs-CZ"/>
        </w:rPr>
        <w:t>enerie</w:t>
      </w:r>
      <w:proofErr w:type="spellEnd"/>
      <w:r>
        <w:rPr>
          <w:rFonts w:ascii="Arial" w:hAnsi="Arial"/>
          <w:color w:val="000000"/>
          <w:sz w:val="17"/>
          <w:lang w:val="cs-CZ"/>
        </w:rPr>
        <w:tab/>
      </w:r>
      <w:r>
        <w:rPr>
          <w:rFonts w:ascii="Arial" w:hAnsi="Arial"/>
          <w:color w:val="000000"/>
          <w:sz w:val="19"/>
          <w:u w:val="single"/>
          <w:lang w:val="cs-CZ"/>
        </w:rPr>
        <w:t>I</w:t>
      </w:r>
      <w:r>
        <w:rPr>
          <w:rFonts w:ascii="Arial" w:hAnsi="Arial"/>
          <w:color w:val="000000"/>
          <w:sz w:val="19"/>
          <w:u w:val="single"/>
          <w:lang w:val="cs-CZ"/>
        </w:rPr>
        <w:tab/>
      </w:r>
      <w:r>
        <w:rPr>
          <w:rFonts w:ascii="Arial" w:hAnsi="Arial"/>
          <w:b/>
          <w:color w:val="000000"/>
          <w:spacing w:val="-4"/>
          <w:w w:val="105"/>
          <w:sz w:val="17"/>
          <w:u w:val="single"/>
          <w:lang w:val="cs-CZ"/>
        </w:rPr>
        <w:t>2,08</w:t>
      </w:r>
      <w:r>
        <w:rPr>
          <w:rFonts w:ascii="Arial" w:hAnsi="Arial"/>
          <w:b/>
          <w:color w:val="000000"/>
          <w:spacing w:val="-4"/>
          <w:w w:val="105"/>
          <w:sz w:val="17"/>
          <w:u w:val="single"/>
          <w:lang w:val="cs-CZ"/>
        </w:rPr>
        <w:tab/>
      </w:r>
      <w:r>
        <w:rPr>
          <w:rFonts w:ascii="Arial" w:hAnsi="Arial"/>
          <w:color w:val="000000"/>
          <w:spacing w:val="-1"/>
          <w:sz w:val="17"/>
          <w:lang w:val="cs-CZ"/>
        </w:rPr>
        <w:t>11Kč/kWh je (z důvodu možných změn cen zemního plynu</w:t>
      </w:r>
    </w:p>
    <w:p w:rsidR="008373AD" w:rsidRDefault="008373AD" w:rsidP="008373AD">
      <w:pPr>
        <w:ind w:left="72"/>
        <w:rPr>
          <w:rFonts w:ascii="Arial" w:hAnsi="Arial"/>
          <w:color w:val="000000"/>
          <w:spacing w:val="1"/>
          <w:sz w:val="17"/>
          <w:lang w:val="cs-CZ"/>
        </w:rPr>
      </w:pPr>
      <w:r>
        <w:rPr>
          <w:rFonts w:ascii="Arial" w:hAnsi="Arial"/>
          <w:color w:val="000000"/>
          <w:spacing w:val="1"/>
          <w:sz w:val="17"/>
          <w:lang w:val="cs-CZ"/>
        </w:rPr>
        <w:t>a z důvodu možných změn množství dodávek tepla v GJ) cena předběžná.</w:t>
      </w:r>
    </w:p>
    <w:p w:rsidR="008373AD" w:rsidRDefault="008373AD" w:rsidP="008373AD">
      <w:pPr>
        <w:spacing w:before="360" w:line="264" w:lineRule="auto"/>
        <w:ind w:left="72" w:right="1440"/>
        <w:rPr>
          <w:rFonts w:ascii="Arial" w:hAnsi="Arial"/>
          <w:color w:val="000000"/>
          <w:spacing w:val="-3"/>
          <w:sz w:val="17"/>
          <w:lang w:val="cs-CZ"/>
        </w:rPr>
      </w:pPr>
      <w:r>
        <w:rPr>
          <w:rFonts w:ascii="Arial" w:hAnsi="Arial"/>
          <w:color w:val="000000"/>
          <w:spacing w:val="-3"/>
          <w:sz w:val="17"/>
          <w:lang w:val="cs-CZ"/>
        </w:rPr>
        <w:t xml:space="preserve">V případě změny cen paliva v průběhu roku bude předběžná cena úměrně tornu změněna a </w:t>
      </w:r>
      <w:r>
        <w:rPr>
          <w:rFonts w:ascii="Arial" w:hAnsi="Arial"/>
          <w:color w:val="000000"/>
          <w:spacing w:val="1"/>
          <w:sz w:val="17"/>
          <w:lang w:val="cs-CZ"/>
        </w:rPr>
        <w:t>promítnuta do fakturace dodávky tepla za příslušný rok.</w:t>
      </w:r>
    </w:p>
    <w:p w:rsidR="008373AD" w:rsidRPr="00E01516" w:rsidRDefault="008373AD" w:rsidP="008373AD">
      <w:pPr>
        <w:tabs>
          <w:tab w:val="right" w:pos="7906"/>
        </w:tabs>
        <w:spacing w:line="297" w:lineRule="auto"/>
        <w:ind w:left="72"/>
        <w:rPr>
          <w:rFonts w:ascii="Arial" w:hAnsi="Arial"/>
          <w:color w:val="000000"/>
          <w:sz w:val="16"/>
          <w:szCs w:val="16"/>
          <w:lang w:val="cs-CZ"/>
        </w:rPr>
      </w:pPr>
      <w:r>
        <w:rPr>
          <w:rFonts w:ascii="Arial" w:hAnsi="Arial"/>
          <w:color w:val="000000"/>
          <w:sz w:val="17"/>
          <w:lang w:val="cs-CZ"/>
        </w:rPr>
        <w:t>Předběžná cena je stanovena za předpokladu celkové dodávky</w:t>
      </w:r>
      <w:r>
        <w:rPr>
          <w:rFonts w:ascii="Arial" w:hAnsi="Arial"/>
          <w:color w:val="000000"/>
          <w:sz w:val="17"/>
          <w:lang w:val="cs-CZ"/>
        </w:rPr>
        <w:tab/>
      </w:r>
      <w:r w:rsidRPr="00E01516">
        <w:rPr>
          <w:rFonts w:ascii="Arial" w:hAnsi="Arial"/>
          <w:color w:val="000000"/>
          <w:spacing w:val="-4"/>
          <w:w w:val="110"/>
          <w:sz w:val="16"/>
          <w:szCs w:val="16"/>
          <w:u w:val="single"/>
          <w:lang w:val="cs-CZ"/>
        </w:rPr>
        <w:t>318 </w:t>
      </w:r>
      <w:r w:rsidRPr="00E01516">
        <w:rPr>
          <w:rFonts w:ascii="Arial" w:hAnsi="Arial"/>
          <w:color w:val="000000"/>
          <w:spacing w:val="-4"/>
          <w:sz w:val="16"/>
          <w:szCs w:val="16"/>
          <w:u w:val="single"/>
          <w:lang w:val="cs-CZ"/>
        </w:rPr>
        <w:t>000 kWh</w:t>
      </w:r>
      <w:r w:rsidRPr="00E01516">
        <w:rPr>
          <w:rFonts w:ascii="Arial" w:hAnsi="Arial"/>
          <w:color w:val="000000"/>
          <w:spacing w:val="-4"/>
          <w:sz w:val="16"/>
          <w:szCs w:val="16"/>
          <w:lang w:val="cs-CZ"/>
        </w:rPr>
        <w:t xml:space="preserve"> za rok 2021.</w:t>
      </w:r>
    </w:p>
    <w:p w:rsidR="008373AD" w:rsidRDefault="008373AD" w:rsidP="008373AD">
      <w:pPr>
        <w:ind w:left="72"/>
        <w:rPr>
          <w:rFonts w:ascii="Arial" w:hAnsi="Arial"/>
          <w:color w:val="000000"/>
          <w:spacing w:val="1"/>
          <w:sz w:val="17"/>
          <w:lang w:val="cs-CZ"/>
        </w:rPr>
      </w:pPr>
      <w:r>
        <w:rPr>
          <w:rFonts w:ascii="Arial" w:hAnsi="Arial"/>
          <w:color w:val="000000"/>
          <w:spacing w:val="1"/>
          <w:sz w:val="17"/>
          <w:lang w:val="cs-CZ"/>
        </w:rPr>
        <w:t xml:space="preserve">V případě že po skončení roku bude skutečné množství dodávek tepla </w:t>
      </w:r>
      <w:proofErr w:type="spellStart"/>
      <w:proofErr w:type="gramStart"/>
      <w:r>
        <w:rPr>
          <w:rFonts w:ascii="Arial" w:hAnsi="Arial"/>
          <w:color w:val="000000"/>
          <w:spacing w:val="1"/>
          <w:sz w:val="17"/>
          <w:lang w:val="cs-CZ"/>
        </w:rPr>
        <w:t>odchylné,bude</w:t>
      </w:r>
      <w:proofErr w:type="spellEnd"/>
      <w:proofErr w:type="gramEnd"/>
    </w:p>
    <w:p w:rsidR="008373AD" w:rsidRDefault="008373AD" w:rsidP="008373AD">
      <w:pPr>
        <w:spacing w:before="36"/>
        <w:ind w:left="72"/>
        <w:rPr>
          <w:rFonts w:ascii="Arial" w:hAnsi="Arial"/>
          <w:color w:val="000000"/>
          <w:spacing w:val="1"/>
          <w:sz w:val="17"/>
          <w:lang w:val="cs-CZ"/>
        </w:rPr>
      </w:pPr>
      <w:r>
        <w:rPr>
          <w:rFonts w:ascii="Arial" w:hAnsi="Arial"/>
          <w:color w:val="000000"/>
          <w:spacing w:val="1"/>
          <w:sz w:val="17"/>
          <w:lang w:val="cs-CZ"/>
        </w:rPr>
        <w:t>jednotková cena tepla úměrně tornu změněna.</w:t>
      </w:r>
    </w:p>
    <w:p w:rsidR="008373AD" w:rsidRDefault="008373AD" w:rsidP="008373AD">
      <w:pPr>
        <w:spacing w:line="268" w:lineRule="auto"/>
        <w:ind w:left="72" w:right="1008"/>
        <w:rPr>
          <w:rFonts w:ascii="Arial" w:hAnsi="Arial"/>
          <w:color w:val="000000"/>
          <w:sz w:val="17"/>
          <w:lang w:val="cs-CZ"/>
        </w:rPr>
      </w:pPr>
      <w:r>
        <w:rPr>
          <w:rFonts w:ascii="Arial" w:hAnsi="Arial"/>
          <w:color w:val="000000"/>
          <w:sz w:val="17"/>
          <w:lang w:val="cs-CZ"/>
        </w:rPr>
        <w:t xml:space="preserve">Vyrovnání předběžné ceny na cenu reálnou(definitivní),vypočtenou podle výše uvedených zásad, </w:t>
      </w:r>
      <w:r>
        <w:rPr>
          <w:rFonts w:ascii="Arial" w:hAnsi="Arial"/>
          <w:color w:val="000000"/>
          <w:spacing w:val="1"/>
          <w:sz w:val="17"/>
          <w:lang w:val="cs-CZ"/>
        </w:rPr>
        <w:t xml:space="preserve">bude provedeno do </w:t>
      </w:r>
      <w:proofErr w:type="gramStart"/>
      <w:r>
        <w:rPr>
          <w:rFonts w:ascii="Arial" w:hAnsi="Arial"/>
          <w:color w:val="000000"/>
          <w:spacing w:val="1"/>
          <w:sz w:val="17"/>
          <w:lang w:val="cs-CZ"/>
        </w:rPr>
        <w:t>28.2. následujícího</w:t>
      </w:r>
      <w:proofErr w:type="gramEnd"/>
      <w:r>
        <w:rPr>
          <w:rFonts w:ascii="Arial" w:hAnsi="Arial"/>
          <w:color w:val="000000"/>
          <w:spacing w:val="1"/>
          <w:sz w:val="17"/>
          <w:lang w:val="cs-CZ"/>
        </w:rPr>
        <w:t xml:space="preserve"> roku.</w:t>
      </w:r>
    </w:p>
    <w:p w:rsidR="008373AD" w:rsidRDefault="008373AD" w:rsidP="008373AD">
      <w:pPr>
        <w:tabs>
          <w:tab w:val="right" w:pos="2862"/>
        </w:tabs>
        <w:spacing w:before="180"/>
        <w:ind w:left="72"/>
        <w:rPr>
          <w:rFonts w:ascii="Tahoma" w:hAnsi="Tahoma"/>
          <w:b/>
          <w:color w:val="000000"/>
          <w:spacing w:val="-2"/>
          <w:sz w:val="16"/>
          <w:lang w:val="cs-CZ"/>
        </w:rPr>
      </w:pPr>
      <w:r>
        <w:rPr>
          <w:rFonts w:ascii="Tahoma" w:hAnsi="Tahoma"/>
          <w:b/>
          <w:color w:val="000000"/>
          <w:spacing w:val="-2"/>
          <w:sz w:val="16"/>
          <w:lang w:val="cs-CZ"/>
        </w:rPr>
        <w:t>Měsíční záloha Kč:</w:t>
      </w:r>
      <w:r>
        <w:rPr>
          <w:rFonts w:ascii="Tahoma" w:hAnsi="Tahoma"/>
          <w:b/>
          <w:color w:val="000000"/>
          <w:spacing w:val="-2"/>
          <w:sz w:val="16"/>
          <w:lang w:val="cs-CZ"/>
        </w:rPr>
        <w:tab/>
      </w:r>
      <w:r>
        <w:rPr>
          <w:rFonts w:ascii="Tahoma" w:hAnsi="Tahoma"/>
          <w:b/>
          <w:color w:val="000000"/>
          <w:sz w:val="16"/>
          <w:lang w:val="cs-CZ"/>
        </w:rPr>
        <w:t>82 000,00</w:t>
      </w:r>
    </w:p>
    <w:p w:rsidR="008373AD" w:rsidRDefault="008373AD" w:rsidP="008373AD">
      <w:pPr>
        <w:spacing w:after="180" w:line="266" w:lineRule="auto"/>
        <w:ind w:left="72" w:right="1152"/>
        <w:rPr>
          <w:rFonts w:ascii="Tahoma" w:hAnsi="Tahoma"/>
          <w:b/>
          <w:color w:val="000000"/>
          <w:spacing w:val="-1"/>
          <w:sz w:val="16"/>
          <w:lang w:val="cs-CZ"/>
        </w:rPr>
      </w:pPr>
      <w:r>
        <w:rPr>
          <w:rFonts w:ascii="Tahoma" w:hAnsi="Tahoma"/>
          <w:b/>
          <w:color w:val="000000"/>
          <w:spacing w:val="-1"/>
          <w:sz w:val="16"/>
          <w:lang w:val="cs-CZ"/>
        </w:rPr>
        <w:t xml:space="preserve">Zálohy lze upravit dle předběžné kalkulace pro daný kalendářní rok. V případě požadavku </w:t>
      </w:r>
      <w:r>
        <w:rPr>
          <w:rFonts w:ascii="Tahoma" w:hAnsi="Tahoma"/>
          <w:b/>
          <w:color w:val="000000"/>
          <w:sz w:val="16"/>
          <w:lang w:val="cs-CZ"/>
        </w:rPr>
        <w:t>změny záloh kontaktujte dodavatele.</w:t>
      </w:r>
    </w:p>
    <w:p w:rsidR="008373AD" w:rsidRDefault="008373AD" w:rsidP="008373AD"/>
    <w:p w:rsidR="00583152" w:rsidRDefault="008373AD">
      <w:proofErr w:type="spellStart"/>
      <w:proofErr w:type="gramStart"/>
      <w:r>
        <w:t>Holešov</w:t>
      </w:r>
      <w:proofErr w:type="spellEnd"/>
      <w:r>
        <w:t xml:space="preserve">  4</w:t>
      </w:r>
      <w:proofErr w:type="gramEnd"/>
      <w:r>
        <w:t>. 1. 2020</w:t>
      </w:r>
    </w:p>
    <w:sectPr w:rsidR="00583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AD"/>
    <w:rsid w:val="00583152"/>
    <w:rsid w:val="00761F1E"/>
    <w:rsid w:val="0083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3AD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3AD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dcterms:created xsi:type="dcterms:W3CDTF">2021-01-04T12:09:00Z</dcterms:created>
  <dcterms:modified xsi:type="dcterms:W3CDTF">2021-01-04T12:11:00Z</dcterms:modified>
</cp:coreProperties>
</file>