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B4" w:rsidRPr="001D7A19" w:rsidRDefault="00644CB4" w:rsidP="00644CB4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644CB4" w:rsidRPr="001D7A19" w:rsidRDefault="00644CB4" w:rsidP="00644CB4">
      <w:pPr>
        <w:ind w:left="2124" w:firstLine="711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12-16</w:t>
      </w:r>
    </w:p>
    <w:p w:rsidR="00644CB4" w:rsidRDefault="00644CB4" w:rsidP="00644CB4">
      <w:pPr>
        <w:ind w:left="2121" w:firstLine="711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>
        <w:rPr>
          <w:rFonts w:ascii="Arial CE" w:hAnsi="Arial CE" w:cs="Arial"/>
          <w:b/>
          <w:sz w:val="22"/>
          <w:szCs w:val="22"/>
        </w:rPr>
        <w:t>110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644CB4" w:rsidRPr="001D7A19" w:rsidRDefault="00644CB4" w:rsidP="00644CB4">
      <w:pPr>
        <w:jc w:val="center"/>
        <w:rPr>
          <w:rFonts w:ascii="Arial CE" w:hAnsi="Arial CE" w:cs="Arial"/>
          <w:b/>
          <w:sz w:val="22"/>
          <w:szCs w:val="22"/>
        </w:rPr>
      </w:pPr>
    </w:p>
    <w:p w:rsidR="00644CB4" w:rsidRPr="001D7A19" w:rsidRDefault="00644CB4" w:rsidP="00644CB4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644CB4" w:rsidRPr="001D7A19" w:rsidRDefault="00644CB4" w:rsidP="00644CB4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644CB4" w:rsidRPr="001D7A19" w:rsidRDefault="00644CB4" w:rsidP="00644CB4">
      <w:pPr>
        <w:jc w:val="center"/>
        <w:rPr>
          <w:rFonts w:ascii="Arial CE" w:hAnsi="Arial CE" w:cs="Arial"/>
          <w:b/>
          <w:sz w:val="28"/>
          <w:szCs w:val="28"/>
        </w:rPr>
      </w:pPr>
      <w:r w:rsidRPr="00735850">
        <w:rPr>
          <w:rFonts w:ascii="Arial CE" w:hAnsi="Arial CE" w:cs="Arial"/>
          <w:b/>
          <w:sz w:val="28"/>
          <w:szCs w:val="28"/>
        </w:rPr>
        <w:t>„</w:t>
      </w:r>
      <w:r>
        <w:rPr>
          <w:rFonts w:ascii="Arial CE" w:hAnsi="Arial CE" w:cs="Arial"/>
          <w:b/>
          <w:sz w:val="28"/>
          <w:szCs w:val="28"/>
        </w:rPr>
        <w:t xml:space="preserve">Oprava a rekonstrukce </w:t>
      </w:r>
      <w:proofErr w:type="spellStart"/>
      <w:r>
        <w:rPr>
          <w:rFonts w:ascii="Arial CE" w:hAnsi="Arial CE" w:cs="Arial"/>
          <w:b/>
          <w:sz w:val="28"/>
          <w:szCs w:val="28"/>
        </w:rPr>
        <w:t>Boberského</w:t>
      </w:r>
      <w:proofErr w:type="spellEnd"/>
      <w:r>
        <w:rPr>
          <w:rFonts w:ascii="Arial CE" w:hAnsi="Arial CE" w:cs="Arial"/>
          <w:b/>
          <w:sz w:val="28"/>
          <w:szCs w:val="28"/>
        </w:rPr>
        <w:t xml:space="preserve"> p. v </w:t>
      </w:r>
      <w:proofErr w:type="spellStart"/>
      <w:r>
        <w:rPr>
          <w:rFonts w:ascii="Arial CE" w:hAnsi="Arial CE" w:cs="Arial"/>
          <w:b/>
          <w:sz w:val="28"/>
          <w:szCs w:val="28"/>
        </w:rPr>
        <w:t>Lindavě</w:t>
      </w:r>
      <w:proofErr w:type="spellEnd"/>
      <w:r>
        <w:rPr>
          <w:rFonts w:ascii="Arial CE" w:hAnsi="Arial CE" w:cs="Arial"/>
          <w:b/>
          <w:sz w:val="28"/>
          <w:szCs w:val="28"/>
        </w:rPr>
        <w:t xml:space="preserve"> u č. p. 42 a 43“</w:t>
      </w:r>
    </w:p>
    <w:p w:rsidR="00644CB4" w:rsidRPr="00496D5D" w:rsidRDefault="00644CB4" w:rsidP="00644CB4">
      <w:pPr>
        <w:tabs>
          <w:tab w:val="left" w:pos="4080"/>
        </w:tabs>
        <w:jc w:val="center"/>
        <w:rPr>
          <w:rFonts w:ascii="Arial CE" w:hAnsi="Arial CE" w:cs="Arial"/>
          <w:b/>
          <w:sz w:val="28"/>
          <w:szCs w:val="28"/>
        </w:rPr>
      </w:pPr>
      <w:r w:rsidRPr="00496D5D">
        <w:rPr>
          <w:rFonts w:ascii="Arial CE" w:hAnsi="Arial CE" w:cs="Arial"/>
          <w:b/>
          <w:sz w:val="28"/>
          <w:szCs w:val="28"/>
        </w:rPr>
        <w:t>Projektová dokumentace</w:t>
      </w:r>
    </w:p>
    <w:p w:rsidR="006540AF" w:rsidRPr="001D7A19" w:rsidRDefault="006540AF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6540AF" w:rsidRPr="001D7A19" w:rsidRDefault="006540A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6540AF" w:rsidRPr="001D7A19" w:rsidRDefault="006540AF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6540AF" w:rsidRPr="001D7A19" w:rsidRDefault="006540AF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6540AF" w:rsidRPr="001D7A19" w:rsidRDefault="006540A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6540AF" w:rsidRPr="001D7A19" w:rsidRDefault="006540A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6540AF" w:rsidRPr="001D7A19" w:rsidRDefault="006540A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6540AF" w:rsidRPr="001D7A19" w:rsidRDefault="006540A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6540AF" w:rsidRPr="001D7A19" w:rsidRDefault="006540A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6540AF" w:rsidRPr="001D7A19" w:rsidRDefault="006540AF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540AF" w:rsidRDefault="006540A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540AF" w:rsidRPr="001D7A19" w:rsidRDefault="006540A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540AF" w:rsidRDefault="006540A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6540AF" w:rsidRDefault="006540A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6540AF" w:rsidRDefault="006540A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6540AF" w:rsidRDefault="006540A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6540AF" w:rsidRPr="001D7A19" w:rsidRDefault="006540AF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6540AF" w:rsidRDefault="006540A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540AF" w:rsidRDefault="006540A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540AF" w:rsidRPr="001D7A19" w:rsidRDefault="006540A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6540AF" w:rsidRDefault="006540A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6540AF" w:rsidRDefault="006540A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540AF" w:rsidRDefault="006540A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540AF" w:rsidRDefault="006540A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540AF" w:rsidRPr="001D7A19" w:rsidRDefault="006540A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6540AF" w:rsidRPr="001D7A19" w:rsidRDefault="006540A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540AF" w:rsidRDefault="006540A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540AF" w:rsidRDefault="006540A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540AF" w:rsidRDefault="006540A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540AF" w:rsidRPr="001D7A19" w:rsidRDefault="006540A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540AF" w:rsidRPr="001D7A19" w:rsidRDefault="006540A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6540AF" w:rsidRPr="001D7A19" w:rsidRDefault="006540A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6540AF" w:rsidRDefault="006540AF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735850" w:rsidRPr="00766328" w:rsidRDefault="00735850" w:rsidP="00735850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A94B47"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735850" w:rsidRPr="00766328" w:rsidRDefault="00735850" w:rsidP="00735850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735850" w:rsidRPr="00766328" w:rsidRDefault="00735850" w:rsidP="00735850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735850" w:rsidRPr="00766328" w:rsidRDefault="00735850" w:rsidP="00735850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735850" w:rsidRPr="00766328" w:rsidRDefault="00735850" w:rsidP="00735850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lastRenderedPageBreak/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644CB4" w:rsidRDefault="00735850" w:rsidP="00735850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735850" w:rsidRPr="00766328" w:rsidRDefault="00735850" w:rsidP="00735850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735850" w:rsidRDefault="00735850" w:rsidP="00735850">
      <w:pPr>
        <w:pStyle w:val="Smluvn"/>
        <w:spacing w:before="0" w:line="300" w:lineRule="atLeast"/>
      </w:pPr>
    </w:p>
    <w:p w:rsidR="00735850" w:rsidRDefault="00735850" w:rsidP="00735850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735850" w:rsidRPr="00766328" w:rsidRDefault="00735850" w:rsidP="00735850">
      <w:pPr>
        <w:pStyle w:val="Smluvn"/>
        <w:spacing w:before="0" w:line="300" w:lineRule="atLeast"/>
      </w:pPr>
    </w:p>
    <w:p w:rsidR="00735850" w:rsidRPr="00766328" w:rsidRDefault="00735850" w:rsidP="0073585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735850" w:rsidRDefault="00735850" w:rsidP="0073585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44CB4" w:rsidRDefault="00735850" w:rsidP="0073585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735850" w:rsidRPr="00D05172" w:rsidRDefault="00735850" w:rsidP="0073585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92B39" w:rsidRPr="001D7A19" w:rsidRDefault="00F92B39" w:rsidP="009F4283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  <w:highlight w:val="yellow"/>
        </w:rPr>
      </w:pP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8359D6" w:rsidRDefault="008359D6" w:rsidP="008359D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8359D6" w:rsidRPr="00735850" w:rsidRDefault="00043803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735850">
        <w:rPr>
          <w:rFonts w:ascii="Arial CE" w:hAnsi="Arial CE" w:cs="Arial"/>
          <w:b/>
          <w:sz w:val="22"/>
          <w:szCs w:val="22"/>
        </w:rPr>
        <w:t>D</w:t>
      </w:r>
      <w:r w:rsidR="008359D6" w:rsidRPr="00735850">
        <w:rPr>
          <w:rFonts w:ascii="Arial CE" w:hAnsi="Arial CE" w:cs="Arial"/>
          <w:b/>
          <w:sz w:val="22"/>
          <w:szCs w:val="22"/>
        </w:rPr>
        <w:t xml:space="preserve">okumentace pro ohlášení stavby nebo pro vydání stavebního povolení </w:t>
      </w:r>
      <w:r w:rsidR="004A574D" w:rsidRPr="00735850">
        <w:rPr>
          <w:rFonts w:ascii="Arial CE" w:hAnsi="Arial CE" w:cs="Arial"/>
          <w:b/>
          <w:sz w:val="22"/>
          <w:szCs w:val="22"/>
        </w:rPr>
        <w:t xml:space="preserve">v podrobnostech dokumentace pro provedení stavby </w:t>
      </w:r>
      <w:r w:rsidR="008359D6" w:rsidRPr="00735850">
        <w:rPr>
          <w:rFonts w:ascii="Arial CE" w:hAnsi="Arial CE" w:cs="Arial"/>
          <w:b/>
          <w:sz w:val="22"/>
          <w:szCs w:val="22"/>
        </w:rPr>
        <w:t>(dále jen DS</w:t>
      </w:r>
      <w:r w:rsidR="004A574D" w:rsidRPr="00735850">
        <w:rPr>
          <w:rFonts w:ascii="Arial CE" w:hAnsi="Arial CE" w:cs="Arial"/>
          <w:b/>
          <w:sz w:val="22"/>
          <w:szCs w:val="22"/>
        </w:rPr>
        <w:t>J</w:t>
      </w:r>
      <w:r w:rsidR="008359D6" w:rsidRPr="00735850">
        <w:rPr>
          <w:rFonts w:ascii="Arial CE" w:hAnsi="Arial CE" w:cs="Arial"/>
          <w:b/>
          <w:sz w:val="22"/>
          <w:szCs w:val="22"/>
        </w:rPr>
        <w:t>) včetně geodetického zaměření, průzkumných prací, návrhu povodňového a havarijního plánu (dále jen PP a HP), vyhodnocení potřeby zajištění koordinátora BOZP v přípravě a realizaci stavby nebo zpracování plánu BOZP</w:t>
      </w:r>
    </w:p>
    <w:p w:rsidR="004A574D" w:rsidRPr="004A574D" w:rsidRDefault="004A574D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4A574D" w:rsidRDefault="004A574D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4A574D" w:rsidRDefault="004A574D" w:rsidP="004A574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>Geodetické zaměření</w:t>
      </w:r>
    </w:p>
    <w:p w:rsidR="004A574D" w:rsidRP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4A574D" w:rsidRPr="00735850" w:rsidRDefault="004A574D" w:rsidP="004A574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>Průzkumné práce</w:t>
      </w:r>
    </w:p>
    <w:p w:rsidR="00735850" w:rsidRPr="00735850" w:rsidRDefault="00735850" w:rsidP="00735850">
      <w:pPr>
        <w:pStyle w:val="Odstavecseseznamem"/>
        <w:rPr>
          <w:rFonts w:ascii="Arial CE" w:hAnsi="Arial CE"/>
          <w:sz w:val="22"/>
          <w:szCs w:val="22"/>
        </w:rPr>
      </w:pPr>
    </w:p>
    <w:p w:rsidR="00735850" w:rsidRPr="004A574D" w:rsidRDefault="00A94B47" w:rsidP="004A574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BOZP</w:t>
      </w:r>
      <w:r w:rsidR="00735850">
        <w:rPr>
          <w:rFonts w:ascii="Arial CE" w:hAnsi="Arial CE"/>
          <w:sz w:val="22"/>
          <w:szCs w:val="22"/>
        </w:rPr>
        <w:t>, HP, PP</w:t>
      </w:r>
    </w:p>
    <w:p w:rsidR="008359D6" w:rsidRPr="004A574D" w:rsidRDefault="008359D6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92B39" w:rsidRPr="004A574D" w:rsidRDefault="00F92B39" w:rsidP="0004380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F92B39" w:rsidRPr="00735850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735850">
        <w:rPr>
          <w:rFonts w:ascii="Arial CE" w:hAnsi="Arial CE" w:cs="Arial"/>
          <w:b/>
          <w:sz w:val="22"/>
          <w:szCs w:val="22"/>
        </w:rPr>
        <w:t>Autorský dozor</w:t>
      </w:r>
      <w:r w:rsidR="00DD289E" w:rsidRPr="00735850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3D2D01" w:rsidRPr="001D7A19" w:rsidRDefault="003D2D01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4A574D" w:rsidRDefault="002F2C2C" w:rsidP="00522E93">
      <w:p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4A574D" w:rsidRPr="00522E93" w:rsidRDefault="004A574D" w:rsidP="00522E9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sz w:val="22"/>
          <w:szCs w:val="22"/>
        </w:rPr>
      </w:pPr>
      <w:r w:rsidRPr="00522E93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v podrobnostech dokumentace pro provedení stavby (dále jen DSJ) včetně </w:t>
      </w:r>
      <w:r w:rsidRPr="00522E93">
        <w:rPr>
          <w:rFonts w:ascii="Arial CE" w:hAnsi="Arial CE" w:cs="Arial"/>
          <w:b/>
          <w:sz w:val="22"/>
          <w:szCs w:val="22"/>
        </w:rPr>
        <w:lastRenderedPageBreak/>
        <w:t>geodetického zaměření, průzkumných prací, návrhu povodňového a havarijního plánu (dále jen PP a HP), vyhodnocení potřeby zajištění koordinátora BOZP v přípravě a realizaci stavby nebo zpracování plánu BOZP</w:t>
      </w:r>
    </w:p>
    <w:p w:rsidR="004A574D" w:rsidRDefault="004A574D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4A574D" w:rsidRDefault="004A574D" w:rsidP="00735850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v platném znění, obsah dokumentace bude odpovídat příloze č. 5 této vyhlášky. </w:t>
      </w:r>
    </w:p>
    <w:p w:rsidR="00735850" w:rsidRDefault="00735850" w:rsidP="00735850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</w:p>
    <w:p w:rsidR="004A574D" w:rsidRPr="00BE6EF2" w:rsidRDefault="004A574D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A574D" w:rsidRPr="00BB0C43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zajištění hydrologických dat ČHMÚ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A574D" w:rsidRPr="00896244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9784D" w:rsidRPr="00BB0C43" w:rsidRDefault="0069784D" w:rsidP="006978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A574D" w:rsidRPr="00043803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F4002">
        <w:rPr>
          <w:rFonts w:ascii="Arial CE" w:hAnsi="Arial CE" w:cs="Arial"/>
          <w:sz w:val="22"/>
          <w:szCs w:val="22"/>
        </w:rPr>
        <w:t xml:space="preserve">dokladován trvalých a dočasných záborů s jednotlivými vlastníky za použití typového formuláře objednatele předaného MPR </w:t>
      </w:r>
      <w:r w:rsidRPr="00043803">
        <w:rPr>
          <w:rFonts w:ascii="Arial CE" w:hAnsi="Arial CE" w:cs="Arial"/>
          <w:sz w:val="22"/>
          <w:szCs w:val="22"/>
        </w:rPr>
        <w:t>dodavateli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4A574D" w:rsidRPr="00FA6FDE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FA6FDE">
        <w:rPr>
          <w:rFonts w:ascii="Arial CE" w:hAnsi="Arial CE" w:cs="Arial"/>
          <w:sz w:val="22"/>
          <w:szCs w:val="22"/>
        </w:rPr>
        <w:t>statický posudek</w:t>
      </w:r>
    </w:p>
    <w:p w:rsidR="004A574D" w:rsidRPr="00FA6FDE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 xml:space="preserve">zpracování Dopravně – inženýrského opatření (DIO) v počtu 6x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 xml:space="preserve">2x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A574D" w:rsidRPr="00C60059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 xml:space="preserve">Soupis prací zpracuje v 6 tištěných vyhotoveních a vloží do každého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PD. Oceněný soupis prací zpracuje dodavatel v počtu - 2x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tištěné a vloží je do </w:t>
      </w:r>
      <w:proofErr w:type="spellStart"/>
      <w:proofErr w:type="gram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proofErr w:type="gramEnd"/>
      <w:r w:rsidRPr="004A574D">
        <w:rPr>
          <w:rFonts w:ascii="Arial CE" w:hAnsi="Arial CE" w:cs="Arial"/>
          <w:sz w:val="22"/>
          <w:szCs w:val="22"/>
        </w:rPr>
        <w:t xml:space="preserve"> č. 1 a č. 2 PD. 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1F4002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A574D" w:rsidRPr="0038627B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MPR v počtu 6x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A574D" w:rsidRDefault="004A574D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4A574D" w:rsidRDefault="004A574D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4A574D" w:rsidRPr="0038627B" w:rsidRDefault="004A574D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60059" w:rsidRPr="002A7365" w:rsidRDefault="0038627B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2A7365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>Geodetické zaměření zájmové lokality bude provedeno v souřadnicovém systému Jednotné trigonometrické sítě katastrální (S-JTSK) a výškovém systému baltském - po vyrovnání (</w:t>
      </w:r>
      <w:proofErr w:type="spellStart"/>
      <w:r w:rsidRPr="0038627B">
        <w:rPr>
          <w:rFonts w:ascii="Arial CE" w:hAnsi="Arial CE" w:cs="Arial"/>
          <w:sz w:val="22"/>
          <w:szCs w:val="22"/>
        </w:rPr>
        <w:t>Bpv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). Součástí geodetického zaměření budou geodetické podklady včetně geodetických údajů o PBPP.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a bude předáno MPR v počtu 1x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C60059" w:rsidRPr="0038627B" w:rsidRDefault="00C60059" w:rsidP="00C60059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60059" w:rsidRPr="002A7365" w:rsidRDefault="00C60059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color w:val="FF0000"/>
          <w:sz w:val="22"/>
          <w:szCs w:val="22"/>
          <w:u w:val="single"/>
        </w:rPr>
      </w:pPr>
      <w:r w:rsidRPr="002A7365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C60059" w:rsidRPr="0038627B" w:rsidRDefault="008359D6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 w:rsidR="00C60059" w:rsidRPr="0038627B">
        <w:rPr>
          <w:rFonts w:ascii="Arial CE" w:hAnsi="Arial CE" w:cs="Arial"/>
          <w:sz w:val="22"/>
          <w:szCs w:val="22"/>
        </w:rPr>
        <w:t xml:space="preserve">zajistí provedení veškerých průzkumných prací včetně průzkumu trasy vedení </w:t>
      </w:r>
      <w:proofErr w:type="spellStart"/>
      <w:r w:rsidR="00C60059" w:rsidRPr="0038627B">
        <w:rPr>
          <w:rFonts w:ascii="Arial CE" w:hAnsi="Arial CE" w:cs="Arial"/>
          <w:sz w:val="22"/>
          <w:szCs w:val="22"/>
        </w:rPr>
        <w:t>inž</w:t>
      </w:r>
      <w:proofErr w:type="spellEnd"/>
      <w:r w:rsidR="00C60059" w:rsidRPr="0038627B">
        <w:rPr>
          <w:rFonts w:ascii="Arial CE" w:hAnsi="Arial CE" w:cs="Arial"/>
          <w:sz w:val="22"/>
          <w:szCs w:val="22"/>
        </w:rPr>
        <w:t xml:space="preserve">. sítí (IS), kde je předpoklad kolize IS se stavbou a zároveň prohlašuje, že jím nadefinovaný rozsah průzkumných prací je dostačující jako podklad pro zhotovení kvalitní projektové dokumentace. K provádění průzkumných prací na místě bude přizván TDS.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Výsledná zpráva bude předána MPR v počtu </w:t>
      </w:r>
      <w:r w:rsidR="0038627B">
        <w:rPr>
          <w:rFonts w:ascii="Arial CE" w:hAnsi="Arial CE" w:cs="Arial"/>
          <w:sz w:val="22"/>
          <w:szCs w:val="22"/>
        </w:rPr>
        <w:t>1</w:t>
      </w:r>
      <w:r w:rsidRPr="0038627B">
        <w:rPr>
          <w:rFonts w:ascii="Arial CE" w:hAnsi="Arial CE" w:cs="Arial"/>
          <w:sz w:val="22"/>
          <w:szCs w:val="22"/>
        </w:rPr>
        <w:t xml:space="preserve">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 </w:t>
      </w:r>
    </w:p>
    <w:p w:rsidR="002F2C2C" w:rsidRPr="0038627B" w:rsidRDefault="002F2C2C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A574D" w:rsidRPr="0048612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4A574D" w:rsidRPr="005B605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Objednatel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A574D" w:rsidRPr="00604044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A574D" w:rsidRPr="0038627B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Objednatel/ dodavatel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l/ 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4A574D" w:rsidRDefault="004A574D" w:rsidP="004A574D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38627B" w:rsidRPr="001D7A19" w:rsidRDefault="0038627B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Pr="002A7365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A7365">
        <w:rPr>
          <w:rFonts w:ascii="Arial CE" w:hAnsi="Arial CE" w:cs="Arial"/>
          <w:sz w:val="22"/>
          <w:szCs w:val="22"/>
          <w:u w:val="single"/>
        </w:rPr>
        <w:t>Návrh povodňového a havarijního plánu</w:t>
      </w:r>
      <w:r w:rsidR="00C60059" w:rsidRPr="002A7365">
        <w:rPr>
          <w:rFonts w:ascii="Arial CE" w:hAnsi="Arial CE" w:cs="Arial"/>
          <w:sz w:val="22"/>
          <w:szCs w:val="22"/>
          <w:u w:val="single"/>
        </w:rPr>
        <w:t>,</w:t>
      </w:r>
      <w:r w:rsidR="00521199" w:rsidRPr="002A7365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2A7365">
        <w:rPr>
          <w:rFonts w:ascii="Arial CE" w:hAnsi="Arial CE" w:cs="Arial"/>
          <w:sz w:val="22"/>
          <w:szCs w:val="22"/>
          <w:u w:val="single"/>
        </w:rPr>
        <w:t xml:space="preserve">(PP, </w:t>
      </w:r>
      <w:r w:rsidR="00982158" w:rsidRPr="002A7365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38627B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3A246A"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="003A246A" w:rsidRPr="0038627B">
        <w:rPr>
          <w:rFonts w:ascii="Arial CE" w:hAnsi="Arial CE" w:cs="Arial"/>
          <w:sz w:val="22"/>
          <w:szCs w:val="22"/>
        </w:rPr>
        <w:t xml:space="preserve">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043803" w:rsidRDefault="002E1E1F" w:rsidP="00344662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2A7365">
        <w:rPr>
          <w:rFonts w:ascii="Arial CE" w:hAnsi="Arial CE" w:cs="Arial"/>
          <w:sz w:val="22"/>
          <w:szCs w:val="22"/>
        </w:rPr>
        <w:t>4</w:t>
      </w:r>
      <w:r w:rsidR="00293906" w:rsidRPr="002A7365">
        <w:rPr>
          <w:rFonts w:ascii="Arial CE" w:hAnsi="Arial CE" w:cs="Arial"/>
          <w:b/>
          <w:sz w:val="22"/>
          <w:szCs w:val="22"/>
        </w:rPr>
        <w:t>.</w:t>
      </w:r>
      <w:r w:rsidR="00293906" w:rsidRPr="002A7365">
        <w:rPr>
          <w:rFonts w:ascii="Arial CE" w:hAnsi="Arial CE" w:cs="Arial"/>
          <w:b/>
          <w:sz w:val="22"/>
          <w:szCs w:val="22"/>
        </w:rPr>
        <w:tab/>
      </w:r>
      <w:r w:rsidR="003A246A" w:rsidRPr="002A7365">
        <w:rPr>
          <w:rFonts w:ascii="Arial CE" w:hAnsi="Arial CE" w:cs="Arial"/>
          <w:b/>
          <w:sz w:val="22"/>
          <w:szCs w:val="22"/>
        </w:rPr>
        <w:t>Autorský dozor</w:t>
      </w:r>
      <w:r w:rsidR="00DD289E" w:rsidRPr="002A7365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2A7365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CF4ABF" w:rsidRPr="004472DF" w:rsidRDefault="00CF4ABF" w:rsidP="00042129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</w:t>
      </w:r>
      <w:r w:rsidR="005C7362" w:rsidRPr="00C60059">
        <w:rPr>
          <w:rFonts w:ascii="Arial CE" w:hAnsi="Arial CE" w:cs="Arial"/>
          <w:sz w:val="22"/>
          <w:szCs w:val="22"/>
        </w:rPr>
        <w:t xml:space="preserve">do </w:t>
      </w:r>
      <w:r w:rsidR="006B0B22" w:rsidRPr="002A7365">
        <w:rPr>
          <w:rFonts w:ascii="Arial CE" w:hAnsi="Arial CE" w:cs="Arial"/>
          <w:sz w:val="22"/>
          <w:szCs w:val="22"/>
        </w:rPr>
        <w:t>6 týdnů</w:t>
      </w:r>
      <w:r w:rsidR="00EE573C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 xml:space="preserve">2x pracovní </w:t>
      </w:r>
      <w:proofErr w:type="spellStart"/>
      <w:r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Pr="006E033D">
        <w:rPr>
          <w:rFonts w:ascii="Arial CE" w:hAnsi="Arial CE" w:cs="Arial"/>
          <w:sz w:val="22"/>
          <w:szCs w:val="22"/>
        </w:rPr>
        <w:t xml:space="preserve"> - kompletní projektové řešení stavby včetně požadované dokladové části obsahující kladná stanoviska požadovaných subjektů a kladná vyjádření vlastníků pozemků dotčených stavbou, včetně přehledu pozemků dotčených dočasným nebo trvalým záborem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4472D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4472DF" w:rsidRPr="002E610D">
        <w:rPr>
          <w:rFonts w:ascii="Arial CE" w:hAnsi="Arial CE" w:cs="Arial"/>
          <w:sz w:val="22"/>
          <w:szCs w:val="22"/>
        </w:rPr>
        <w:t xml:space="preserve">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>
        <w:rPr>
          <w:rFonts w:ascii="Arial CE" w:hAnsi="Arial CE" w:cs="Arial"/>
          <w:sz w:val="22"/>
          <w:szCs w:val="22"/>
        </w:rPr>
        <w:t>,</w:t>
      </w:r>
      <w:r w:rsidR="00EE792F" w:rsidRPr="001D7A19">
        <w:rPr>
          <w:rFonts w:ascii="Arial CE" w:hAnsi="Arial CE" w:cs="Arial"/>
          <w:sz w:val="22"/>
          <w:szCs w:val="22"/>
        </w:rPr>
        <w:t xml:space="preserve"> předá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</w:t>
      </w:r>
      <w:r w:rsidR="00EE792F" w:rsidRPr="002E610D">
        <w:rPr>
          <w:rFonts w:ascii="Arial CE" w:hAnsi="Arial CE" w:cs="Arial"/>
          <w:sz w:val="22"/>
          <w:szCs w:val="22"/>
        </w:rPr>
        <w:t xml:space="preserve">do </w:t>
      </w:r>
      <w:r w:rsidR="002E1E1F" w:rsidRPr="002E610D">
        <w:rPr>
          <w:rFonts w:ascii="Arial CE" w:hAnsi="Arial CE" w:cs="Arial"/>
          <w:sz w:val="22"/>
          <w:szCs w:val="22"/>
        </w:rPr>
        <w:t>10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4C134D" w:rsidRPr="002E610D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610D">
        <w:rPr>
          <w:rFonts w:ascii="Arial CE" w:hAnsi="Arial CE" w:cs="Arial"/>
          <w:sz w:val="22"/>
          <w:szCs w:val="22"/>
        </w:rPr>
        <w:t xml:space="preserve">dnů </w:t>
      </w:r>
      <w:r w:rsidR="00EE792F" w:rsidRPr="002A7365">
        <w:rPr>
          <w:rFonts w:ascii="Arial CE" w:hAnsi="Arial CE" w:cs="Arial"/>
          <w:sz w:val="22"/>
          <w:szCs w:val="22"/>
        </w:rPr>
        <w:t>zbývající</w:t>
      </w:r>
      <w:r w:rsidR="00734CBB" w:rsidRPr="002A7365">
        <w:rPr>
          <w:rFonts w:ascii="Arial CE" w:hAnsi="Arial CE" w:cs="Arial"/>
          <w:sz w:val="22"/>
          <w:szCs w:val="22"/>
        </w:rPr>
        <w:t xml:space="preserve"> </w:t>
      </w:r>
      <w:r w:rsidR="00A600FB" w:rsidRPr="002A7365">
        <w:rPr>
          <w:rFonts w:ascii="Arial CE" w:hAnsi="Arial CE" w:cs="Arial"/>
          <w:sz w:val="22"/>
          <w:szCs w:val="22"/>
        </w:rPr>
        <w:t>4</w:t>
      </w:r>
      <w:r w:rsidR="00734CBB" w:rsidRPr="002A7365">
        <w:rPr>
          <w:rFonts w:ascii="Arial CE" w:hAnsi="Arial CE" w:cs="Arial"/>
          <w:sz w:val="22"/>
          <w:szCs w:val="22"/>
        </w:rPr>
        <w:t>x</w:t>
      </w:r>
      <w:r w:rsidR="00EE573C" w:rsidRPr="002A7365">
        <w:rPr>
          <w:rFonts w:ascii="Arial CE" w:hAnsi="Arial CE" w:cs="Arial"/>
          <w:sz w:val="22"/>
          <w:szCs w:val="22"/>
        </w:rPr>
        <w:t xml:space="preserve"> </w:t>
      </w:r>
      <w:r w:rsidR="00C7389E" w:rsidRPr="002A7365">
        <w:rPr>
          <w:rFonts w:ascii="Arial CE" w:hAnsi="Arial CE" w:cs="Arial"/>
          <w:sz w:val="22"/>
          <w:szCs w:val="22"/>
        </w:rPr>
        <w:t>kompletní</w:t>
      </w:r>
      <w:r w:rsidR="00C7389E" w:rsidRPr="002E610D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EE792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1F50E3" w:rsidRPr="002E610D">
        <w:rPr>
          <w:rFonts w:ascii="Arial CE" w:hAnsi="Arial CE" w:cs="Arial"/>
          <w:sz w:val="22"/>
          <w:szCs w:val="22"/>
        </w:rPr>
        <w:t xml:space="preserve">PD </w:t>
      </w:r>
      <w:r w:rsidR="00EE792F" w:rsidRPr="002E610D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610D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610D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2E610D">
        <w:rPr>
          <w:rFonts w:ascii="Arial CE" w:hAnsi="Arial CE" w:cs="Arial"/>
          <w:sz w:val="22"/>
          <w:szCs w:val="22"/>
        </w:rPr>
        <w:t xml:space="preserve"> </w:t>
      </w:r>
      <w:r w:rsidR="00824C23" w:rsidRPr="002E610D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610D">
        <w:rPr>
          <w:rFonts w:ascii="Arial CE" w:hAnsi="Arial CE" w:cs="Arial"/>
          <w:sz w:val="22"/>
          <w:szCs w:val="22"/>
        </w:rPr>
        <w:t>Jedná</w:t>
      </w:r>
      <w:r w:rsidR="007901CA" w:rsidRPr="002E610D">
        <w:rPr>
          <w:rFonts w:ascii="Arial CE" w:hAnsi="Arial CE" w:cs="Arial"/>
          <w:sz w:val="22"/>
          <w:szCs w:val="22"/>
        </w:rPr>
        <w:t xml:space="preserve"> -</w:t>
      </w:r>
      <w:r w:rsidR="00F213AE" w:rsidRPr="002E610D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F213AE" w:rsidRPr="002E610D">
        <w:rPr>
          <w:rFonts w:ascii="Arial CE" w:hAnsi="Arial CE" w:cs="Arial"/>
          <w:sz w:val="22"/>
          <w:szCs w:val="22"/>
        </w:rPr>
        <w:t>li</w:t>
      </w:r>
      <w:proofErr w:type="spellEnd"/>
      <w:r w:rsidR="00F213AE" w:rsidRPr="002E610D">
        <w:rPr>
          <w:rFonts w:ascii="Arial CE" w:hAnsi="Arial CE" w:cs="Arial"/>
          <w:sz w:val="22"/>
          <w:szCs w:val="22"/>
        </w:rPr>
        <w:t xml:space="preserve"> se o </w:t>
      </w:r>
      <w:r w:rsidR="007901CA" w:rsidRPr="002E610D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4472DF" w:rsidRPr="00824C23" w:rsidRDefault="004472DF" w:rsidP="004472D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A7365">
        <w:rPr>
          <w:rFonts w:ascii="Arial CE" w:hAnsi="Arial CE" w:cs="Arial"/>
          <w:sz w:val="22"/>
          <w:szCs w:val="22"/>
        </w:rPr>
        <w:t>Kompletní</w:t>
      </w:r>
      <w:r w:rsidRPr="002A7365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2A7365">
        <w:rPr>
          <w:rFonts w:ascii="Arial CE" w:hAnsi="Arial CE" w:cs="Arial"/>
          <w:sz w:val="22"/>
          <w:szCs w:val="22"/>
        </w:rPr>
        <w:t xml:space="preserve">dokumentace včetně dokladové části a oceněného soupisu prací bude předána MPR </w:t>
      </w:r>
      <w:r w:rsidR="00067F4D" w:rsidRPr="002A7365">
        <w:rPr>
          <w:rFonts w:ascii="Arial CE" w:hAnsi="Arial CE" w:cs="Arial"/>
          <w:sz w:val="22"/>
          <w:szCs w:val="22"/>
        </w:rPr>
        <w:t xml:space="preserve">po schválení v investiční komisi </w:t>
      </w:r>
      <w:r w:rsidRPr="002A7365">
        <w:rPr>
          <w:rFonts w:ascii="Arial CE" w:hAnsi="Arial CE" w:cs="Arial"/>
          <w:sz w:val="22"/>
          <w:szCs w:val="22"/>
        </w:rPr>
        <w:t xml:space="preserve">v počtu </w:t>
      </w:r>
      <w:r w:rsidR="00C7389E" w:rsidRPr="002A7365">
        <w:rPr>
          <w:rFonts w:ascii="Arial CE" w:hAnsi="Arial CE" w:cs="Arial"/>
          <w:sz w:val="22"/>
          <w:szCs w:val="22"/>
        </w:rPr>
        <w:t xml:space="preserve">celkem </w:t>
      </w:r>
      <w:r w:rsidRPr="002A7365">
        <w:rPr>
          <w:rFonts w:ascii="Arial CE" w:hAnsi="Arial CE" w:cs="Arial"/>
          <w:sz w:val="22"/>
          <w:szCs w:val="22"/>
        </w:rPr>
        <w:t xml:space="preserve">6x </w:t>
      </w:r>
      <w:proofErr w:type="spellStart"/>
      <w:r w:rsidRPr="002A7365">
        <w:rPr>
          <w:rFonts w:ascii="Arial CE" w:hAnsi="Arial CE" w:cs="Arial"/>
          <w:sz w:val="22"/>
          <w:szCs w:val="22"/>
        </w:rPr>
        <w:t>paré</w:t>
      </w:r>
      <w:proofErr w:type="spellEnd"/>
      <w:r w:rsidRPr="002A7365">
        <w:rPr>
          <w:rFonts w:ascii="Arial CE" w:hAnsi="Arial CE" w:cs="Arial"/>
          <w:sz w:val="22"/>
          <w:szCs w:val="22"/>
        </w:rPr>
        <w:t xml:space="preserve"> tištěné + 1x na elektronickém nosiči dat </w:t>
      </w:r>
    </w:p>
    <w:p w:rsidR="00EE792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B6341" w:rsidRPr="001D7A19" w:rsidRDefault="00EB6341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496D5D" w:rsidRPr="00042129" w:rsidRDefault="00496D5D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proofErr w:type="gramStart"/>
      <w:r w:rsidR="005925DB" w:rsidRPr="005925DB">
        <w:rPr>
          <w:rFonts w:ascii="Arial CE" w:hAnsi="Arial CE" w:cs="Arial"/>
          <w:b/>
          <w:sz w:val="22"/>
          <w:szCs w:val="22"/>
        </w:rPr>
        <w:t>13</w:t>
      </w:r>
      <w:r w:rsidR="002A7365" w:rsidRPr="005925DB">
        <w:rPr>
          <w:rFonts w:ascii="Arial CE" w:hAnsi="Arial CE" w:cs="Arial"/>
          <w:b/>
          <w:sz w:val="22"/>
          <w:szCs w:val="22"/>
        </w:rPr>
        <w:t>.02.</w:t>
      </w:r>
      <w:r w:rsidR="00067F4D" w:rsidRPr="005925DB">
        <w:rPr>
          <w:rFonts w:ascii="Arial CE" w:hAnsi="Arial CE" w:cs="Arial"/>
          <w:b/>
          <w:sz w:val="22"/>
          <w:szCs w:val="22"/>
        </w:rPr>
        <w:t>2017</w:t>
      </w:r>
      <w:proofErr w:type="gramEnd"/>
      <w:r w:rsidR="00496E78" w:rsidRPr="005925DB">
        <w:rPr>
          <w:rFonts w:ascii="Arial CE" w:hAnsi="Arial CE" w:cs="Arial"/>
          <w:b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8F1A46">
        <w:rPr>
          <w:rFonts w:ascii="Arial CE" w:hAnsi="Arial CE" w:cs="Arial"/>
          <w:b/>
          <w:sz w:val="22"/>
          <w:szCs w:val="22"/>
        </w:rPr>
        <w:t xml:space="preserve"> </w:t>
      </w:r>
      <w:r w:rsidR="008F1A46" w:rsidRPr="00FB25F1">
        <w:rPr>
          <w:rFonts w:ascii="Arial CE" w:hAnsi="Arial CE" w:cs="Arial"/>
          <w:sz w:val="22"/>
          <w:szCs w:val="22"/>
        </w:rPr>
        <w:t>(předání a převzetí kompletní PD):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FB25F1">
        <w:rPr>
          <w:rFonts w:ascii="Arial CE" w:hAnsi="Arial CE" w:cs="Arial"/>
          <w:b/>
          <w:sz w:val="22"/>
          <w:szCs w:val="22"/>
        </w:rPr>
        <w:tab/>
      </w:r>
      <w:r w:rsidR="00222398">
        <w:rPr>
          <w:rFonts w:ascii="Arial CE" w:hAnsi="Arial CE" w:cs="Arial"/>
          <w:b/>
          <w:sz w:val="22"/>
          <w:szCs w:val="22"/>
        </w:rPr>
        <w:tab/>
      </w:r>
      <w:proofErr w:type="gramStart"/>
      <w:r w:rsidR="002A7365">
        <w:rPr>
          <w:rFonts w:ascii="Arial CE" w:hAnsi="Arial CE" w:cs="Arial"/>
          <w:b/>
          <w:sz w:val="22"/>
          <w:szCs w:val="22"/>
        </w:rPr>
        <w:t>28</w:t>
      </w:r>
      <w:r w:rsidR="008F1A46" w:rsidRPr="002A7365">
        <w:rPr>
          <w:rFonts w:ascii="Arial CE" w:hAnsi="Arial CE" w:cs="Arial"/>
          <w:b/>
          <w:sz w:val="22"/>
          <w:szCs w:val="22"/>
        </w:rPr>
        <w:t>.</w:t>
      </w:r>
      <w:r w:rsidR="002A7365" w:rsidRPr="002A7365">
        <w:rPr>
          <w:rFonts w:ascii="Arial CE" w:hAnsi="Arial CE" w:cs="Arial"/>
          <w:b/>
          <w:sz w:val="22"/>
          <w:szCs w:val="22"/>
        </w:rPr>
        <w:t>04</w:t>
      </w:r>
      <w:r w:rsidR="008F1A46" w:rsidRPr="002A7365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066F4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1D7A19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proofErr w:type="gramStart"/>
      <w:r w:rsidR="002A7365" w:rsidRPr="002A7365">
        <w:rPr>
          <w:rFonts w:ascii="Arial CE" w:hAnsi="Arial CE" w:cs="Arial"/>
          <w:b/>
          <w:sz w:val="22"/>
          <w:szCs w:val="22"/>
        </w:rPr>
        <w:t>31.</w:t>
      </w:r>
      <w:r w:rsidR="002A7365">
        <w:rPr>
          <w:rFonts w:ascii="Arial CE" w:hAnsi="Arial CE" w:cs="Arial"/>
          <w:b/>
          <w:sz w:val="22"/>
          <w:szCs w:val="22"/>
        </w:rPr>
        <w:t>0</w:t>
      </w:r>
      <w:r w:rsidR="002A7365" w:rsidRPr="002A7365">
        <w:rPr>
          <w:rFonts w:ascii="Arial CE" w:hAnsi="Arial CE" w:cs="Arial"/>
          <w:b/>
          <w:sz w:val="22"/>
          <w:szCs w:val="22"/>
        </w:rPr>
        <w:t>5.</w:t>
      </w:r>
      <w:r w:rsidR="00167C90" w:rsidRPr="002A7365">
        <w:rPr>
          <w:rFonts w:ascii="Arial CE" w:hAnsi="Arial CE" w:cs="Arial"/>
          <w:b/>
          <w:sz w:val="22"/>
          <w:szCs w:val="22"/>
        </w:rPr>
        <w:t>201</w:t>
      </w:r>
      <w:r w:rsidRPr="002A7365">
        <w:rPr>
          <w:rFonts w:ascii="Arial CE" w:hAnsi="Arial CE" w:cs="Arial"/>
          <w:b/>
          <w:sz w:val="22"/>
          <w:szCs w:val="22"/>
        </w:rPr>
        <w:t>7</w:t>
      </w:r>
      <w:proofErr w:type="gramEnd"/>
      <w:r w:rsidR="005569D5"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Pr="001D7A19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6E033D" w:rsidRPr="00C412AC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B37E2" w:rsidRDefault="004B37E2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2A7365">
        <w:rPr>
          <w:rFonts w:ascii="Arial CE" w:hAnsi="Arial CE" w:cs="Arial"/>
          <w:b/>
          <w:color w:val="000000"/>
          <w:sz w:val="22"/>
          <w:szCs w:val="22"/>
        </w:rPr>
        <w:t>134 500,00</w:t>
      </w:r>
      <w:r w:rsidRPr="001D7A19">
        <w:rPr>
          <w:rFonts w:ascii="Arial CE" w:hAnsi="Arial CE" w:cs="Arial"/>
          <w:b/>
          <w:sz w:val="22"/>
          <w:szCs w:val="22"/>
        </w:rPr>
        <w:t xml:space="preserve"> 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067F4D" w:rsidRPr="001D7A19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67F4D" w:rsidRPr="001D7A19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A241AF">
        <w:rPr>
          <w:rFonts w:ascii="Arial CE" w:hAnsi="Arial CE" w:cs="Arial"/>
          <w:sz w:val="22"/>
          <w:szCs w:val="22"/>
        </w:rPr>
        <w:t>Geodetické zaměření</w:t>
      </w:r>
      <w:r w:rsidR="00640BCD" w:rsidRPr="00A241AF">
        <w:rPr>
          <w:rFonts w:ascii="Arial CE" w:hAnsi="Arial CE" w:cs="Arial"/>
          <w:sz w:val="22"/>
          <w:szCs w:val="22"/>
        </w:rPr>
        <w:t>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="00A241AF">
        <w:rPr>
          <w:rFonts w:ascii="Arial CE" w:hAnsi="Arial CE" w:cs="Arial"/>
          <w:sz w:val="22"/>
          <w:szCs w:val="22"/>
        </w:rPr>
        <w:t>8 400,00</w:t>
      </w:r>
      <w:r w:rsidRPr="001D7A19">
        <w:rPr>
          <w:rFonts w:ascii="Arial CE" w:hAnsi="Arial CE" w:cs="Arial"/>
          <w:sz w:val="22"/>
          <w:szCs w:val="22"/>
        </w:rPr>
        <w:t xml:space="preserve"> Kč bez </w:t>
      </w:r>
      <w:r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:rsidR="00420D0D" w:rsidRPr="001D7A19" w:rsidRDefault="00420D0D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AA2F85" w:rsidRPr="001D7A19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Default="00AA2F8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241AF">
        <w:rPr>
          <w:rFonts w:ascii="Arial CE" w:hAnsi="Arial CE" w:cs="Arial"/>
          <w:sz w:val="22"/>
          <w:szCs w:val="22"/>
        </w:rPr>
        <w:t>DS</w:t>
      </w:r>
      <w:r w:rsidR="004A574D" w:rsidRPr="00A241AF">
        <w:rPr>
          <w:rFonts w:ascii="Arial CE" w:hAnsi="Arial CE" w:cs="Arial"/>
          <w:sz w:val="22"/>
          <w:szCs w:val="22"/>
        </w:rPr>
        <w:t>J</w:t>
      </w:r>
      <w:r w:rsidR="00042129" w:rsidRPr="00A241AF">
        <w:rPr>
          <w:rFonts w:ascii="Arial CE" w:hAnsi="Arial CE" w:cs="Arial"/>
          <w:sz w:val="22"/>
          <w:szCs w:val="22"/>
        </w:rPr>
        <w:tab/>
      </w:r>
      <w:r w:rsidR="00042129" w:rsidRPr="00A241AF">
        <w:rPr>
          <w:rFonts w:ascii="Arial CE" w:hAnsi="Arial CE" w:cs="Arial"/>
          <w:sz w:val="22"/>
          <w:szCs w:val="22"/>
        </w:rPr>
        <w:tab/>
      </w:r>
      <w:r w:rsidR="00042129" w:rsidRPr="00A241AF">
        <w:rPr>
          <w:rFonts w:ascii="Arial CE" w:hAnsi="Arial CE" w:cs="Arial"/>
          <w:sz w:val="22"/>
          <w:szCs w:val="22"/>
        </w:rPr>
        <w:tab/>
      </w:r>
      <w:r w:rsidR="00042129" w:rsidRPr="00A241AF">
        <w:rPr>
          <w:rFonts w:ascii="Arial CE" w:hAnsi="Arial CE" w:cs="Arial"/>
          <w:sz w:val="22"/>
          <w:szCs w:val="22"/>
        </w:rPr>
        <w:tab/>
      </w:r>
      <w:r w:rsidR="00042129" w:rsidRPr="00A241AF">
        <w:rPr>
          <w:rFonts w:ascii="Arial CE" w:hAnsi="Arial CE" w:cs="Arial"/>
          <w:sz w:val="22"/>
          <w:szCs w:val="22"/>
        </w:rPr>
        <w:tab/>
      </w:r>
      <w:r w:rsidR="00042129" w:rsidRPr="00A241AF">
        <w:rPr>
          <w:rFonts w:ascii="Arial CE" w:hAnsi="Arial CE" w:cs="Arial"/>
          <w:sz w:val="22"/>
          <w:szCs w:val="22"/>
        </w:rPr>
        <w:tab/>
      </w:r>
      <w:r w:rsidRPr="00A241AF">
        <w:rPr>
          <w:rFonts w:ascii="Arial CE" w:hAnsi="Arial CE" w:cs="Arial"/>
          <w:sz w:val="22"/>
          <w:szCs w:val="22"/>
        </w:rPr>
        <w:tab/>
      </w:r>
      <w:r w:rsidRPr="00A241AF">
        <w:rPr>
          <w:rFonts w:ascii="Arial CE" w:hAnsi="Arial CE" w:cs="Arial"/>
          <w:sz w:val="22"/>
          <w:szCs w:val="22"/>
        </w:rPr>
        <w:tab/>
      </w:r>
      <w:r w:rsidR="00A241AF" w:rsidRPr="00A241AF">
        <w:rPr>
          <w:rFonts w:ascii="Arial CE" w:hAnsi="Arial CE" w:cs="Arial"/>
          <w:sz w:val="22"/>
          <w:szCs w:val="22"/>
        </w:rPr>
        <w:t>114 100,00</w:t>
      </w:r>
      <w:r w:rsidR="00A014A6" w:rsidRPr="00A241AF">
        <w:rPr>
          <w:rFonts w:ascii="Arial CE" w:hAnsi="Arial CE" w:cs="Arial"/>
          <w:sz w:val="22"/>
          <w:szCs w:val="22"/>
        </w:rPr>
        <w:t xml:space="preserve"> Kč bez </w:t>
      </w:r>
      <w:r w:rsidR="00A014A6" w:rsidRPr="00A241AF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Pr="00A241AF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241AF">
        <w:rPr>
          <w:rFonts w:ascii="Arial CE" w:hAnsi="Arial CE" w:cs="Arial"/>
          <w:sz w:val="22"/>
          <w:szCs w:val="22"/>
        </w:rPr>
        <w:t>PP, HP</w:t>
      </w:r>
      <w:r w:rsidR="00A94B47">
        <w:rPr>
          <w:rFonts w:ascii="Arial CE" w:hAnsi="Arial CE" w:cs="Arial"/>
          <w:sz w:val="22"/>
          <w:szCs w:val="22"/>
        </w:rPr>
        <w:t xml:space="preserve">, BOZP (koordinace) </w:t>
      </w:r>
      <w:r w:rsidR="00A94B47">
        <w:rPr>
          <w:rFonts w:ascii="Arial CE" w:hAnsi="Arial CE" w:cs="Arial"/>
          <w:sz w:val="22"/>
          <w:szCs w:val="22"/>
        </w:rPr>
        <w:tab/>
      </w:r>
      <w:r w:rsidRPr="00A241AF">
        <w:rPr>
          <w:rFonts w:ascii="Arial CE" w:hAnsi="Arial CE" w:cs="Arial"/>
          <w:sz w:val="22"/>
          <w:szCs w:val="22"/>
        </w:rPr>
        <w:tab/>
      </w:r>
      <w:r w:rsidRPr="00A241AF">
        <w:rPr>
          <w:rFonts w:ascii="Arial CE" w:hAnsi="Arial CE" w:cs="Arial"/>
          <w:sz w:val="22"/>
          <w:szCs w:val="22"/>
        </w:rPr>
        <w:tab/>
      </w:r>
      <w:r w:rsidR="00066F4E" w:rsidRPr="00A241AF">
        <w:rPr>
          <w:rFonts w:ascii="Arial CE" w:hAnsi="Arial CE" w:cs="Arial"/>
          <w:sz w:val="22"/>
          <w:szCs w:val="22"/>
        </w:rPr>
        <w:tab/>
      </w:r>
      <w:r w:rsidR="00066F4E" w:rsidRPr="00A241AF">
        <w:rPr>
          <w:rFonts w:ascii="Arial CE" w:hAnsi="Arial CE" w:cs="Arial"/>
          <w:sz w:val="22"/>
          <w:szCs w:val="22"/>
        </w:rPr>
        <w:tab/>
      </w:r>
      <w:r w:rsidR="00A241AF" w:rsidRPr="00A241AF">
        <w:rPr>
          <w:rFonts w:ascii="Arial CE" w:hAnsi="Arial CE" w:cs="Arial"/>
          <w:sz w:val="22"/>
          <w:szCs w:val="22"/>
        </w:rPr>
        <w:t>12 000,00</w:t>
      </w:r>
      <w:r w:rsidRPr="00A241AF">
        <w:rPr>
          <w:rFonts w:ascii="Arial CE" w:hAnsi="Arial CE" w:cs="Arial"/>
          <w:sz w:val="22"/>
          <w:szCs w:val="22"/>
        </w:rPr>
        <w:t xml:space="preserve"> Kč bez DPH</w:t>
      </w:r>
    </w:p>
    <w:p w:rsidR="00AA2F85" w:rsidRPr="001D7A19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6722C5">
        <w:rPr>
          <w:rFonts w:ascii="Arial CE" w:hAnsi="Arial CE" w:cs="Arial"/>
          <w:sz w:val="22"/>
          <w:szCs w:val="22"/>
        </w:rPr>
        <w:tab/>
      </w: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F44843">
        <w:rPr>
          <w:rFonts w:ascii="Arial CE" w:hAnsi="Arial CE" w:cs="Arial"/>
          <w:sz w:val="22"/>
          <w:szCs w:val="22"/>
        </w:rPr>
        <w:t>AD</w:t>
      </w:r>
      <w:r w:rsidR="00E5013A"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1D7A19">
        <w:rPr>
          <w:rFonts w:ascii="Arial CE" w:hAnsi="Arial CE" w:cs="Arial"/>
          <w:sz w:val="22"/>
          <w:szCs w:val="22"/>
        </w:rPr>
        <w:t xml:space="preserve"> </w:t>
      </w:r>
      <w:r w:rsidR="00E5013A">
        <w:rPr>
          <w:rFonts w:ascii="Arial CE" w:hAnsi="Arial CE" w:cs="Arial"/>
          <w:sz w:val="22"/>
          <w:szCs w:val="22"/>
        </w:rPr>
        <w:tab/>
      </w:r>
      <w:r w:rsidR="00F44843">
        <w:rPr>
          <w:rFonts w:ascii="Arial CE" w:hAnsi="Arial CE" w:cs="Arial"/>
          <w:sz w:val="22"/>
          <w:szCs w:val="22"/>
        </w:rPr>
        <w:tab/>
      </w:r>
      <w:r w:rsidR="000E5C87" w:rsidRPr="00A241AF">
        <w:rPr>
          <w:rFonts w:ascii="Arial CE" w:hAnsi="Arial CE" w:cs="Arial"/>
          <w:sz w:val="22"/>
          <w:szCs w:val="22"/>
        </w:rPr>
        <w:t>650</w:t>
      </w:r>
      <w:r w:rsidRPr="00A241AF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217F3F" w:rsidRPr="001D7A19" w:rsidRDefault="00217F3F" w:rsidP="00F021F3">
      <w:pPr>
        <w:jc w:val="both"/>
        <w:rPr>
          <w:rFonts w:ascii="Arial CE" w:hAnsi="Arial CE" w:cs="Arial"/>
          <w:sz w:val="22"/>
          <w:szCs w:val="22"/>
        </w:rPr>
      </w:pPr>
    </w:p>
    <w:p w:rsidR="00773564" w:rsidRDefault="00773564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323842" w:rsidRPr="00640BCD">
        <w:rPr>
          <w:rFonts w:ascii="Arial CE" w:hAnsi="Arial CE" w:cs="Arial"/>
          <w:sz w:val="22"/>
          <w:szCs w:val="22"/>
        </w:rPr>
        <w:t>dodavatelem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7901CA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2E610D" w:rsidRPr="002E610D" w:rsidRDefault="002E610D" w:rsidP="002E610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 xml:space="preserve">Předání </w:t>
      </w:r>
      <w:r w:rsidR="00A241AF">
        <w:rPr>
          <w:rFonts w:ascii="Arial CE" w:hAnsi="Arial CE" w:cs="Arial"/>
          <w:sz w:val="22"/>
          <w:szCs w:val="22"/>
        </w:rPr>
        <w:t>geodetického</w:t>
      </w:r>
      <w:r w:rsidRPr="002E610D">
        <w:rPr>
          <w:rFonts w:ascii="Arial CE" w:hAnsi="Arial CE" w:cs="Arial"/>
          <w:sz w:val="22"/>
          <w:szCs w:val="22"/>
        </w:rPr>
        <w:t xml:space="preserve"> zaměření – ve výši 100% ceny.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 </w:t>
      </w:r>
      <w:r w:rsidR="000E7580" w:rsidRPr="008F1A46">
        <w:rPr>
          <w:rFonts w:ascii="Arial CE" w:hAnsi="Arial CE" w:cs="Arial"/>
          <w:sz w:val="22"/>
          <w:szCs w:val="22"/>
        </w:rPr>
        <w:t>PD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 </w:t>
      </w:r>
      <w:r w:rsidR="000E7580">
        <w:rPr>
          <w:rFonts w:ascii="Arial CE" w:hAnsi="Arial CE" w:cs="Arial"/>
          <w:sz w:val="22"/>
          <w:szCs w:val="22"/>
        </w:rPr>
        <w:t>PD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lastRenderedPageBreak/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>
        <w:rPr>
          <w:rFonts w:ascii="Arial CE" w:hAnsi="Arial CE"/>
        </w:rPr>
        <w:t xml:space="preserve">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lastRenderedPageBreak/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</w:t>
      </w:r>
      <w:proofErr w:type="spellStart"/>
      <w:r w:rsidR="000624DD" w:rsidRPr="001B5B65">
        <w:rPr>
          <w:rFonts w:ascii="Arial CE" w:hAnsi="Arial CE"/>
          <w:bCs/>
          <w:sz w:val="22"/>
          <w:szCs w:val="22"/>
        </w:rPr>
        <w:t>li</w:t>
      </w:r>
      <w:proofErr w:type="spellEnd"/>
      <w:r w:rsidR="000624DD" w:rsidRPr="001B5B65">
        <w:rPr>
          <w:rFonts w:ascii="Arial CE" w:hAnsi="Arial CE"/>
          <w:bCs/>
          <w:sz w:val="22"/>
          <w:szCs w:val="22"/>
        </w:rPr>
        <w:t xml:space="preserve">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C412AC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640BCD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066F4E" w:rsidRDefault="00066F4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AA0897" w:rsidRDefault="00AA0897" w:rsidP="00AA0897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</w:t>
      </w:r>
      <w:r w:rsidR="006E4BA8" w:rsidRPr="001B5B65">
        <w:rPr>
          <w:rFonts w:ascii="Arial CE" w:hAnsi="Arial CE" w:cs="Arial"/>
          <w:sz w:val="22"/>
          <w:szCs w:val="22"/>
        </w:rPr>
        <w:t xml:space="preserve">dodavatele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lastRenderedPageBreak/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6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proofErr w:type="spellStart"/>
      <w:r w:rsidRPr="001B5B65">
        <w:rPr>
          <w:rFonts w:ascii="Arial CE" w:hAnsi="Arial CE" w:cs="Arial"/>
          <w:bCs/>
          <w:sz w:val="22"/>
          <w:szCs w:val="22"/>
        </w:rPr>
        <w:t>li</w:t>
      </w:r>
      <w:proofErr w:type="spellEnd"/>
      <w:r w:rsidRPr="001B5B65">
        <w:rPr>
          <w:rFonts w:ascii="Arial CE" w:hAnsi="Arial CE" w:cs="Arial"/>
          <w:bCs/>
          <w:sz w:val="22"/>
          <w:szCs w:val="22"/>
        </w:rPr>
        <w:t xml:space="preserve">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</w:t>
      </w:r>
      <w:r w:rsidR="00A40FBA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067F4D" w:rsidRP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80E85" w:rsidRDefault="00A80E85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>V……</w:t>
      </w:r>
      <w:proofErr w:type="gramStart"/>
      <w:r w:rsidRPr="001D7A19">
        <w:rPr>
          <w:rFonts w:ascii="Arial CE" w:hAnsi="Arial CE" w:cs="Arial"/>
          <w:sz w:val="22"/>
          <w:szCs w:val="22"/>
        </w:rPr>
        <w:t>…..dne</w:t>
      </w:r>
      <w:proofErr w:type="gramEnd"/>
      <w:r w:rsidRPr="001D7A19">
        <w:rPr>
          <w:rFonts w:ascii="Arial CE" w:hAnsi="Arial CE" w:cs="Arial"/>
          <w:sz w:val="22"/>
          <w:szCs w:val="22"/>
        </w:rPr>
        <w:t xml:space="preserve">………………. </w:t>
      </w: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A94B47" w:rsidRDefault="00A94B47" w:rsidP="00CA787E">
      <w:pPr>
        <w:jc w:val="both"/>
        <w:rPr>
          <w:rFonts w:ascii="Arial CE" w:hAnsi="Arial CE" w:cs="Arial"/>
          <w:sz w:val="22"/>
          <w:szCs w:val="22"/>
        </w:rPr>
      </w:pPr>
    </w:p>
    <w:p w:rsidR="00A94B47" w:rsidRDefault="00A94B47" w:rsidP="00CA787E">
      <w:pPr>
        <w:jc w:val="both"/>
        <w:rPr>
          <w:rFonts w:ascii="Arial CE" w:hAnsi="Arial CE" w:cs="Arial"/>
          <w:sz w:val="22"/>
          <w:szCs w:val="22"/>
        </w:rPr>
      </w:pPr>
    </w:p>
    <w:p w:rsidR="00A94B47" w:rsidRDefault="00A94B47" w:rsidP="00CA787E">
      <w:pPr>
        <w:jc w:val="both"/>
        <w:rPr>
          <w:rFonts w:ascii="Arial CE" w:hAnsi="Arial CE" w:cs="Arial"/>
          <w:sz w:val="22"/>
          <w:szCs w:val="22"/>
        </w:rPr>
      </w:pPr>
    </w:p>
    <w:p w:rsidR="00A94B47" w:rsidRDefault="00A94B47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51423D" w:rsidRPr="00754BF4" w:rsidRDefault="0051423D" w:rsidP="0051423D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51423D" w:rsidRPr="00766328" w:rsidRDefault="0051423D" w:rsidP="0051423D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754BF4">
        <w:rPr>
          <w:rFonts w:ascii="Arial" w:hAnsi="Arial" w:cs="Arial"/>
          <w:sz w:val="22"/>
          <w:szCs w:val="22"/>
        </w:rPr>
        <w:t>Hasík</w:t>
      </w:r>
      <w:proofErr w:type="spellEnd"/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51423D" w:rsidRDefault="0051423D" w:rsidP="0051423D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51423D" w:rsidRPr="00862931" w:rsidRDefault="0051423D" w:rsidP="0051423D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>M</w:t>
      </w:r>
      <w:r w:rsidR="007E2B77">
        <w:rPr>
          <w:rFonts w:ascii="Arial" w:hAnsi="Arial" w:cs="Arial"/>
          <w:sz w:val="22"/>
          <w:szCs w:val="22"/>
        </w:rPr>
        <w:t>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51423D" w:rsidRPr="009200FC" w:rsidRDefault="0051423D" w:rsidP="00514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sectPr w:rsidR="005B6054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0E" w:rsidRDefault="00D9410E">
      <w:r>
        <w:separator/>
      </w:r>
    </w:p>
  </w:endnote>
  <w:endnote w:type="continuationSeparator" w:id="0">
    <w:p w:rsidR="00D9410E" w:rsidRDefault="00D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C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C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C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C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0E" w:rsidRDefault="00D9410E">
      <w:r>
        <w:separator/>
      </w:r>
    </w:p>
  </w:footnote>
  <w:footnote w:type="continuationSeparator" w:id="0">
    <w:p w:rsidR="00D9410E" w:rsidRDefault="00D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05CBF"/>
    <w:multiLevelType w:val="hybridMultilevel"/>
    <w:tmpl w:val="DFDEF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7"/>
  </w:num>
  <w:num w:numId="8">
    <w:abstractNumId w:val="22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34"/>
  </w:num>
  <w:num w:numId="20">
    <w:abstractNumId w:val="23"/>
  </w:num>
  <w:num w:numId="21">
    <w:abstractNumId w:val="20"/>
  </w:num>
  <w:num w:numId="22">
    <w:abstractNumId w:val="33"/>
  </w:num>
  <w:num w:numId="23">
    <w:abstractNumId w:val="35"/>
  </w:num>
  <w:num w:numId="24">
    <w:abstractNumId w:val="30"/>
  </w:num>
  <w:num w:numId="25">
    <w:abstractNumId w:val="14"/>
  </w:num>
  <w:num w:numId="26">
    <w:abstractNumId w:val="3"/>
  </w:num>
  <w:num w:numId="27">
    <w:abstractNumId w:val="12"/>
  </w:num>
  <w:num w:numId="28">
    <w:abstractNumId w:val="31"/>
  </w:num>
  <w:num w:numId="29">
    <w:abstractNumId w:val="1"/>
  </w:num>
  <w:num w:numId="30">
    <w:abstractNumId w:val="4"/>
  </w:num>
  <w:num w:numId="31">
    <w:abstractNumId w:val="36"/>
  </w:num>
  <w:num w:numId="32">
    <w:abstractNumId w:val="26"/>
  </w:num>
  <w:num w:numId="33">
    <w:abstractNumId w:val="24"/>
  </w:num>
  <w:num w:numId="34">
    <w:abstractNumId w:val="21"/>
  </w:num>
  <w:num w:numId="35">
    <w:abstractNumId w:val="28"/>
  </w:num>
  <w:num w:numId="36">
    <w:abstractNumId w:val="25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468B0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9335F"/>
    <w:rsid w:val="0019377F"/>
    <w:rsid w:val="001952D4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285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A7365"/>
    <w:rsid w:val="002B1B6F"/>
    <w:rsid w:val="002B4882"/>
    <w:rsid w:val="002B5C5A"/>
    <w:rsid w:val="002C0478"/>
    <w:rsid w:val="002C130C"/>
    <w:rsid w:val="002C1521"/>
    <w:rsid w:val="002C1E74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6306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D5D"/>
    <w:rsid w:val="00496E78"/>
    <w:rsid w:val="00497407"/>
    <w:rsid w:val="004A09E3"/>
    <w:rsid w:val="004A574D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5A83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3D"/>
    <w:rsid w:val="005142C9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25DB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3D9"/>
    <w:rsid w:val="006108A3"/>
    <w:rsid w:val="00610E57"/>
    <w:rsid w:val="00610FE7"/>
    <w:rsid w:val="00612175"/>
    <w:rsid w:val="006124D7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4CB4"/>
    <w:rsid w:val="006452E6"/>
    <w:rsid w:val="006477EC"/>
    <w:rsid w:val="00647F48"/>
    <w:rsid w:val="00651B84"/>
    <w:rsid w:val="00652CBF"/>
    <w:rsid w:val="006540A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35850"/>
    <w:rsid w:val="00740F61"/>
    <w:rsid w:val="00743198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7525"/>
    <w:rsid w:val="007E2B77"/>
    <w:rsid w:val="007E435B"/>
    <w:rsid w:val="007E55ED"/>
    <w:rsid w:val="007E5CE0"/>
    <w:rsid w:val="007E7E10"/>
    <w:rsid w:val="007F01D0"/>
    <w:rsid w:val="007F0803"/>
    <w:rsid w:val="007F2D54"/>
    <w:rsid w:val="0080278C"/>
    <w:rsid w:val="00802B0E"/>
    <w:rsid w:val="00803E71"/>
    <w:rsid w:val="00803F75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029E0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8CA"/>
    <w:rsid w:val="00977DCB"/>
    <w:rsid w:val="00981010"/>
    <w:rsid w:val="00981D22"/>
    <w:rsid w:val="00982158"/>
    <w:rsid w:val="0098513C"/>
    <w:rsid w:val="00986BBA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41AF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0FBA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4B47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6AE4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22D0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C7509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10E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E76E6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34CD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2FA0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735850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735850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0588-1B68-4CF6-A85A-EFD1978A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3864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26610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4</cp:revision>
  <cp:lastPrinted>2017-01-09T11:52:00Z</cp:lastPrinted>
  <dcterms:created xsi:type="dcterms:W3CDTF">2017-02-20T12:17:00Z</dcterms:created>
  <dcterms:modified xsi:type="dcterms:W3CDTF">2017-02-20T12:24:00Z</dcterms:modified>
</cp:coreProperties>
</file>