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516.25pt;margin-top:40.9pt;width:9.1pt;height:37.7pt;z-index:-251658240;mso-position-horizontal-relative:page;mso-position-vertical-relative:page;z-index:-251658752" fillcolor="#151B1A" stroked="f"/>
        </w:pict>
      </w:r>
      <w:r>
        <w:pict>
          <v:rect style="position:absolute;margin-left:531.6pt;margin-top:40.9pt;width:8.15pt;height:49.9pt;z-index:-251658240;mso-position-horizontal-relative:page;mso-position-vertical-relative:page;z-index:-251658751" fillcolor="#161C1A" stroked="f"/>
        </w:pict>
      </w:r>
      <w:r>
        <w:pict>
          <v:rect style="position:absolute;margin-left:488.15pt;margin-top:39.45pt;width:53.5pt;height:53.3pt;z-index:-251658240;mso-position-horizontal-relative:page;mso-position-vertical-relative:page;z-index:-251658750" fillcolor="#151C1A" stroked="f"/>
        </w:pict>
      </w:r>
    </w:p>
    <w:p>
      <w:pPr>
        <w:framePr w:wrap="none" w:vAnchor="page" w:hAnchor="page" w:x="284" w:y="33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pt;height:28pt;">
            <v:imagedata r:id="rId5" r:href="rId6"/>
          </v:shape>
        </w:pict>
      </w:r>
    </w:p>
    <w:p>
      <w:pPr>
        <w:pStyle w:val="Style3"/>
        <w:framePr w:w="9720" w:h="831" w:hRule="exact" w:wrap="none" w:vAnchor="page" w:hAnchor="page" w:x="1148" w:y="919"/>
        <w:tabs>
          <w:tab w:leader="none" w:pos="17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4488"/>
      </w:pPr>
      <w:r>
        <w:rPr>
          <w:lang w:val="cs-CZ" w:eastAsia="cs-CZ" w:bidi="cs-CZ"/>
          <w:w w:val="100"/>
          <w:spacing w:val="0"/>
          <w:color w:val="000000"/>
          <w:position w:val="0"/>
        </w:rPr>
        <w:t>** **</w:t>
        <w:tab/>
        <w:t>EVROPSKÁ UNIE</w:t>
      </w:r>
    </w:p>
    <w:p>
      <w:pPr>
        <w:pStyle w:val="Style3"/>
        <w:framePr w:w="9720" w:h="831" w:hRule="exact" w:wrap="none" w:vAnchor="page" w:hAnchor="page" w:x="1148" w:y="919"/>
        <w:tabs>
          <w:tab w:leader="none" w:pos="1111" w:val="left"/>
          <w:tab w:leader="none" w:pos="170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4488"/>
      </w:pPr>
      <w:r>
        <w:rPr>
          <w:lang w:val="cs-CZ" w:eastAsia="cs-CZ" w:bidi="cs-CZ"/>
          <w:w w:val="100"/>
          <w:spacing w:val="0"/>
          <w:color w:val="000000"/>
          <w:position w:val="0"/>
        </w:rPr>
        <w:t>★</w:t>
        <w:tab/>
        <w:t>*</w:t>
        <w:tab/>
        <w:t>Evropské strukturální a investiční fondy</w:t>
      </w:r>
    </w:p>
    <w:p>
      <w:pPr>
        <w:pStyle w:val="Style3"/>
        <w:framePr w:w="9720" w:h="831" w:hRule="exact" w:wrap="none" w:vAnchor="page" w:hAnchor="page" w:x="1148" w:y="919"/>
        <w:widowControl w:val="0"/>
        <w:keepNext w:val="0"/>
        <w:keepLines w:val="0"/>
        <w:shd w:val="clear" w:color="auto" w:fill="auto"/>
        <w:bidi w:val="0"/>
        <w:spacing w:before="0" w:after="0"/>
        <w:ind w:left="760" w:right="4488"/>
      </w:pPr>
      <w:r>
        <w:rPr>
          <w:rStyle w:val="CharStyle5"/>
        </w:rPr>
        <w:t>*****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Operační program Praha - pól růstu ČR</w:t>
      </w:r>
    </w:p>
    <w:p>
      <w:pPr>
        <w:pStyle w:val="Style6"/>
        <w:framePr w:w="9720" w:h="268" w:hRule="exact" w:wrap="none" w:vAnchor="page" w:hAnchor="page" w:x="1148" w:y="2129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2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Dodatek č. 1 ke</w:t>
      </w:r>
      <w:bookmarkEnd w:id="0"/>
    </w:p>
    <w:p>
      <w:pPr>
        <w:framePr w:wrap="none" w:vAnchor="page" w:hAnchor="page" w:x="9764" w:y="790"/>
        <w:widowControl w:val="0"/>
        <w:rPr>
          <w:sz w:val="2"/>
          <w:szCs w:val="2"/>
        </w:rPr>
      </w:pPr>
      <w:r>
        <w:pict>
          <v:shape id="_x0000_s1027" type="#_x0000_t75" style="width:54pt;height:53pt;">
            <v:imagedata r:id="rId7" r:href="rId8"/>
          </v:shape>
        </w:pict>
      </w:r>
    </w:p>
    <w:p>
      <w:pPr>
        <w:pStyle w:val="Style6"/>
        <w:framePr w:w="9720" w:h="571" w:hRule="exact" w:wrap="none" w:vAnchor="page" w:hAnchor="page" w:x="1148" w:y="2614"/>
        <w:widowControl w:val="0"/>
        <w:keepNext w:val="0"/>
        <w:keepLines w:val="0"/>
        <w:shd w:val="clear" w:color="auto" w:fill="auto"/>
        <w:bidi w:val="0"/>
        <w:spacing w:before="0" w:after="26" w:line="210" w:lineRule="exact"/>
        <w:ind w:left="2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SMLOUVĚ O POSKYTOVÁNÍ SLUŽEB DOTAČNÍHO EXPERTA</w:t>
      </w:r>
      <w:bookmarkEnd w:id="1"/>
    </w:p>
    <w:p>
      <w:pPr>
        <w:pStyle w:val="Style8"/>
        <w:framePr w:w="9720" w:h="571" w:hRule="exact" w:wrap="none" w:vAnchor="page" w:hAnchor="page" w:x="1148" w:y="2614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uzavřené podle § 1746 odst. 2 zákona č. 89/2012 Sb., občanského zákoníku</w:t>
      </w:r>
    </w:p>
    <w:p>
      <w:pPr>
        <w:pStyle w:val="Style6"/>
        <w:framePr w:wrap="none" w:vAnchor="page" w:hAnchor="page" w:x="1148" w:y="3670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číslo smlouvy: 1/2020</w:t>
      </w:r>
      <w:bookmarkEnd w:id="2"/>
    </w:p>
    <w:p>
      <w:pPr>
        <w:pStyle w:val="Style6"/>
        <w:numPr>
          <w:ilvl w:val="0"/>
          <w:numId w:val="1"/>
        </w:numPr>
        <w:framePr w:w="9720" w:h="1820" w:hRule="exact" w:wrap="none" w:vAnchor="page" w:hAnchor="page" w:x="1148" w:y="4396"/>
        <w:tabs>
          <w:tab w:leader="none" w:pos="354" w:val="left"/>
          <w:tab w:leader="none" w:pos="21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  <w:tab/>
        <w:t>Nemocnice Na Františku, příspěvková organizace</w:t>
      </w:r>
      <w:bookmarkEnd w:id="3"/>
    </w:p>
    <w:p>
      <w:pPr>
        <w:pStyle w:val="Style8"/>
        <w:framePr w:w="9720" w:h="1820" w:hRule="exact" w:wrap="none" w:vAnchor="page" w:hAnchor="page" w:x="1148" w:y="439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2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Františku 847/8, 110 00 Praha 1 - Staré Město</w:t>
      </w:r>
    </w:p>
    <w:p>
      <w:pPr>
        <w:pStyle w:val="Style8"/>
        <w:framePr w:w="9720" w:h="1820" w:hRule="exact" w:wrap="none" w:vAnchor="page" w:hAnchor="page" w:x="1148" w:y="439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2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00879444</w:t>
      </w:r>
    </w:p>
    <w:p>
      <w:pPr>
        <w:pStyle w:val="Style8"/>
        <w:framePr w:w="9720" w:h="1820" w:hRule="exact" w:wrap="none" w:vAnchor="page" w:hAnchor="page" w:x="1148" w:y="439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2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 CZ00879444</w:t>
      </w:r>
    </w:p>
    <w:p>
      <w:pPr>
        <w:pStyle w:val="Style8"/>
        <w:framePr w:w="9720" w:h="1820" w:hRule="exact" w:wrap="none" w:vAnchor="page" w:hAnchor="page" w:x="1148" w:y="439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160" w:right="8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</w:t>
      </w:r>
      <w:r>
        <w:rPr>
          <w:rStyle w:val="CharStyle10"/>
        </w:rPr>
        <w:t>................</w:t>
      </w:r>
      <w:r>
        <w:rPr>
          <w:rStyle w:val="CharStyle11"/>
        </w:rPr>
        <w:t>​</w:t>
      </w:r>
      <w:r>
        <w:rPr>
          <w:rStyle w:val="CharStyle12"/>
        </w:rPr>
        <w:t>....</w:t>
      </w:r>
      <w:r>
        <w:rPr>
          <w:rStyle w:val="CharStyle13"/>
        </w:rPr>
        <w:t>.......</w:t>
      </w:r>
      <w:r>
        <w:rPr>
          <w:rStyle w:val="CharStyle11"/>
        </w:rPr>
        <w:t>​</w:t>
      </w:r>
      <w:r>
        <w:rPr>
          <w:rStyle w:val="CharStyle14"/>
        </w:rPr>
        <w:t>......</w:t>
      </w:r>
      <w:r>
        <w:rPr>
          <w:rStyle w:val="CharStyle15"/>
        </w:rPr>
        <w:t>.</w:t>
      </w:r>
      <w:r>
        <w:rPr>
          <w:rStyle w:val="CharStyle11"/>
        </w:rPr>
        <w:t>​..........</w:t>
      </w:r>
      <w:r>
        <w:rPr>
          <w:rStyle w:val="CharStyle10"/>
        </w:rPr>
        <w:t>....</w:t>
      </w:r>
      <w:r>
        <w:rPr>
          <w:rStyle w:val="CharStyle11"/>
        </w:rPr>
        <w:t>​</w:t>
      </w:r>
      <w:r>
        <w:rPr>
          <w:rStyle w:val="CharStyle16"/>
        </w:rPr>
        <w:t>.</w:t>
      </w:r>
      <w:r>
        <w:rPr>
          <w:rStyle w:val="CharStyle17"/>
        </w:rPr>
        <w:t>....</w:t>
      </w:r>
      <w:r>
        <w:rPr>
          <w:rStyle w:val="CharStyle11"/>
        </w:rPr>
        <w:t>​</w:t>
      </w:r>
      <w:r>
        <w:rPr>
          <w:rStyle w:val="CharStyle14"/>
        </w:rPr>
        <w:t>....</w:t>
      </w:r>
      <w:r>
        <w:rPr>
          <w:rStyle w:val="CharStyle15"/>
        </w:rPr>
        <w:t>..</w:t>
      </w:r>
      <w:r>
        <w:rPr>
          <w:rStyle w:val="CharStyle11"/>
        </w:rPr>
        <w:t>​</w:t>
      </w:r>
      <w:r>
        <w:rPr>
          <w:rStyle w:val="CharStyle18"/>
        </w:rPr>
        <w:t>..</w:t>
      </w:r>
      <w:r>
        <w:rPr>
          <w:rStyle w:val="CharStyle19"/>
        </w:rPr>
        <w:t>..</w:t>
      </w:r>
      <w:r>
        <w:rPr>
          <w:rStyle w:val="CharStyle11"/>
        </w:rPr>
        <w:t>​</w:t>
      </w:r>
      <w:r>
        <w:rPr>
          <w:rStyle w:val="CharStyle20"/>
        </w:rPr>
        <w:t>.</w:t>
      </w:r>
      <w:r>
        <w:rPr>
          <w:rStyle w:val="CharStyle12"/>
        </w:rPr>
        <w:t>.........</w:t>
      </w:r>
      <w:r>
        <w:rPr>
          <w:rStyle w:val="CharStyle11"/>
        </w:rPr>
        <w:t>​</w:t>
      </w:r>
      <w:r>
        <w:rPr>
          <w:rStyle w:val="CharStyle21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1"/>
        </w:rPr>
        <w:t>​</w:t>
      </w:r>
      <w:r>
        <w:rPr>
          <w:rStyle w:val="CharStyle14"/>
        </w:rPr>
        <w:t>......</w:t>
      </w:r>
      <w:r>
        <w:rPr>
          <w:rStyle w:val="CharStyle15"/>
        </w:rPr>
        <w:t>.</w:t>
      </w:r>
      <w:r>
        <w:rPr>
          <w:rStyle w:val="CharStyle11"/>
        </w:rPr>
        <w:t>​</w:t>
      </w:r>
      <w:r>
        <w:rPr>
          <w:rStyle w:val="CharStyle10"/>
        </w:rPr>
        <w:t>....</w:t>
      </w:r>
      <w:r>
        <w:rPr>
          <w:rStyle w:val="CharStyle20"/>
        </w:rPr>
        <w:t>....................</w:t>
      </w:r>
    </w:p>
    <w:p>
      <w:pPr>
        <w:pStyle w:val="Style8"/>
        <w:framePr w:w="9720" w:h="1820" w:hRule="exact" w:wrap="none" w:vAnchor="page" w:hAnchor="page" w:x="1148" w:y="439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21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zastoupena:</w:t>
      </w:r>
      <w:r>
        <w:rPr>
          <w:rStyle w:val="CharStyle11"/>
        </w:rPr>
        <w:t>.​....</w:t>
      </w:r>
      <w:r>
        <w:rPr>
          <w:rStyle w:val="CharStyle10"/>
        </w:rPr>
        <w:t>.......</w:t>
      </w:r>
      <w:r>
        <w:rPr>
          <w:rStyle w:val="CharStyle11"/>
        </w:rPr>
        <w:t>​...........</w:t>
      </w:r>
      <w:r>
        <w:rPr>
          <w:rStyle w:val="CharStyle10"/>
        </w:rPr>
        <w:t>....</w:t>
      </w:r>
      <w:r>
        <w:rPr>
          <w:rStyle w:val="CharStyle11"/>
        </w:rPr>
        <w:t>​</w:t>
      </w:r>
      <w:r>
        <w:rPr>
          <w:rStyle w:val="CharStyle20"/>
        </w:rPr>
        <w:t>.........</w:t>
      </w:r>
      <w:r>
        <w:rPr>
          <w:rStyle w:val="CharStyle12"/>
        </w:rPr>
        <w:t>.......</w:t>
      </w:r>
      <w:r>
        <w:rPr>
          <w:rStyle w:val="CharStyle11"/>
        </w:rPr>
        <w:t>​</w:t>
      </w:r>
      <w:r>
        <w:rPr>
          <w:rStyle w:val="CharStyle20"/>
        </w:rPr>
        <w:t>....</w:t>
      </w:r>
      <w:r>
        <w:rPr>
          <w:rStyle w:val="CharStyle12"/>
        </w:rPr>
        <w:t>..........</w:t>
      </w:r>
    </w:p>
    <w:p>
      <w:pPr>
        <w:pStyle w:val="Style6"/>
        <w:numPr>
          <w:ilvl w:val="0"/>
          <w:numId w:val="1"/>
        </w:numPr>
        <w:framePr w:w="9720" w:h="2134" w:hRule="exact" w:wrap="none" w:vAnchor="page" w:hAnchor="page" w:x="1148" w:y="6918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Poskytovatel: Grant Help, s.r.o.</w:t>
      </w:r>
      <w:bookmarkEnd w:id="4"/>
    </w:p>
    <w:p>
      <w:pPr>
        <w:pStyle w:val="Style8"/>
        <w:framePr w:w="9720" w:h="2134" w:hRule="exact" w:wrap="none" w:vAnchor="page" w:hAnchor="page" w:x="1148" w:y="6918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2160" w:right="8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Václavské náměstí 828/23, 110 00 Praha 1</w:t>
        <w:br/>
        <w:t>IČ: 27645240</w:t>
        <w:br/>
        <w:t>DIČ: CZ27645240</w:t>
        <w:br/>
        <w:t>plátce DPH: ANO</w:t>
      </w:r>
    </w:p>
    <w:p>
      <w:pPr>
        <w:pStyle w:val="Style8"/>
        <w:framePr w:w="9720" w:h="2134" w:hRule="exact" w:wrap="none" w:vAnchor="page" w:hAnchor="page" w:x="1148" w:y="6918"/>
        <w:widowControl w:val="0"/>
        <w:keepNext w:val="0"/>
        <w:keepLines w:val="0"/>
        <w:shd w:val="clear" w:color="auto" w:fill="auto"/>
        <w:bidi w:val="0"/>
        <w:jc w:val="left"/>
        <w:spacing w:before="0" w:after="0" w:line="509" w:lineRule="exact"/>
        <w:ind w:left="0" w:right="840" w:firstLine="21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zastoupen: </w:t>
      </w:r>
      <w:r>
        <w:rPr>
          <w:rStyle w:val="CharStyle15"/>
        </w:rPr>
        <w:t>..</w:t>
      </w:r>
      <w:r>
        <w:rPr>
          <w:rStyle w:val="CharStyle22"/>
        </w:rPr>
        <w:t>.....</w:t>
      </w:r>
      <w:r>
        <w:rPr>
          <w:rStyle w:val="CharStyle11"/>
        </w:rPr>
        <w:t>​</w:t>
      </w:r>
      <w:r>
        <w:rPr>
          <w:rStyle w:val="CharStyle10"/>
        </w:rPr>
        <w:t>.</w:t>
      </w:r>
      <w:r>
        <w:rPr>
          <w:rStyle w:val="CharStyle20"/>
        </w:rPr>
        <w:t>.............</w:t>
      </w:r>
      <w:r>
        <w:rPr>
          <w:rStyle w:val="CharStyle11"/>
        </w:rPr>
        <w:t>​</w:t>
      </w:r>
      <w:r>
        <w:rPr>
          <w:rStyle w:val="CharStyle20"/>
        </w:rPr>
        <w:t>....</w:t>
      </w:r>
      <w:r>
        <w:rPr>
          <w:rStyle w:val="CharStyle12"/>
        </w:rPr>
        <w:t>..........</w:t>
      </w:r>
      <w:r>
        <w:rPr>
          <w:rStyle w:val="CharStyle11"/>
        </w:rPr>
        <w:t>​</w:t>
      </w:r>
      <w:r>
        <w:rPr>
          <w:rStyle w:val="CharStyle10"/>
        </w:rPr>
        <w:t>........</w:t>
      </w:r>
      <w:r>
        <w:rPr>
          <w:rStyle w:val="CharStyle20"/>
        </w:rPr>
        <w:t>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  <w:t xml:space="preserve">(společně dále jen jako </w:t>
      </w:r>
      <w:r>
        <w:rPr>
          <w:rStyle w:val="CharStyle23"/>
        </w:rPr>
        <w:t xml:space="preserve">„smluvní strany“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nebo též jednotlivě jako </w:t>
      </w:r>
      <w:r>
        <w:rPr>
          <w:rStyle w:val="CharStyle23"/>
        </w:rPr>
        <w:t>„smluvní strana“)</w:t>
      </w:r>
    </w:p>
    <w:p>
      <w:pPr>
        <w:pStyle w:val="Style24"/>
        <w:framePr w:w="9720" w:h="6156" w:hRule="exact" w:wrap="none" w:vAnchor="page" w:hAnchor="page" w:x="1148" w:y="9488"/>
        <w:widowControl w:val="0"/>
        <w:keepNext w:val="0"/>
        <w:keepLines w:val="0"/>
        <w:shd w:val="clear" w:color="auto" w:fill="auto"/>
        <w:bidi w:val="0"/>
        <w:spacing w:before="0" w:after="15" w:line="200" w:lineRule="exact"/>
        <w:ind w:left="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5"/>
    </w:p>
    <w:p>
      <w:pPr>
        <w:pStyle w:val="Style6"/>
        <w:framePr w:w="9720" w:h="6156" w:hRule="exact" w:wrap="none" w:vAnchor="page" w:hAnchor="page" w:x="1148" w:y="9488"/>
        <w:widowControl w:val="0"/>
        <w:keepNext w:val="0"/>
        <w:keepLines w:val="0"/>
        <w:shd w:val="clear" w:color="auto" w:fill="auto"/>
        <w:bidi w:val="0"/>
        <w:spacing w:before="0" w:after="206" w:line="210" w:lineRule="exact"/>
        <w:ind w:left="2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Preambule</w:t>
      </w:r>
      <w:bookmarkEnd w:id="6"/>
    </w:p>
    <w:p>
      <w:pPr>
        <w:pStyle w:val="Style8"/>
        <w:framePr w:w="9720" w:h="6156" w:hRule="exact" w:wrap="none" w:vAnchor="page" w:hAnchor="page" w:x="1148" w:y="9488"/>
        <w:widowControl w:val="0"/>
        <w:keepNext w:val="0"/>
        <w:keepLines w:val="0"/>
        <w:shd w:val="clear" w:color="auto" w:fill="auto"/>
        <w:bidi w:val="0"/>
        <w:jc w:val="both"/>
        <w:spacing w:before="0" w:after="1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 6.1.2020 uzavřely smluvní strany smlouvu o poskytování služeb dotačního experta (dále jen</w:t>
      </w:r>
    </w:p>
    <w:p>
      <w:pPr>
        <w:pStyle w:val="Style26"/>
        <w:framePr w:w="9720" w:h="6156" w:hRule="exact" w:wrap="none" w:vAnchor="page" w:hAnchor="page" w:x="1148" w:y="9488"/>
        <w:widowControl w:val="0"/>
        <w:keepNext w:val="0"/>
        <w:keepLines w:val="0"/>
        <w:shd w:val="clear" w:color="auto" w:fill="auto"/>
        <w:bidi w:val="0"/>
        <w:spacing w:before="0" w:after="196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„smlouva“).</w:t>
      </w:r>
    </w:p>
    <w:p>
      <w:pPr>
        <w:pStyle w:val="Style8"/>
        <w:framePr w:w="9720" w:h="6156" w:hRule="exact" w:wrap="none" w:vAnchor="page" w:hAnchor="page" w:x="1148" w:y="9488"/>
        <w:widowControl w:val="0"/>
        <w:keepNext w:val="0"/>
        <w:keepLines w:val="0"/>
        <w:shd w:val="clear" w:color="auto" w:fill="auto"/>
        <w:bidi w:val="0"/>
        <w:jc w:val="both"/>
        <w:spacing w:before="0" w:after="16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Vzhledem k tomu, že</w:t>
      </w:r>
    </w:p>
    <w:p>
      <w:pPr>
        <w:pStyle w:val="Style8"/>
        <w:numPr>
          <w:ilvl w:val="0"/>
          <w:numId w:val="3"/>
        </w:numPr>
        <w:framePr w:w="9720" w:h="6156" w:hRule="exact" w:wrap="none" w:vAnchor="page" w:hAnchor="page" w:x="1148" w:y="9488"/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7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poskytovatel podal nejvýhodnější nabídku na veřejnou zakázku malého rozsahu s názvem</w:t>
        <w:br/>
        <w:t>„Dotační expert pro projekt Navigační a znalostní systém pro Nemocnici Na Františku II.“,</w:t>
      </w:r>
    </w:p>
    <w:p>
      <w:pPr>
        <w:pStyle w:val="Style8"/>
        <w:numPr>
          <w:ilvl w:val="0"/>
          <w:numId w:val="3"/>
        </w:numPr>
        <w:framePr w:w="9720" w:h="6156" w:hRule="exact" w:wrap="none" w:vAnchor="page" w:hAnchor="page" w:x="1148" w:y="9488"/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7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služby poskytovatele se týkají dotačního projektu zadavatele financovaného z Evropských</w:t>
        <w:br/>
        <w:t>strukturálních a investičních fondů, Operačního programu Praha Pól růstu, a to konkrétně</w:t>
        <w:br/>
        <w:t>projektu Navigační a znalostní systém pro Nemocnici Na Františku, registrační číslo</w:t>
        <w:br/>
        <w:t xml:space="preserve">CZ.07.1.02/0.0/0.0/15_024/0000457 (dále též jen </w:t>
      </w:r>
      <w:r>
        <w:rPr>
          <w:rStyle w:val="CharStyle23"/>
        </w:rPr>
        <w:t>„projekt“),</w:t>
      </w:r>
    </w:p>
    <w:p>
      <w:pPr>
        <w:pStyle w:val="Style8"/>
        <w:numPr>
          <w:ilvl w:val="0"/>
          <w:numId w:val="3"/>
        </w:numPr>
        <w:framePr w:w="9720" w:h="6156" w:hRule="exact" w:wrap="none" w:vAnchor="page" w:hAnchor="page" w:x="1148" w:y="9488"/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7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objektivních důvodů nezávislých na vůli objednatele jako zadavatele (výskyt epidemie</w:t>
        <w:br/>
        <w:t>COVID-19) byla podána žádost o prodloužení projektu, která byla schválena,</w:t>
      </w:r>
    </w:p>
    <w:p>
      <w:pPr>
        <w:pStyle w:val="Style8"/>
        <w:numPr>
          <w:ilvl w:val="0"/>
          <w:numId w:val="3"/>
        </w:numPr>
        <w:framePr w:w="9720" w:h="6156" w:hRule="exact" w:wrap="none" w:vAnchor="page" w:hAnchor="page" w:x="1148" w:y="9488"/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7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souladu s § 222 odst. 6 zákona č. 134/2016 Sb., o zadávání veřejných zakázek se jedná</w:t>
        <w:br/>
        <w:t>o povolenou změnu smlouvy, přičemž při součtu změn provedených níže nedojde</w:t>
        <w:br/>
        <w:t>uzavřením tohoto dodatku k překročení příslušeného limitu pro režim veřejné zakázky</w:t>
        <w:br/>
        <w:t>malého rozsahu,</w:t>
      </w:r>
    </w:p>
    <w:p>
      <w:pPr>
        <w:pStyle w:val="Style8"/>
        <w:numPr>
          <w:ilvl w:val="0"/>
          <w:numId w:val="3"/>
        </w:numPr>
        <w:framePr w:w="9720" w:h="6156" w:hRule="exact" w:wrap="none" w:vAnchor="page" w:hAnchor="page" w:x="1148" w:y="9488"/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6" w:line="245" w:lineRule="exact"/>
        <w:ind w:left="760" w:right="0" w:hanging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ohledem na to, že se jedná o veřejnou zakázku malého rozsahu, v souladu s Pravidly pro</w:t>
        <w:br/>
        <w:t>žadatele a příjemce, kapitola 19, bod 19.4.6.1.</w:t>
      </w:r>
    </w:p>
    <w:p>
      <w:pPr>
        <w:pStyle w:val="Style8"/>
        <w:framePr w:w="9720" w:h="6156" w:hRule="exact" w:wrap="none" w:vAnchor="page" w:hAnchor="page" w:x="1148" w:y="9488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smluvní strany tento dodatek č. 1 ke smlouvě</w:t>
      </w:r>
    </w:p>
    <w:p>
      <w:pPr>
        <w:pStyle w:val="Style8"/>
        <w:framePr w:wrap="none" w:vAnchor="page" w:hAnchor="page" w:x="1148" w:y="1598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505.1pt;margin-top:29.7pt;width:23.5pt;height:49.7pt;z-index:-251658240;mso-position-horizontal-relative:page;mso-position-vertical-relative:page;z-index:-251658749" fillcolor="#171D1B" stroked="f"/>
        </w:pict>
      </w:r>
      <w:r>
        <w:pict>
          <v:rect style="position:absolute;margin-left:477.25pt;margin-top:28.pt;width:53.3pt;height:53.05pt;z-index:-251658240;mso-position-horizontal-relative:page;mso-position-vertical-relative:page;z-index:-251658748" fillcolor="#171D1B" stroked="f"/>
        </w:pict>
      </w:r>
    </w:p>
    <w:p>
      <w:pPr>
        <w:pStyle w:val="Style3"/>
        <w:framePr w:w="9710" w:h="811" w:hRule="exact" w:wrap="none" w:vAnchor="page" w:hAnchor="page" w:x="964" w:y="705"/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** * ** EVROPSKÁ UNIE</w:t>
        <w:br/>
        <w:t>★</w:t>
        <w:tab/>
        <w:t>* Evropské strukturální a Investiční fondy</w:t>
      </w:r>
    </w:p>
    <w:p>
      <w:pPr>
        <w:pStyle w:val="Style3"/>
        <w:framePr w:w="9710" w:h="811" w:hRule="exact" w:wrap="none" w:vAnchor="page" w:hAnchor="page" w:x="964" w:y="7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*★ * ** Operační program Praha - pól růstu ČR</w:t>
      </w:r>
    </w:p>
    <w:p>
      <w:pPr>
        <w:framePr w:wrap="none" w:vAnchor="page" w:hAnchor="page" w:x="9546" w:y="110"/>
        <w:widowControl w:val="0"/>
        <w:rPr>
          <w:sz w:val="2"/>
          <w:szCs w:val="2"/>
        </w:rPr>
      </w:pPr>
      <w:r>
        <w:pict>
          <v:shape id="_x0000_s1028" type="#_x0000_t75" style="width:78pt;height:76pt;">
            <v:imagedata r:id="rId9" r:href="rId10"/>
          </v:shape>
        </w:pict>
      </w:r>
    </w:p>
    <w:p>
      <w:pPr>
        <w:pStyle w:val="Style28"/>
        <w:framePr w:w="9710" w:h="3942" w:hRule="exact" w:wrap="none" w:vAnchor="page" w:hAnchor="page" w:x="964" w:y="2155"/>
        <w:widowControl w:val="0"/>
        <w:keepNext w:val="0"/>
        <w:keepLines w:val="0"/>
        <w:shd w:val="clear" w:color="auto" w:fill="auto"/>
        <w:bidi w:val="0"/>
        <w:jc w:val="left"/>
        <w:spacing w:before="0" w:after="21" w:line="170" w:lineRule="exact"/>
        <w:ind w:left="474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  <w:bookmarkEnd w:id="7"/>
    </w:p>
    <w:p>
      <w:pPr>
        <w:pStyle w:val="Style6"/>
        <w:framePr w:w="9710" w:h="3942" w:hRule="exact" w:wrap="none" w:vAnchor="page" w:hAnchor="page" w:x="964" w:y="2155"/>
        <w:widowControl w:val="0"/>
        <w:keepNext w:val="0"/>
        <w:keepLines w:val="0"/>
        <w:shd w:val="clear" w:color="auto" w:fill="auto"/>
        <w:bidi w:val="0"/>
        <w:spacing w:before="0" w:after="223" w:line="210" w:lineRule="exact"/>
        <w:ind w:left="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Předmět dodatku</w:t>
      </w:r>
      <w:bookmarkEnd w:id="8"/>
    </w:p>
    <w:p>
      <w:pPr>
        <w:pStyle w:val="Style8"/>
        <w:numPr>
          <w:ilvl w:val="0"/>
          <w:numId w:val="5"/>
        </w:numPr>
        <w:framePr w:w="9710" w:h="3942" w:hRule="exact" w:wrap="none" w:vAnchor="page" w:hAnchor="page" w:x="964" w:y="2155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9" w:line="254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podal žádost o prodloužení projektu, a to vzhledem k současnému stavu, kdy nelze</w:t>
        <w:br/>
        <w:t>zahájit Fázi 3 plnění projektu. Tento objektivní stav je dán současnou situací v souvislosti</w:t>
        <w:br/>
        <w:t>s nařízením nouzového stavu na území České republiky a vyhlášení nových opatření vlády ČR</w:t>
        <w:br/>
        <w:t>a Ministerstva zdravotnictví ČR k boji s epidemií COVID-19.</w:t>
      </w:r>
    </w:p>
    <w:p>
      <w:pPr>
        <w:pStyle w:val="Style8"/>
        <w:framePr w:w="9710" w:h="3942" w:hRule="exact" w:wrap="none" w:vAnchor="page" w:hAnchor="page" w:x="964" w:y="2155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1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usnesení Vlády České republiky ze dne 8. 10. 2020 č. 998 o přijetí</w:t>
        <w:br/>
        <w:t>krizového opatření (a dále na základě prodloužení tohoto usnesení ze dne 23.10.2020,</w:t>
        <w:br/>
        <w:t>30.10.2020 a 20.11.2020) je zakázán pohyb třetích osob u všech poskytovatelů</w:t>
        <w:br/>
        <w:t>zdravotnických služeb.</w:t>
      </w:r>
    </w:p>
    <w:p>
      <w:pPr>
        <w:pStyle w:val="Style8"/>
        <w:framePr w:w="9710" w:h="3942" w:hRule="exact" w:wrap="none" w:vAnchor="page" w:hAnchor="page" w:x="964" w:y="2155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1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tohoto důvodu není možný vstup třetích osob - členů realizačního týmu a zástupců</w:t>
        <w:br/>
        <w:t>dodavatelů do prostor nemocníce za účelem instalace prototypů a jejich následného</w:t>
        <w:br/>
        <w:t>otestování ve spoluprácí s pacienty nemocnice a zdravotnickým personálem.</w:t>
      </w:r>
    </w:p>
    <w:p>
      <w:pPr>
        <w:pStyle w:val="Style8"/>
        <w:numPr>
          <w:ilvl w:val="0"/>
          <w:numId w:val="5"/>
        </w:numPr>
        <w:framePr w:w="9710" w:h="3342" w:hRule="exact" w:wrap="none" w:vAnchor="page" w:hAnchor="page" w:x="964" w:y="6472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2" w:line="250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Předpokládá se, že prodloužení projektu bude trvat do 30.6.2021, pokud nebude nutné</w:t>
        <w:br/>
        <w:t>z epidemiologického hlediska požádat o opětovné prodloužení. Vzhledem k tomu se článek</w:t>
        <w:br/>
        <w:t>Vlil. odst. 1 smlouvy se mění tak, že nově zní:</w:t>
      </w:r>
    </w:p>
    <w:p>
      <w:pPr>
        <w:pStyle w:val="Style30"/>
        <w:framePr w:w="9710" w:h="3342" w:hRule="exact" w:wrap="none" w:vAnchor="page" w:hAnchor="page" w:x="964" w:y="6472"/>
        <w:widowControl w:val="0"/>
        <w:keepNext w:val="0"/>
        <w:keepLines w:val="0"/>
        <w:shd w:val="clear" w:color="auto" w:fill="auto"/>
        <w:bidi w:val="0"/>
        <w:jc w:val="left"/>
        <w:spacing w:before="0" w:after="208" w:line="210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ujednána na dobu určitou, a to do 30.6.2021.</w:t>
      </w:r>
    </w:p>
    <w:p>
      <w:pPr>
        <w:pStyle w:val="Style8"/>
        <w:numPr>
          <w:ilvl w:val="0"/>
          <w:numId w:val="5"/>
        </w:numPr>
        <w:framePr w:w="9710" w:h="3342" w:hRule="exact" w:wrap="none" w:vAnchor="page" w:hAnchor="page" w:x="964" w:y="6472"/>
        <w:widowControl w:val="0"/>
        <w:keepNext w:val="0"/>
        <w:keepLines w:val="0"/>
        <w:shd w:val="clear" w:color="auto" w:fill="auto"/>
        <w:bidi w:val="0"/>
        <w:jc w:val="both"/>
        <w:spacing w:before="0" w:after="223" w:line="210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 čl. II. odst. 1 a 2 smlouvy se číselný údaj 12 měsíců nahrazuje údajem </w:t>
      </w:r>
      <w:r>
        <w:rPr>
          <w:rStyle w:val="CharStyle32"/>
        </w:rPr>
        <w:t>18 měsíců.</w:t>
      </w:r>
    </w:p>
    <w:p>
      <w:pPr>
        <w:pStyle w:val="Style8"/>
        <w:numPr>
          <w:ilvl w:val="0"/>
          <w:numId w:val="5"/>
        </w:numPr>
        <w:framePr w:w="9710" w:h="3342" w:hRule="exact" w:wrap="none" w:vAnchor="page" w:hAnchor="page" w:x="964" w:y="6472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Poskytovatel má nárok za tři měsíce, které budou spadat do období 1.1.2021 - 30.6.2021</w:t>
        <w:br/>
        <w:t>(podle toho, kdy dojde ke skutečné realizaci Fáze 3 plnění projektu ) v návaznosti na zahájení</w:t>
        <w:br/>
        <w:t>prací/aktivit Fáze 3 ze strany partnerů vystavit 3x pravidelnou fakturu na částku 35.500,- Kč</w:t>
        <w:br/>
        <w:t>bez DPH, čímž se hodnota plnění z této smlouvy zvýší o celkovou částku 106.500,- Kč bez</w:t>
        <w:br/>
        <w:t>DPH.</w:t>
      </w:r>
    </w:p>
    <w:p>
      <w:pPr>
        <w:pStyle w:val="Style33"/>
        <w:framePr w:w="9710" w:h="5333" w:hRule="exact" w:wrap="none" w:vAnchor="page" w:hAnchor="page" w:x="964" w:y="10039"/>
        <w:widowControl w:val="0"/>
        <w:keepNext w:val="0"/>
        <w:keepLines w:val="0"/>
        <w:shd w:val="clear" w:color="auto" w:fill="auto"/>
        <w:bidi w:val="0"/>
        <w:jc w:val="left"/>
        <w:spacing w:before="0" w:after="15" w:line="200" w:lineRule="exact"/>
        <w:ind w:left="474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III.</w:t>
      </w:r>
      <w:bookmarkEnd w:id="9"/>
    </w:p>
    <w:p>
      <w:pPr>
        <w:pStyle w:val="Style6"/>
        <w:framePr w:w="9710" w:h="5333" w:hRule="exact" w:wrap="none" w:vAnchor="page" w:hAnchor="page" w:x="964" w:y="10039"/>
        <w:widowControl w:val="0"/>
        <w:keepNext w:val="0"/>
        <w:keepLines w:val="0"/>
        <w:shd w:val="clear" w:color="auto" w:fill="auto"/>
        <w:bidi w:val="0"/>
        <w:spacing w:before="0" w:after="266" w:line="210" w:lineRule="exact"/>
        <w:ind w:left="2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10"/>
    </w:p>
    <w:p>
      <w:pPr>
        <w:pStyle w:val="Style8"/>
        <w:numPr>
          <w:ilvl w:val="0"/>
          <w:numId w:val="7"/>
        </w:numPr>
        <w:framePr w:w="9710" w:h="5333" w:hRule="exact" w:wrap="none" w:vAnchor="page" w:hAnchor="page" w:x="964" w:y="10039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0" w:line="200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smlouvy nedotčené tímto dodatkem zůstávají beze změny.</w:t>
      </w:r>
    </w:p>
    <w:p>
      <w:pPr>
        <w:pStyle w:val="Style8"/>
        <w:numPr>
          <w:ilvl w:val="0"/>
          <w:numId w:val="7"/>
        </w:numPr>
        <w:framePr w:w="9710" w:h="5333" w:hRule="exact" w:wrap="none" w:vAnchor="page" w:hAnchor="page" w:x="964" w:y="10039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54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skutečnosti uvedené v tomto dodatku nepovažují za obchodní</w:t>
        <w:br/>
        <w:t>tajemství ve smyslu § 504 zákona č. 89/2012 Sb., občanského zákoníku a udělují svolení</w:t>
        <w:br/>
        <w:t>k jejich užití a zveřejnění bez stanovení jakýchkoli dalších podmínek.</w:t>
      </w:r>
    </w:p>
    <w:p>
      <w:pPr>
        <w:pStyle w:val="Style8"/>
        <w:numPr>
          <w:ilvl w:val="0"/>
          <w:numId w:val="7"/>
        </w:numPr>
        <w:framePr w:w="9710" w:h="5333" w:hRule="exact" w:wrap="none" w:vAnchor="page" w:hAnchor="page" w:x="964" w:y="10039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54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je podepsán ve dvou vyhotoveních, z nichž po jednom obdrží každá</w:t>
        <w:br/>
        <w:t>ze smluvních stran.</w:t>
      </w:r>
    </w:p>
    <w:p>
      <w:pPr>
        <w:pStyle w:val="Style8"/>
        <w:numPr>
          <w:ilvl w:val="0"/>
          <w:numId w:val="7"/>
        </w:numPr>
        <w:framePr w:w="9710" w:h="5333" w:hRule="exact" w:wrap="none" w:vAnchor="page" w:hAnchor="page" w:x="964" w:y="10039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54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dále berou na vědomí a souhlasí s tím, že tento dodatek bude zveřejněn</w:t>
        <w:br/>
        <w:t>v registru smluv v souladu se zákonem č. 340/2015 Sb., o zvláštních podmínkách účinnosti</w:t>
        <w:br/>
        <w:t>některých smluv, uveřejňování těchto smluv a o registru smluv. Uveřejnění zajistí objednatel.</w:t>
      </w:r>
    </w:p>
    <w:p>
      <w:pPr>
        <w:pStyle w:val="Style8"/>
        <w:numPr>
          <w:ilvl w:val="0"/>
          <w:numId w:val="7"/>
        </w:numPr>
        <w:framePr w:w="9710" w:h="5333" w:hRule="exact" w:wrap="none" w:vAnchor="page" w:hAnchor="page" w:x="964" w:y="10039"/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si tento dodatek přečetly a že byl uzavřen srozumitelně a určitě</w:t>
        <w:br/>
        <w:t>dle jejich pravé, svobodné a vážně projevené vůle, nikoliv v tísni nebo za nápadně</w:t>
        <w:br/>
        <w:t>nevýhodných podmínek. Právní jednání smluvních stran v tomto dodatku svým obsahem a</w:t>
        <w:br/>
        <w:t>účelem odpovídá dobrým mravům i zákonu. Na důkaz toho připojují smluvní strany své</w:t>
        <w:br/>
        <w:t>podpisy.</w:t>
      </w:r>
    </w:p>
    <w:p>
      <w:pPr>
        <w:pStyle w:val="Style35"/>
        <w:framePr w:wrap="none" w:vAnchor="page" w:hAnchor="page" w:x="5480" w:y="1574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513.45pt;margin-top:40.65pt;width:23.5pt;height:49.9pt;z-index:-251658240;mso-position-horizontal-relative:page;mso-position-vertical-relative:page;z-index:-251658747" fillcolor="#161C1A" stroked="f"/>
        </w:pict>
      </w:r>
      <w:r>
        <w:pict>
          <v:rect style="position:absolute;margin-left:485.4pt;margin-top:39.2pt;width:53.5pt;height:53.05pt;z-index:-251658240;mso-position-horizontal-relative:page;mso-position-vertical-relative:page;z-index:-251658746" fillcolor="#161C1A" stroked="f"/>
        </w:pict>
      </w:r>
    </w:p>
    <w:p>
      <w:pPr>
        <w:framePr w:wrap="none" w:vAnchor="page" w:hAnchor="page" w:x="1121" w:y="775"/>
        <w:widowControl w:val="0"/>
        <w:rPr>
          <w:sz w:val="2"/>
          <w:szCs w:val="2"/>
        </w:rPr>
      </w:pPr>
      <w:r>
        <w:pict>
          <v:shape id="_x0000_s1029" type="#_x0000_t75" style="width:78pt;height:53pt;">
            <v:imagedata r:id="rId11" r:href="rId12"/>
          </v:shape>
        </w:pict>
      </w:r>
    </w:p>
    <w:p>
      <w:pPr>
        <w:pStyle w:val="Style8"/>
        <w:framePr w:w="3509" w:h="825" w:hRule="exact" w:wrap="none" w:vAnchor="page" w:hAnchor="page" w:x="2821" w:y="899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EVROPSKÁ UNIE</w:t>
      </w:r>
    </w:p>
    <w:p>
      <w:pPr>
        <w:pStyle w:val="Style8"/>
        <w:framePr w:w="3509" w:h="825" w:hRule="exact" w:wrap="none" w:vAnchor="page" w:hAnchor="page" w:x="2821" w:y="899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Evropské strukturální a investiční fondy</w:t>
        <w:br/>
        <w:t>Operační program Praha - pól růstu ČR</w:t>
      </w:r>
    </w:p>
    <w:p>
      <w:pPr>
        <w:framePr w:wrap="none" w:vAnchor="page" w:hAnchor="page" w:x="9709" w:y="785"/>
        <w:widowControl w:val="0"/>
        <w:rPr>
          <w:sz w:val="2"/>
          <w:szCs w:val="2"/>
        </w:rPr>
      </w:pPr>
      <w:r>
        <w:pict>
          <v:shape id="_x0000_s1030" type="#_x0000_t75" style="width:54pt;height:53pt;">
            <v:imagedata r:id="rId13" r:href="rId14"/>
          </v:shape>
        </w:pict>
      </w:r>
    </w:p>
    <w:p>
      <w:pPr>
        <w:pStyle w:val="Style8"/>
        <w:framePr w:wrap="none" w:vAnchor="page" w:hAnchor="page" w:x="1054" w:y="261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dne:</w:t>
      </w:r>
    </w:p>
    <w:p>
      <w:pPr>
        <w:pStyle w:val="Style8"/>
        <w:framePr w:wrap="none" w:vAnchor="page" w:hAnchor="page" w:x="6008" w:y="26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dne: 14.12.2020</w:t>
      </w:r>
    </w:p>
    <w:p>
      <w:pPr>
        <w:framePr w:wrap="none" w:vAnchor="page" w:hAnchor="page" w:x="1760" w:y="3415"/>
        <w:widowControl w:val="0"/>
        <w:rPr>
          <w:sz w:val="2"/>
          <w:szCs w:val="2"/>
        </w:rPr>
      </w:pPr>
      <w:r>
        <w:pict>
          <v:shape id="_x0000_s1031" type="#_x0000_t75" style="width:171pt;height:137pt;">
            <v:imagedata r:id="rId15" r:href="rId16"/>
          </v:shape>
        </w:pict>
      </w:r>
    </w:p>
    <w:p>
      <w:pPr>
        <w:pStyle w:val="Style8"/>
        <w:framePr w:w="1776" w:h="975" w:hRule="exact" w:wrap="none" w:vAnchor="page" w:hAnchor="page" w:x="7035" w:y="3370"/>
        <w:widowControl w:val="0"/>
        <w:keepNext w:val="0"/>
        <w:keepLines w:val="0"/>
        <w:shd w:val="clear" w:color="auto" w:fill="auto"/>
        <w:bidi w:val="0"/>
        <w:jc w:val="left"/>
        <w:spacing w:before="0" w:after="146" w:line="200" w:lineRule="exact"/>
        <w:ind w:left="0" w:right="0" w:firstLine="0"/>
      </w:pPr>
      <w:r>
        <w:rPr>
          <w:rStyle w:val="CharStyle16"/>
        </w:rPr>
        <w:t>.</w:t>
      </w:r>
      <w:r>
        <w:rPr>
          <w:rStyle w:val="CharStyle17"/>
        </w:rPr>
        <w:t>...</w:t>
      </w:r>
      <w:r>
        <w:rPr>
          <w:rStyle w:val="CharStyle11"/>
        </w:rPr>
        <w:t>​</w:t>
      </w:r>
      <w:r>
        <w:rPr>
          <w:rStyle w:val="CharStyle20"/>
        </w:rPr>
        <w:t>....................</w:t>
      </w:r>
      <w:r>
        <w:rPr>
          <w:rStyle w:val="CharStyle12"/>
        </w:rPr>
        <w:t>..</w:t>
      </w:r>
    </w:p>
    <w:p>
      <w:pPr>
        <w:pStyle w:val="Style37"/>
        <w:framePr w:w="1776" w:h="975" w:hRule="exact" w:wrap="none" w:vAnchor="page" w:hAnchor="page" w:x="7035" w:y="3370"/>
        <w:widowControl w:val="0"/>
        <w:keepNext w:val="0"/>
        <w:keepLines w:val="0"/>
        <w:shd w:val="clear" w:color="auto" w:fill="auto"/>
        <w:bidi w:val="0"/>
        <w:spacing w:before="0" w:after="0" w:line="520" w:lineRule="exact"/>
        <w:ind w:left="0" w:right="8861" w:firstLine="0"/>
      </w:pPr>
      <w:r>
        <w:rPr>
          <w:rStyle w:val="CharStyle39"/>
        </w:rPr>
        <w:t>..</w:t>
      </w:r>
      <w:r>
        <w:rPr>
          <w:rStyle w:val="CharStyle40"/>
        </w:rPr>
        <w:t>.</w:t>
      </w:r>
    </w:p>
    <w:p>
      <w:pPr>
        <w:pStyle w:val="Style41"/>
        <w:framePr w:wrap="none" w:vAnchor="page" w:hAnchor="page" w:x="8053" w:y="3668"/>
        <w:widowControl w:val="0"/>
        <w:keepNext w:val="0"/>
        <w:keepLines w:val="0"/>
        <w:shd w:val="clear" w:color="auto" w:fill="auto"/>
        <w:bidi w:val="0"/>
        <w:jc w:val="left"/>
        <w:spacing w:before="0" w:after="0" w:line="680" w:lineRule="exact"/>
        <w:ind w:left="300" w:right="0" w:firstLine="0"/>
      </w:pPr>
      <w:r>
        <w:rPr>
          <w:rStyle w:val="CharStyle43"/>
          <w:b/>
          <w:bCs/>
          <w:i w:val="0"/>
          <w:iCs w:val="0"/>
        </w:rPr>
        <w:t>..</w:t>
      </w:r>
      <w:bookmarkStart w:id="11" w:name="bookmark11"/>
      <w:r>
        <w:rPr>
          <w:rStyle w:val="CharStyle44"/>
          <w:b/>
          <w:bCs/>
          <w:i/>
          <w:iCs/>
        </w:rPr>
        <w:t>​</w:t>
      </w:r>
      <w:r>
        <w:rPr>
          <w:rStyle w:val="CharStyle45"/>
          <w:b/>
          <w:bCs/>
          <w:i/>
          <w:iCs/>
        </w:rPr>
        <w:t>....</w:t>
      </w:r>
      <w:r>
        <w:rPr>
          <w:rStyle w:val="CharStyle46"/>
          <w:b/>
          <w:bCs/>
          <w:i/>
          <w:iCs/>
        </w:rPr>
        <w:t>.......</w:t>
      </w:r>
      <w:bookmarkEnd w:id="11"/>
    </w:p>
    <w:p>
      <w:pPr>
        <w:pStyle w:val="Style8"/>
        <w:framePr w:w="2486" w:h="747" w:hRule="exact" w:wrap="none" w:vAnchor="page" w:hAnchor="page" w:x="6709" w:y="4726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160" w:firstLine="0"/>
      </w:pPr>
      <w:r>
        <w:rPr>
          <w:rStyle w:val="CharStyle11"/>
        </w:rPr>
        <w:t>..​</w:t>
      </w:r>
      <w:r>
        <w:rPr>
          <w:rStyle w:val="CharStyle47"/>
        </w:rPr>
        <w:t>.</w:t>
      </w:r>
      <w:r>
        <w:rPr>
          <w:rStyle w:val="CharStyle14"/>
        </w:rPr>
        <w:t>........</w:t>
      </w:r>
      <w:r>
        <w:rPr>
          <w:rStyle w:val="CharStyle11"/>
        </w:rPr>
        <w:t>​</w:t>
      </w:r>
      <w:r>
        <w:rPr>
          <w:rStyle w:val="CharStyle20"/>
        </w:rPr>
        <w:t>.........</w:t>
      </w:r>
      <w:r>
        <w:rPr>
          <w:rStyle w:val="CharStyle11"/>
        </w:rPr>
        <w:t>​</w:t>
      </w:r>
      <w:r>
        <w:rPr>
          <w:rStyle w:val="CharStyle20"/>
        </w:rPr>
        <w:t>..</w:t>
      </w:r>
      <w:r>
        <w:rPr>
          <w:rStyle w:val="CharStyle12"/>
        </w:rPr>
        <w:t>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br/>
      </w:r>
      <w:r>
        <w:rPr>
          <w:rStyle w:val="CharStyle11"/>
        </w:rPr>
        <w:t>​</w:t>
      </w:r>
      <w:r>
        <w:rPr>
          <w:rStyle w:val="CharStyle15"/>
        </w:rPr>
        <w:t>..</w:t>
      </w:r>
      <w:r>
        <w:rPr>
          <w:rStyle w:val="CharStyle22"/>
        </w:rPr>
        <w:t>.....</w:t>
      </w:r>
      <w:r>
        <w:rPr>
          <w:rStyle w:val="CharStyle11"/>
        </w:rPr>
        <w:t>​</w:t>
      </w:r>
      <w:r>
        <w:rPr>
          <w:rStyle w:val="CharStyle12"/>
        </w:rPr>
        <w:t>.......</w:t>
      </w:r>
      <w:r>
        <w:rPr>
          <w:rStyle w:val="CharStyle13"/>
        </w:rPr>
        <w:t>..</w:t>
      </w:r>
      <w:r>
        <w:rPr>
          <w:rStyle w:val="CharStyle11"/>
        </w:rPr>
        <w:t>​</w:t>
      </w:r>
      <w:r>
        <w:rPr>
          <w:rStyle w:val="CharStyle13"/>
        </w:rPr>
        <w:t>.....</w:t>
      </w:r>
      <w:r>
        <w:rPr>
          <w:rStyle w:val="CharStyle47"/>
        </w:rPr>
        <w:t>....</w:t>
      </w:r>
      <w:r>
        <w:rPr>
          <w:rStyle w:val="CharStyle11"/>
        </w:rPr>
        <w:t>​</w:t>
      </w:r>
      <w:r>
        <w:rPr>
          <w:rStyle w:val="CharStyle20"/>
        </w:rPr>
        <w:t>........</w:t>
      </w:r>
      <w:r>
        <w:rPr>
          <w:rStyle w:val="CharStyle12"/>
        </w:rPr>
        <w:t>....</w:t>
      </w:r>
    </w:p>
    <w:p>
      <w:pPr>
        <w:framePr w:wrap="none" w:vAnchor="page" w:hAnchor="page" w:x="968" w:y="15420"/>
        <w:widowControl w:val="0"/>
        <w:rPr>
          <w:sz w:val="2"/>
          <w:szCs w:val="2"/>
        </w:rPr>
      </w:pPr>
      <w:r>
        <w:pict>
          <v:shape id="_x0000_s1032" type="#_x0000_t75" style="width:121pt;height:29pt;">
            <v:imagedata r:id="rId17" r:href="rId18"/>
          </v:shape>
        </w:pict>
      </w:r>
    </w:p>
    <w:p>
      <w:pPr>
        <w:framePr w:wrap="none" w:vAnchor="page" w:hAnchor="page" w:x="3473" w:y="15308"/>
        <w:widowControl w:val="0"/>
      </w:pPr>
    </w:p>
    <w:p>
      <w:pPr>
        <w:pStyle w:val="Style35"/>
        <w:framePr w:wrap="none" w:vAnchor="page" w:hAnchor="page" w:x="5590" w:y="1595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</w:pPr>
      <w:r>
        <w:pict>
          <v:shape id="_x0000_s1033" type="#_x0000_t75" style="position:absolute;margin-left:333.95pt;margin-top:222.8pt;width:46.55pt;height:29.75pt;z-index:-251658745;mso-wrap-distance-left:5.pt;mso-wrap-distance-right:5.pt;mso-position-horizontal-relative:page;mso-position-vertical-relative:page" wrapcoords="0 0">
            <v:imagedata r:id="rId19" r:href="rId20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">
    <w:name w:val="Základní text (3) + Řádkování 2 pt"/>
    <w:basedOn w:val="CharStyle4"/>
    <w:rPr>
      <w:lang w:val="cs-CZ" w:eastAsia="cs-CZ" w:bidi="cs-CZ"/>
      <w:w w:val="100"/>
      <w:spacing w:val="40"/>
      <w:color w:val="000000"/>
      <w:position w:val="0"/>
    </w:rPr>
  </w:style>
  <w:style w:type="character" w:customStyle="1" w:styleId="CharStyle7">
    <w:name w:val="Nadpis #3_"/>
    <w:basedOn w:val="DefaultParagraphFont"/>
    <w:link w:val="Style6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9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0">
    <w:name w:val="Základní text (2) + Řádkování 0 pt"/>
    <w:basedOn w:val="CharStyle9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11">
    <w:name w:val="Základní text (2)"/>
    <w:basedOn w:val="CharStyle9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Základní text (2) + Řádkování 0 pt"/>
    <w:basedOn w:val="CharStyle9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3">
    <w:name w:val="Základní text (2) + Řádkování 0 pt"/>
    <w:basedOn w:val="CharStyle9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4">
    <w:name w:val="Základní text (2) + Řádkování 0 pt"/>
    <w:basedOn w:val="CharStyle9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15">
    <w:name w:val="Základní text (2) + Řádkování 0 pt"/>
    <w:basedOn w:val="CharStyle9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6">
    <w:name w:val="Základní text (2) + Řádkování 0 pt"/>
    <w:basedOn w:val="CharStyle9"/>
    <w:rPr>
      <w:lang w:val="cs-CZ" w:eastAsia="cs-CZ" w:bidi="cs-CZ"/>
      <w:w w:val="100"/>
      <w:spacing w:val="10"/>
      <w:color w:val="000000"/>
      <w:shd w:val="clear" w:color="auto" w:fill="000000"/>
      <w:position w:val="0"/>
    </w:rPr>
  </w:style>
  <w:style w:type="character" w:customStyle="1" w:styleId="CharStyle17">
    <w:name w:val="Základní text (2) + Řádkování 0 pt"/>
    <w:basedOn w:val="CharStyle9"/>
    <w:rPr>
      <w:lang w:val="cs-CZ" w:eastAsia="cs-CZ" w:bidi="cs-CZ"/>
      <w:w w:val="100"/>
      <w:spacing w:val="11"/>
      <w:color w:val="000000"/>
      <w:shd w:val="clear" w:color="auto" w:fill="000000"/>
      <w:position w:val="0"/>
    </w:rPr>
  </w:style>
  <w:style w:type="character" w:customStyle="1" w:styleId="CharStyle18">
    <w:name w:val="Základní text (2) + Řádkování 0 pt"/>
    <w:basedOn w:val="CharStyle9"/>
    <w:rPr>
      <w:lang w:val="cs-CZ" w:eastAsia="cs-CZ" w:bidi="cs-CZ"/>
      <w:w w:val="100"/>
      <w:spacing w:val="13"/>
      <w:color w:val="000000"/>
      <w:shd w:val="clear" w:color="auto" w:fill="000000"/>
      <w:position w:val="0"/>
    </w:rPr>
  </w:style>
  <w:style w:type="character" w:customStyle="1" w:styleId="CharStyle19">
    <w:name w:val="Základní text (2) + Řádkování 0 pt"/>
    <w:basedOn w:val="CharStyle9"/>
    <w:rPr>
      <w:lang w:val="cs-CZ" w:eastAsia="cs-CZ" w:bidi="cs-CZ"/>
      <w:w w:val="100"/>
      <w:spacing w:val="14"/>
      <w:color w:val="000000"/>
      <w:shd w:val="clear" w:color="auto" w:fill="000000"/>
      <w:position w:val="0"/>
    </w:rPr>
  </w:style>
  <w:style w:type="character" w:customStyle="1" w:styleId="CharStyle20">
    <w:name w:val="Základní text (2) + Řádkování 0 pt"/>
    <w:basedOn w:val="CharStyle9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21">
    <w:name w:val="Základní text (2) + Řádkování 2 pt"/>
    <w:basedOn w:val="CharStyle9"/>
    <w:rPr>
      <w:lang w:val="cs-CZ" w:eastAsia="cs-CZ" w:bidi="cs-CZ"/>
      <w:w w:val="100"/>
      <w:spacing w:val="55"/>
      <w:color w:val="000000"/>
      <w:shd w:val="clear" w:color="auto" w:fill="000000"/>
      <w:position w:val="0"/>
    </w:rPr>
  </w:style>
  <w:style w:type="character" w:customStyle="1" w:styleId="CharStyle22">
    <w:name w:val="Základní text (2) + Řádkování 0 pt"/>
    <w:basedOn w:val="CharStyle9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23">
    <w:name w:val="Základní text (2) + 10,5 pt,Tučné"/>
    <w:basedOn w:val="CharStyle9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25">
    <w:name w:val="Nadpis #2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7">
    <w:name w:val="Základní text (4)_"/>
    <w:basedOn w:val="DefaultParagraphFont"/>
    <w:link w:val="Style26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9">
    <w:name w:val="Nadpis #3 (2)_"/>
    <w:basedOn w:val="DefaultParagraphFont"/>
    <w:link w:val="Style28"/>
    <w:rPr>
      <w:b/>
      <w:bCs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character" w:customStyle="1" w:styleId="CharStyle31">
    <w:name w:val="Základní text (5)_"/>
    <w:basedOn w:val="DefaultParagraphFont"/>
    <w:link w:val="Style30"/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32">
    <w:name w:val="Základní text (2) + 10,5 pt,Kurzíva"/>
    <w:basedOn w:val="CharStyle9"/>
    <w:rPr>
      <w:lang w:val="cs-CZ" w:eastAsia="cs-CZ" w:bidi="cs-CZ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34">
    <w:name w:val="Nadpis #3 (3)_"/>
    <w:basedOn w:val="DefaultParagraphFont"/>
    <w:link w:val="Style33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6">
    <w:name w:val="Záhlaví nebo Zápatí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8">
    <w:name w:val="Základní text (6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52"/>
      <w:szCs w:val="52"/>
      <w:rFonts w:ascii="Arial" w:eastAsia="Arial" w:hAnsi="Arial" w:cs="Arial"/>
      <w:spacing w:val="-50"/>
    </w:rPr>
  </w:style>
  <w:style w:type="character" w:customStyle="1" w:styleId="CharStyle39">
    <w:name w:val="{CE62E5CF-BB06-4450-9F8E-6B754E800F20}"/>
    <w:basedOn w:val="CharStyle38"/>
    <w:rPr>
      <w:lang w:val="cs-CZ" w:eastAsia="cs-CZ" w:bidi="cs-CZ"/>
      <w:w w:val="100"/>
      <w:spacing w:val="15"/>
      <w:color w:val="000000"/>
      <w:shd w:val="clear" w:color="auto" w:fill="000000"/>
      <w:position w:val="0"/>
    </w:rPr>
  </w:style>
  <w:style w:type="character" w:customStyle="1" w:styleId="CharStyle40">
    <w:name w:val="{0EDF2604-36E4-486A-B52B-FAA744C8122B}"/>
    <w:basedOn w:val="CharStyle38"/>
    <w:rPr>
      <w:lang w:val="cs-CZ" w:eastAsia="cs-CZ" w:bidi="cs-CZ"/>
      <w:w w:val="100"/>
      <w:spacing w:val="16"/>
      <w:color w:val="000000"/>
      <w:shd w:val="clear" w:color="auto" w:fill="000000"/>
      <w:position w:val="0"/>
    </w:rPr>
  </w:style>
  <w:style w:type="character" w:customStyle="1" w:styleId="CharStyle42">
    <w:name w:val="Nadpis #1_"/>
    <w:basedOn w:val="DefaultParagraphFont"/>
    <w:link w:val="Style41"/>
    <w:rPr>
      <w:b/>
      <w:bCs/>
      <w:i/>
      <w:iCs/>
      <w:u w:val="none"/>
      <w:strike w:val="0"/>
      <w:smallCaps w:val="0"/>
      <w:sz w:val="54"/>
      <w:szCs w:val="54"/>
      <w:rFonts w:ascii="Arial" w:eastAsia="Arial" w:hAnsi="Arial" w:cs="Arial"/>
      <w:spacing w:val="-20"/>
    </w:rPr>
  </w:style>
  <w:style w:type="character" w:customStyle="1" w:styleId="CharStyle43">
    <w:name w:val="{167508E3-6B80-4182-8958-BF90C83BFBE4}"/>
    <w:basedOn w:val="CharStyle42"/>
    <w:rPr>
      <w:lang w:val="cs-CZ" w:eastAsia="cs-CZ" w:bidi="cs-CZ"/>
      <w:b/>
      <w:bCs/>
      <w:i/>
      <w:iCs/>
      <w:sz w:val="68"/>
      <w:szCs w:val="68"/>
      <w:rFonts w:ascii="Garamond" w:eastAsia="Garamond" w:hAnsi="Garamond" w:cs="Garamond"/>
      <w:w w:val="100"/>
      <w:spacing w:val="71"/>
      <w:color w:val="000000"/>
      <w:shd w:val="clear" w:color="auto" w:fill="000000"/>
      <w:position w:val="0"/>
    </w:rPr>
  </w:style>
  <w:style w:type="character" w:customStyle="1" w:styleId="CharStyle44">
    <w:name w:val="{EF51BB36-B80E-4EE6-A0E4-07685C3FB3DA}"/>
    <w:basedOn w:val="CharStyle4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5">
    <w:name w:val="{DAEAD2E7-DD24-4414-B149-0B84AF9657D5}"/>
    <w:basedOn w:val="CharStyle42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46">
    <w:name w:val="{313E3C48-2C0B-4EFD-A59D-E0B766044432}"/>
    <w:basedOn w:val="CharStyle42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47">
    <w:name w:val="{3A4354CA-668E-4F5F-A128-444F8CE5C582}"/>
    <w:basedOn w:val="CharStyle9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49">
    <w:name w:val="Další_"/>
    <w:basedOn w:val="DefaultParagraphFont"/>
    <w:link w:val="Style48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jc w:val="both"/>
      <w:spacing w:line="254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6">
    <w:name w:val="Nadpis #3"/>
    <w:basedOn w:val="Normal"/>
    <w:link w:val="CharStyle7"/>
    <w:pPr>
      <w:widowControl w:val="0"/>
      <w:shd w:val="clear" w:color="auto" w:fill="FFFFFF"/>
      <w:jc w:val="center"/>
      <w:outlineLvl w:val="2"/>
      <w:spacing w:before="360" w:after="2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jc w:val="center"/>
      <w:spacing w:before="60" w:after="540" w:line="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4">
    <w:name w:val="Nadpis #2"/>
    <w:basedOn w:val="Normal"/>
    <w:link w:val="CharStyle25"/>
    <w:pPr>
      <w:widowControl w:val="0"/>
      <w:shd w:val="clear" w:color="auto" w:fill="FFFFFF"/>
      <w:jc w:val="center"/>
      <w:outlineLvl w:val="1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6">
    <w:name w:val="Základní text (4)"/>
    <w:basedOn w:val="Normal"/>
    <w:link w:val="CharStyle27"/>
    <w:pPr>
      <w:widowControl w:val="0"/>
      <w:shd w:val="clear" w:color="auto" w:fill="FFFFFF"/>
      <w:jc w:val="both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8">
    <w:name w:val="Nadpis #3 (2)"/>
    <w:basedOn w:val="Normal"/>
    <w:link w:val="CharStyle29"/>
    <w:pPr>
      <w:widowControl w:val="0"/>
      <w:shd w:val="clear" w:color="auto" w:fill="FFFFFF"/>
      <w:outlineLvl w:val="2"/>
      <w:spacing w:before="600" w:after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andara" w:eastAsia="Candara" w:hAnsi="Candara" w:cs="Candara"/>
    </w:rPr>
  </w:style>
  <w:style w:type="paragraph" w:customStyle="1" w:styleId="Style30">
    <w:name w:val="Základní text (5)"/>
    <w:basedOn w:val="Normal"/>
    <w:link w:val="CharStyle31"/>
    <w:pPr>
      <w:widowControl w:val="0"/>
      <w:shd w:val="clear" w:color="auto" w:fill="FFFFFF"/>
      <w:spacing w:before="240" w:after="240"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3">
    <w:name w:val="Nadpis #3 (3)"/>
    <w:basedOn w:val="Normal"/>
    <w:link w:val="CharStyle34"/>
    <w:pPr>
      <w:widowControl w:val="0"/>
      <w:shd w:val="clear" w:color="auto" w:fill="FFFFFF"/>
      <w:outlineLvl w:val="2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5">
    <w:name w:val="Záhlaví nebo Zápatí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7">
    <w:name w:val="Základní text (6)"/>
    <w:basedOn w:val="Normal"/>
    <w:link w:val="CharStyle38"/>
    <w:pPr>
      <w:widowControl w:val="0"/>
      <w:shd w:val="clear" w:color="auto" w:fill="FFFFFF"/>
      <w:jc w:val="right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Arial" w:eastAsia="Arial" w:hAnsi="Arial" w:cs="Arial"/>
      <w:spacing w:val="-50"/>
    </w:rPr>
  </w:style>
  <w:style w:type="paragraph" w:customStyle="1" w:styleId="Style41">
    <w:name w:val="Nadpis #1"/>
    <w:basedOn w:val="Normal"/>
    <w:link w:val="CharStyle42"/>
    <w:pPr>
      <w:widowControl w:val="0"/>
      <w:shd w:val="clear" w:color="auto" w:fill="FFFFFF"/>
      <w:outlineLvl w:val="0"/>
      <w:spacing w:line="0" w:lineRule="exact"/>
    </w:pPr>
    <w:rPr>
      <w:b/>
      <w:bCs/>
      <w:i/>
      <w:iCs/>
      <w:u w:val="none"/>
      <w:strike w:val="0"/>
      <w:smallCaps w:val="0"/>
      <w:sz w:val="54"/>
      <w:szCs w:val="54"/>
      <w:rFonts w:ascii="Arial" w:eastAsia="Arial" w:hAnsi="Arial" w:cs="Arial"/>
      <w:spacing w:val="-20"/>
    </w:rPr>
  </w:style>
  <w:style w:type="paragraph" w:customStyle="1" w:styleId="Style48">
    <w:name w:val="Další"/>
    <w:basedOn w:val="Normal"/>
    <w:link w:val="CharStyle49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/Relationships>
</file>