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89A9" w14:textId="55EF0AC6" w:rsidR="007070BB" w:rsidRDefault="00C960B5">
      <w:pPr>
        <w:pBdr>
          <w:top w:val="nil"/>
          <w:left w:val="nil"/>
          <w:bottom w:val="nil"/>
          <w:right w:val="nil"/>
          <w:between w:val="nil"/>
        </w:pBdr>
        <w:spacing w:line="240" w:lineRule="auto"/>
        <w:ind w:left="1" w:hanging="3"/>
        <w:rPr>
          <w:rFonts w:eastAsia="Garamond" w:cs="Garamond"/>
          <w:b/>
          <w:smallCaps/>
          <w:sz w:val="28"/>
          <w:szCs w:val="28"/>
        </w:rPr>
      </w:pPr>
      <w:r>
        <w:rPr>
          <w:rFonts w:eastAsia="Garamond" w:cs="Garamond"/>
          <w:b/>
          <w:smallCaps/>
          <w:sz w:val="28"/>
          <w:szCs w:val="28"/>
        </w:rPr>
        <w:t xml:space="preserve">LICENČNÍ SMLOUVA K SOFTWARE </w:t>
      </w:r>
      <w:r w:rsidR="00C469B3">
        <w:rPr>
          <w:rFonts w:eastAsia="Garamond" w:cs="Garamond"/>
          <w:b/>
          <w:sz w:val="28"/>
          <w:szCs w:val="28"/>
        </w:rPr>
        <w:t>Č</w:t>
      </w:r>
      <w:r>
        <w:rPr>
          <w:rFonts w:eastAsia="Garamond" w:cs="Garamond"/>
          <w:b/>
          <w:smallCaps/>
          <w:sz w:val="28"/>
          <w:szCs w:val="28"/>
        </w:rPr>
        <w:t xml:space="preserve">. </w:t>
      </w:r>
      <w:r>
        <w:rPr>
          <w:rFonts w:eastAsia="Garamond" w:cs="Garamond"/>
          <w:b/>
          <w:sz w:val="28"/>
          <w:szCs w:val="28"/>
        </w:rPr>
        <w:t>2020121401</w:t>
      </w:r>
    </w:p>
    <w:p w14:paraId="539E89AA"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AB"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Níže uvedeného dne, měsíce a roku uzavřely</w:t>
      </w:r>
    </w:p>
    <w:p w14:paraId="539E89AC"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AD"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obchodní společnost</w:t>
      </w:r>
    </w:p>
    <w:p w14:paraId="539E89AE"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Good Sailors, s.r.o.</w:t>
      </w:r>
    </w:p>
    <w:p w14:paraId="539E89AF"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se sídlem Provaznická 737/12, Děčín I-Děčín, 405 02 Děčín</w:t>
      </w:r>
    </w:p>
    <w:p w14:paraId="539E89B0"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IČ: 254 57 781</w:t>
      </w:r>
    </w:p>
    <w:p w14:paraId="539E89B1"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zapsaná v obchodním rejstříku vedeném Krajským soudem v Ústí nad Labem oddíl C, vložka 19121</w:t>
      </w:r>
    </w:p>
    <w:p w14:paraId="539E89B2" w14:textId="72AC1561"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bankovní spojení </w:t>
      </w:r>
      <w:bookmarkStart w:id="0" w:name="bookmark=id.gjdgxs" w:colFirst="0" w:colLast="0"/>
      <w:bookmarkEnd w:id="0"/>
      <w:r w:rsidR="00585483">
        <w:rPr>
          <w:rFonts w:eastAsia="Garamond" w:cs="Garamond"/>
          <w:szCs w:val="24"/>
        </w:rPr>
        <w:t>XXX</w:t>
      </w:r>
    </w:p>
    <w:p w14:paraId="539E89B3" w14:textId="392DEA9A"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zast</w:t>
      </w:r>
      <w:r w:rsidR="005B241E">
        <w:rPr>
          <w:rFonts w:eastAsia="Garamond" w:cs="Garamond"/>
          <w:szCs w:val="24"/>
        </w:rPr>
        <w:t xml:space="preserve">oupená </w:t>
      </w:r>
      <w:r w:rsidR="00585483">
        <w:rPr>
          <w:rFonts w:eastAsia="Garamond" w:cs="Garamond"/>
          <w:szCs w:val="24"/>
        </w:rPr>
        <w:t>XXX</w:t>
      </w:r>
      <w:r>
        <w:rPr>
          <w:rFonts w:eastAsia="Garamond" w:cs="Garamond"/>
          <w:szCs w:val="24"/>
        </w:rPr>
        <w:t>, jednatel</w:t>
      </w:r>
      <w:r w:rsidR="002373B9">
        <w:rPr>
          <w:rFonts w:eastAsia="Garamond" w:cs="Garamond"/>
          <w:szCs w:val="24"/>
        </w:rPr>
        <w:t>k</w:t>
      </w:r>
      <w:r w:rsidR="005B241E">
        <w:rPr>
          <w:rFonts w:eastAsia="Garamond" w:cs="Garamond"/>
          <w:szCs w:val="24"/>
        </w:rPr>
        <w:t>ou</w:t>
      </w:r>
    </w:p>
    <w:p w14:paraId="539E89B4"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B5"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poskytovatel</w:t>
      </w:r>
      <w:r>
        <w:rPr>
          <w:rFonts w:eastAsia="Garamond" w:cs="Garamond"/>
          <w:szCs w:val="24"/>
        </w:rPr>
        <w:t>“ na straně jedné)</w:t>
      </w:r>
    </w:p>
    <w:p w14:paraId="539E89B6"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B7"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b/>
          <w:szCs w:val="24"/>
        </w:rPr>
        <w:t>a</w:t>
      </w:r>
    </w:p>
    <w:p w14:paraId="539E89B8"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09CC45F9" w14:textId="77777777" w:rsidR="00136FE1" w:rsidRDefault="00136FE1" w:rsidP="00136FE1">
      <w:pPr>
        <w:ind w:left="0" w:hanging="2"/>
      </w:pPr>
      <w:r w:rsidRPr="004B0085">
        <w:t>příspěvková organizace Ministerstva pro místní rozvoj České republiky</w:t>
      </w:r>
    </w:p>
    <w:p w14:paraId="539E89BA" w14:textId="01075DE9" w:rsidR="007070BB" w:rsidRDefault="00C960B5">
      <w:pPr>
        <w:ind w:left="0" w:hanging="2"/>
        <w:rPr>
          <w:rFonts w:eastAsia="Garamond" w:cs="Garamond"/>
          <w:szCs w:val="24"/>
        </w:rPr>
      </w:pPr>
      <w:r>
        <w:rPr>
          <w:rFonts w:eastAsia="Garamond" w:cs="Garamond"/>
          <w:sz w:val="22"/>
          <w:szCs w:val="22"/>
        </w:rPr>
        <w:t xml:space="preserve">Česká centrála cestovního ruchu </w:t>
      </w:r>
      <w:r w:rsidR="004125CF">
        <w:rPr>
          <w:rFonts w:eastAsia="Garamond" w:cs="Garamond"/>
          <w:sz w:val="22"/>
          <w:szCs w:val="22"/>
        </w:rPr>
        <w:t>–</w:t>
      </w:r>
      <w:r>
        <w:rPr>
          <w:rFonts w:eastAsia="Garamond" w:cs="Garamond"/>
          <w:sz w:val="22"/>
          <w:szCs w:val="22"/>
        </w:rPr>
        <w:t xml:space="preserve"> CzechTourism</w:t>
      </w:r>
    </w:p>
    <w:p w14:paraId="539E89BB" w14:textId="4B732EE0"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se sídlem </w:t>
      </w:r>
      <w:r>
        <w:rPr>
          <w:rFonts w:eastAsia="Garamond" w:cs="Garamond"/>
          <w:sz w:val="22"/>
          <w:szCs w:val="22"/>
        </w:rPr>
        <w:t xml:space="preserve">Vinohradská 1896/46, Praha 2 </w:t>
      </w:r>
      <w:r w:rsidR="00F208F8">
        <w:rPr>
          <w:rFonts w:eastAsia="Garamond" w:cs="Garamond"/>
          <w:sz w:val="22"/>
          <w:szCs w:val="22"/>
        </w:rPr>
        <w:t>–</w:t>
      </w:r>
      <w:r>
        <w:rPr>
          <w:rFonts w:eastAsia="Garamond" w:cs="Garamond"/>
          <w:sz w:val="22"/>
          <w:szCs w:val="22"/>
        </w:rPr>
        <w:t xml:space="preserve"> Vinohrady</w:t>
      </w:r>
      <w:r w:rsidR="00F208F8">
        <w:rPr>
          <w:rFonts w:eastAsia="Garamond" w:cs="Garamond"/>
          <w:sz w:val="22"/>
          <w:szCs w:val="22"/>
        </w:rPr>
        <w:t>,</w:t>
      </w:r>
      <w:r>
        <w:rPr>
          <w:rFonts w:eastAsia="Garamond" w:cs="Garamond"/>
          <w:sz w:val="22"/>
          <w:szCs w:val="22"/>
        </w:rPr>
        <w:t xml:space="preserve"> 120 00 Praha 2</w:t>
      </w:r>
    </w:p>
    <w:p w14:paraId="539E89BC"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IČ: </w:t>
      </w:r>
      <w:r>
        <w:rPr>
          <w:rFonts w:eastAsia="Garamond" w:cs="Garamond"/>
          <w:sz w:val="22"/>
          <w:szCs w:val="22"/>
        </w:rPr>
        <w:t>49277600</w:t>
      </w:r>
    </w:p>
    <w:p w14:paraId="539E89BD" w14:textId="03586BD7" w:rsidR="007070BB" w:rsidRDefault="005B241E">
      <w:pPr>
        <w:pBdr>
          <w:top w:val="nil"/>
          <w:left w:val="nil"/>
          <w:bottom w:val="nil"/>
          <w:right w:val="nil"/>
          <w:between w:val="nil"/>
        </w:pBdr>
        <w:spacing w:line="240" w:lineRule="auto"/>
        <w:ind w:left="0" w:hanging="2"/>
        <w:rPr>
          <w:rFonts w:eastAsia="Garamond" w:cs="Garamond"/>
          <w:szCs w:val="24"/>
        </w:rPr>
      </w:pPr>
      <w:r>
        <w:rPr>
          <w:rFonts w:eastAsia="Garamond" w:cs="Garamond"/>
          <w:szCs w:val="24"/>
        </w:rPr>
        <w:t>zastoupená</w:t>
      </w:r>
      <w:r w:rsidR="00C960B5">
        <w:rPr>
          <w:rFonts w:eastAsia="Garamond" w:cs="Garamond"/>
          <w:szCs w:val="24"/>
        </w:rPr>
        <w:t xml:space="preserve"> </w:t>
      </w:r>
      <w:r w:rsidR="00585483">
        <w:rPr>
          <w:rFonts w:eastAsia="Garamond" w:cs="Garamond"/>
          <w:szCs w:val="24"/>
        </w:rPr>
        <w:t>XXX</w:t>
      </w:r>
      <w:r>
        <w:rPr>
          <w:rFonts w:eastAsia="Garamond" w:cs="Garamond"/>
          <w:szCs w:val="24"/>
        </w:rPr>
        <w:t>, ředitelkou</w:t>
      </w:r>
      <w:r w:rsidR="002373B9">
        <w:rPr>
          <w:rFonts w:eastAsia="Garamond" w:cs="Garamond"/>
          <w:szCs w:val="24"/>
        </w:rPr>
        <w:t xml:space="preserve"> odboru Finance a facility management</w:t>
      </w:r>
    </w:p>
    <w:p w14:paraId="539E89BE"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BF"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(dále jen „</w:t>
      </w:r>
      <w:r>
        <w:rPr>
          <w:rFonts w:eastAsia="Garamond" w:cs="Garamond"/>
          <w:b/>
          <w:szCs w:val="24"/>
        </w:rPr>
        <w:t>nabyvatel</w:t>
      </w:r>
      <w:r>
        <w:rPr>
          <w:rFonts w:eastAsia="Garamond" w:cs="Garamond"/>
          <w:szCs w:val="24"/>
        </w:rPr>
        <w:t>“ na straně druhé)</w:t>
      </w:r>
    </w:p>
    <w:p w14:paraId="539E89C0"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C1"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tuto</w:t>
      </w:r>
    </w:p>
    <w:p w14:paraId="539E89C2"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C3" w14:textId="77777777" w:rsidR="007070BB" w:rsidRDefault="00C960B5">
      <w:pPr>
        <w:pBdr>
          <w:top w:val="nil"/>
          <w:left w:val="nil"/>
          <w:bottom w:val="single" w:sz="12" w:space="1" w:color="000000"/>
          <w:right w:val="nil"/>
          <w:between w:val="nil"/>
        </w:pBdr>
        <w:spacing w:line="240" w:lineRule="auto"/>
        <w:ind w:left="0" w:hanging="2"/>
        <w:rPr>
          <w:rFonts w:eastAsia="Garamond" w:cs="Garamond"/>
          <w:b/>
          <w:smallCaps/>
          <w:szCs w:val="24"/>
        </w:rPr>
      </w:pPr>
      <w:r>
        <w:rPr>
          <w:rFonts w:eastAsia="Garamond" w:cs="Garamond"/>
          <w:b/>
          <w:smallCaps/>
          <w:szCs w:val="24"/>
        </w:rPr>
        <w:t>LICENČNÍ SMLOUVU K SOFTWARE</w:t>
      </w:r>
    </w:p>
    <w:p w14:paraId="539E89C4" w14:textId="77777777" w:rsidR="007070BB" w:rsidRDefault="00C960B5">
      <w:pPr>
        <w:pBdr>
          <w:top w:val="nil"/>
          <w:left w:val="nil"/>
          <w:bottom w:val="single" w:sz="12" w:space="1" w:color="000000"/>
          <w:right w:val="nil"/>
          <w:between w:val="nil"/>
        </w:pBdr>
        <w:spacing w:line="240" w:lineRule="auto"/>
        <w:ind w:left="0" w:hanging="2"/>
        <w:rPr>
          <w:rFonts w:eastAsia="Garamond" w:cs="Garamond"/>
          <w:szCs w:val="24"/>
        </w:rPr>
      </w:pPr>
      <w:r>
        <w:rPr>
          <w:rFonts w:eastAsia="Garamond" w:cs="Garamond"/>
          <w:szCs w:val="24"/>
        </w:rPr>
        <w:t>dle ustanovení § 2358 zákona č. 89/2012 Sb., občanský zákoník, ve znění pozdějších předpisů (dále jen „</w:t>
      </w:r>
      <w:r>
        <w:rPr>
          <w:rFonts w:eastAsia="Garamond" w:cs="Garamond"/>
          <w:b/>
          <w:szCs w:val="24"/>
        </w:rPr>
        <w:t>občanský zákoník</w:t>
      </w:r>
      <w:r>
        <w:rPr>
          <w:rFonts w:eastAsia="Garamond" w:cs="Garamond"/>
          <w:szCs w:val="24"/>
        </w:rPr>
        <w:t>“)</w:t>
      </w:r>
    </w:p>
    <w:p w14:paraId="539E89C5"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ÚVODNÍ USTANOVENÍ</w:t>
      </w:r>
    </w:p>
    <w:p w14:paraId="539E89C6" w14:textId="53CC0502"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je oprávněn poskytovat licence k počítačovému programu nazvanému Dobrá spisovka a určenému k</w:t>
      </w:r>
      <w:r w:rsidR="00C676BF">
        <w:rPr>
          <w:rFonts w:eastAsia="Garamond" w:cs="Garamond"/>
          <w:szCs w:val="24"/>
        </w:rPr>
        <w:t>e</w:t>
      </w:r>
      <w:r>
        <w:rPr>
          <w:rFonts w:eastAsia="Garamond" w:cs="Garamond"/>
          <w:szCs w:val="24"/>
        </w:rPr>
        <w:t xml:space="preserve"> správě dokumentů. Počítačový program podle předchozí věty je blíže specifikován v příloze č. 1 této smlouvy (dále jen jako „</w:t>
      </w:r>
      <w:r>
        <w:rPr>
          <w:rFonts w:eastAsia="Garamond" w:cs="Garamond"/>
          <w:b/>
          <w:szCs w:val="24"/>
        </w:rPr>
        <w:t>software</w:t>
      </w:r>
      <w:r>
        <w:rPr>
          <w:rFonts w:eastAsia="Garamond" w:cs="Garamond"/>
          <w:szCs w:val="24"/>
        </w:rPr>
        <w:t>“).</w:t>
      </w:r>
    </w:p>
    <w:p w14:paraId="539E89C7"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upravuje práva a povinnosti smluvních stran ohledně poskytnutí nevýhradní licence k software nabyvateli a související právní vztahy. V souvislosti s touto smlouvou uzavírají smluvní strany také smlouvu o využívání aplikace, na základě které bude software nabyvateli zpřístupňován formou SaaS (Software as a Service) (dále jen „</w:t>
      </w:r>
      <w:r>
        <w:rPr>
          <w:rFonts w:eastAsia="Garamond" w:cs="Garamond"/>
          <w:b/>
          <w:szCs w:val="24"/>
        </w:rPr>
        <w:t>servisní smlouva</w:t>
      </w:r>
      <w:r>
        <w:rPr>
          <w:rFonts w:eastAsia="Garamond" w:cs="Garamond"/>
          <w:szCs w:val="24"/>
        </w:rPr>
        <w:t>“).</w:t>
      </w:r>
    </w:p>
    <w:p w14:paraId="539E89C8"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bookmarkStart w:id="1" w:name="_heading=h.30j0zll" w:colFirst="0" w:colLast="0"/>
      <w:bookmarkEnd w:id="1"/>
      <w:r>
        <w:rPr>
          <w:rFonts w:eastAsia="Garamond" w:cs="Garamond"/>
          <w:b/>
          <w:smallCaps/>
          <w:szCs w:val="24"/>
        </w:rPr>
        <w:lastRenderedPageBreak/>
        <w:t>PŘEDMĚT SMLOUVY</w:t>
      </w:r>
    </w:p>
    <w:p w14:paraId="539E89C9"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touto smlouvou poskytuje nabyvateli oprávnění k výkonu práva software užít (licence), a to způsoby a v rozsahu stanoveném v čl. 3 této smlouvy.</w:t>
      </w:r>
    </w:p>
    <w:p w14:paraId="539E89CA"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se touto smlouvou zavazuje za poskytnutí licence dle čl. 2.1 této smlouvy zaplatit poskytovateli licenční odměnu stanovenou v souladu s čl. 5 této smlouvy.</w:t>
      </w:r>
    </w:p>
    <w:p w14:paraId="539E89CB"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2" w:name="_heading=h.1fob9te" w:colFirst="0" w:colLast="0"/>
      <w:bookmarkEnd w:id="2"/>
      <w:r>
        <w:rPr>
          <w:rFonts w:eastAsia="Garamond" w:cs="Garamond"/>
          <w:szCs w:val="24"/>
        </w:rPr>
        <w:t>Software je poskytovatelem nabyvateli poskytován výhradně pro užití na serveru poskytovatele.</w:t>
      </w:r>
    </w:p>
    <w:p w14:paraId="539E89CC"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LICENCE K SOFTWARE</w:t>
      </w:r>
    </w:p>
    <w:p w14:paraId="539E89CD"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poskytuje nabyvateli licenci k software jako nevýhradní.</w:t>
      </w:r>
    </w:p>
    <w:p w14:paraId="539E89CE"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zhotovením jedné (1) rozmnoženiny software, jejíž funkcionalita bude koncovým uživatelům zpřístupňována prostřednictvím dálkového přístupu. Oprávnění podle předchozí věty je nabyvatel oprávněn realizovat výhradně prostřednictvím poskytovatele, tedy tím způsobem, že rozmnoženina software bude zhotovena poskytovatelem.</w:t>
      </w:r>
    </w:p>
    <w:p w14:paraId="539E89CF"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nabývá licenci k software okamžikem uhrazení celé licenční odměny poskytovateli. Licence k software je poskytnuta na dobu trvání servisní smlouvy.</w:t>
      </w:r>
    </w:p>
    <w:p w14:paraId="539E89D0"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je oprávněn software užít výhradně pro svou vlastní potřebu. Užitím pro vlastní potřebu podle této smlouvy se rozumí využití software členy statutárního orgánu nabyvatele a zaměstnanci nabyvatele jako koncovými uživateli software. Nabyvatel je oprávněn software užít pouze k účelu vyplývajícímu z licenční smlouvy a v souladu s určením software.</w:t>
      </w:r>
    </w:p>
    <w:p w14:paraId="539E89D1"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povinen licenci k software využít.</w:t>
      </w:r>
    </w:p>
    <w:p w14:paraId="539E89D2"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Rozsah užití software může být omezen technickými prostředky ochrany práv poskytovatele.</w:t>
      </w:r>
    </w:p>
    <w:p w14:paraId="539E89D3"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nemůže oprávnění tvořící součást licence k software,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539E89D4"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software měnit či upravovat, není-li obecně závaznými právními předpisy stanoveno jinak. V případě provedení oprav, úprav, aktualizací či jiných změn software ze strany poskytovatele a jejich předání nabyvateli je licence poskytnuta i k takto změněnému software.</w:t>
      </w:r>
    </w:p>
    <w:p w14:paraId="539E89D5"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UŽITÍ SOFTWARE NABYVATELEM</w:t>
      </w:r>
    </w:p>
    <w:p w14:paraId="539E89D6"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bere na vědomí, že software je chráněn autorským právem. Nabyvatel se zavazuje, že nebude vykonávat žádnou činnost, která by mohla jemu nebo třetím osobám umožnit neoprávněné užití software.</w:t>
      </w:r>
    </w:p>
    <w:p w14:paraId="539E89D7"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Není-li obecně závaznými právními předpisy stanoveno jinak, není nabyvatel oprávněn provádět dekompilaci software.</w:t>
      </w:r>
    </w:p>
    <w:p w14:paraId="539E89D8"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Nabyvatel není oprávněn obcházet, odstraňovat či omezovat mechanismy, jež slouží k ochraně práv poskytovatele a případné informace ohledně autorských práv k software.</w:t>
      </w:r>
    </w:p>
    <w:p w14:paraId="539E89D9"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bookmarkStart w:id="3" w:name="_heading=h.3znysh7" w:colFirst="0" w:colLast="0"/>
      <w:bookmarkEnd w:id="3"/>
      <w:r>
        <w:rPr>
          <w:rFonts w:eastAsia="Garamond" w:cs="Garamond"/>
          <w:szCs w:val="24"/>
        </w:rPr>
        <w:t>Nabyvatel bere na vědomí, že k řádnému užití software může být nezbytná součinnost s dalšími počítačovými programy (kupříkladu s webovým prohlížečem). Nabyvatel bere na vědomí, že užití těchto dalších počítačových programů se řídí zvláštními smluvními ujednáními s nositeli práv k těmto počítačovým programům.</w:t>
      </w:r>
    </w:p>
    <w:p w14:paraId="539E89DA"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LICENČNÍ ODMĚNA</w:t>
      </w:r>
    </w:p>
    <w:p w14:paraId="539E89DB" w14:textId="0C9B0E61"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Poskytovatel poskytuje licenci bezúplatně.</w:t>
      </w:r>
    </w:p>
    <w:p w14:paraId="539E89DC"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DALŠÍ PRÁVA A POVINNOSTI SMLUVNÍCH STRAN</w:t>
      </w:r>
    </w:p>
    <w:p w14:paraId="539E89DD"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Software bude poskytovatelem zprovozněn v souladu se servisní smlouvou.</w:t>
      </w:r>
    </w:p>
    <w:p w14:paraId="539E89DE"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Práva a povinnosti smluvních stran ohledně práv nabyvatele z vadného plnění a ohledně odpovědnosti poskytovatele za vady software, včetně práva a povinností týkajících se náhrady újmy způsobené poskytovatelem, upravuje v plném rozsahu servisní smlouva.</w:t>
      </w:r>
    </w:p>
    <w:p w14:paraId="539E89DF"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TRVÁNÍ SMLOUVY</w:t>
      </w:r>
    </w:p>
    <w:p w14:paraId="539E89E0"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nabývá účinnosti okamžikem jejího uzavření.</w:t>
      </w:r>
    </w:p>
    <w:p w14:paraId="539E89E1"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zaniká v případě, že dojde k zániku servisní smlouvy.</w:t>
      </w:r>
    </w:p>
    <w:p w14:paraId="539E89E2" w14:textId="77777777" w:rsidR="007070BB" w:rsidRDefault="00C960B5">
      <w:pPr>
        <w:keepNext/>
        <w:keepLines/>
        <w:numPr>
          <w:ilvl w:val="0"/>
          <w:numId w:val="1"/>
        </w:numPr>
        <w:pBdr>
          <w:top w:val="nil"/>
          <w:left w:val="nil"/>
          <w:bottom w:val="nil"/>
          <w:right w:val="nil"/>
          <w:between w:val="nil"/>
        </w:pBdr>
        <w:spacing w:before="480" w:after="240" w:line="240" w:lineRule="auto"/>
        <w:ind w:left="0" w:hanging="2"/>
        <w:rPr>
          <w:rFonts w:eastAsia="Garamond" w:cs="Garamond"/>
          <w:b/>
          <w:smallCaps/>
          <w:szCs w:val="24"/>
        </w:rPr>
      </w:pPr>
      <w:r>
        <w:rPr>
          <w:rFonts w:eastAsia="Garamond" w:cs="Garamond"/>
          <w:b/>
          <w:smallCaps/>
          <w:szCs w:val="24"/>
        </w:rPr>
        <w:t>ZÁVĚREČNÁ USTANOVENÍ</w:t>
      </w:r>
    </w:p>
    <w:p w14:paraId="539E89E3"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jakož i práva a povinnosti vzniklé na základě této smlouvy nebo v souvislosti s ní, se řídí českým právem, zejména občanským zákoníkem. Pro účely vztahů mezi poskytovatelem a nabyvatelem se vylučuje:</w:t>
      </w:r>
    </w:p>
    <w:p w14:paraId="539E89E4" w14:textId="77777777" w:rsidR="007070BB" w:rsidRDefault="00C960B5">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 xml:space="preserve"> použití zachovávaných obchodních zvyklostí ve smyslu ustanovení § 558 odst. 2 občanského zákoníku;</w:t>
      </w:r>
    </w:p>
    <w:p w14:paraId="539E89E5" w14:textId="77777777" w:rsidR="007070BB" w:rsidRDefault="00C960B5">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použití ustanovení § 557, § 1748 a § 1763 občanského zákoníku.</w:t>
      </w:r>
    </w:p>
    <w:p w14:paraId="539E89E6"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539E89E7"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lastRenderedPageBreak/>
        <w:t>Nedílnou součástí této smlouvy jsou její přílohy:</w:t>
      </w:r>
    </w:p>
    <w:p w14:paraId="539E89E8" w14:textId="77777777" w:rsidR="007070BB" w:rsidRDefault="00C960B5">
      <w:pPr>
        <w:numPr>
          <w:ilvl w:val="2"/>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Příloha č. 1 - Specifikace software.</w:t>
      </w:r>
    </w:p>
    <w:p w14:paraId="539E89E9"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Tuto smlouvu je možné měnit pouze písemnou dohodou smluvních stran s tím, že změna této smlouvy méně přísnou formou se vylučuje.</w:t>
      </w:r>
    </w:p>
    <w:p w14:paraId="539E89EA"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Tato smlouva je vyhotovena ve dvou (2) exemplářích, z nichž každá strana obdrží po jednom (1) vyhotovení.</w:t>
      </w:r>
    </w:p>
    <w:p w14:paraId="539E89EB" w14:textId="77777777" w:rsidR="007070BB" w:rsidRDefault="00C960B5">
      <w:pPr>
        <w:numPr>
          <w:ilvl w:val="1"/>
          <w:numId w:val="1"/>
        </w:numPr>
        <w:pBdr>
          <w:top w:val="nil"/>
          <w:left w:val="nil"/>
          <w:bottom w:val="nil"/>
          <w:right w:val="nil"/>
          <w:between w:val="nil"/>
        </w:pBdr>
        <w:spacing w:before="240" w:after="240" w:line="240" w:lineRule="auto"/>
        <w:ind w:left="0" w:hanging="2"/>
        <w:rPr>
          <w:rFonts w:eastAsia="Garamond" w:cs="Garamond"/>
          <w:szCs w:val="24"/>
        </w:rPr>
      </w:pPr>
      <w:r>
        <w:rPr>
          <w:rFonts w:eastAsia="Garamond" w:cs="Garamond"/>
          <w:szCs w:val="24"/>
        </w:rPr>
        <w:t>Účastníci této smlouvy si její obsah přečetli, prohlašují, že s ním souhlasí a na důkaz toho připojují své podpisy.</w:t>
      </w:r>
    </w:p>
    <w:p w14:paraId="539E89EC" w14:textId="77777777"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Podpisy:</w:t>
      </w:r>
    </w:p>
    <w:p w14:paraId="539E89ED"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EE"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EF" w14:textId="0DAE8112"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V Děčíně dne </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 xml:space="preserve">V Praze dne </w:t>
      </w:r>
    </w:p>
    <w:p w14:paraId="539E89F0" w14:textId="77777777" w:rsidR="007070BB" w:rsidRDefault="007070BB">
      <w:pPr>
        <w:pBdr>
          <w:top w:val="nil"/>
          <w:left w:val="nil"/>
          <w:bottom w:val="nil"/>
          <w:right w:val="nil"/>
          <w:between w:val="nil"/>
        </w:pBdr>
        <w:spacing w:line="240" w:lineRule="auto"/>
        <w:ind w:left="0" w:hanging="2"/>
        <w:rPr>
          <w:rFonts w:eastAsia="Garamond" w:cs="Garamond"/>
          <w:szCs w:val="24"/>
        </w:rPr>
      </w:pPr>
    </w:p>
    <w:p w14:paraId="539E89F1" w14:textId="37E76B6D" w:rsidR="007070BB" w:rsidRDefault="007070BB">
      <w:pPr>
        <w:pBdr>
          <w:top w:val="nil"/>
          <w:left w:val="nil"/>
          <w:bottom w:val="nil"/>
          <w:right w:val="nil"/>
          <w:between w:val="nil"/>
        </w:pBdr>
        <w:spacing w:line="240" w:lineRule="auto"/>
        <w:ind w:left="0" w:hanging="2"/>
        <w:rPr>
          <w:rFonts w:eastAsia="Garamond" w:cs="Garamond"/>
          <w:szCs w:val="24"/>
        </w:rPr>
      </w:pPr>
    </w:p>
    <w:p w14:paraId="44111315" w14:textId="5E15E857" w:rsidR="00C960B5" w:rsidRDefault="00C960B5">
      <w:pPr>
        <w:pBdr>
          <w:top w:val="nil"/>
          <w:left w:val="nil"/>
          <w:bottom w:val="nil"/>
          <w:right w:val="nil"/>
          <w:between w:val="nil"/>
        </w:pBdr>
        <w:spacing w:line="240" w:lineRule="auto"/>
        <w:ind w:left="0" w:hanging="2"/>
        <w:rPr>
          <w:rFonts w:eastAsia="Garamond" w:cs="Garamond"/>
          <w:szCs w:val="24"/>
        </w:rPr>
      </w:pPr>
    </w:p>
    <w:p w14:paraId="097F3809" w14:textId="77777777" w:rsidR="00C960B5" w:rsidRDefault="00C960B5">
      <w:pPr>
        <w:pBdr>
          <w:top w:val="nil"/>
          <w:left w:val="nil"/>
          <w:bottom w:val="nil"/>
          <w:right w:val="nil"/>
          <w:between w:val="nil"/>
        </w:pBdr>
        <w:spacing w:line="240" w:lineRule="auto"/>
        <w:ind w:left="0" w:hanging="2"/>
        <w:rPr>
          <w:rFonts w:eastAsia="Garamond" w:cs="Garamond"/>
          <w:szCs w:val="24"/>
        </w:rPr>
      </w:pPr>
    </w:p>
    <w:p w14:paraId="539E89F2" w14:textId="7A9A3E84"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_____________________</w:t>
      </w:r>
      <w:r>
        <w:rPr>
          <w:rFonts w:eastAsia="Garamond" w:cs="Garamond"/>
          <w:szCs w:val="24"/>
        </w:rPr>
        <w:tab/>
      </w:r>
      <w:r>
        <w:rPr>
          <w:rFonts w:eastAsia="Garamond" w:cs="Garamond"/>
          <w:szCs w:val="24"/>
        </w:rPr>
        <w:tab/>
      </w:r>
      <w:r>
        <w:rPr>
          <w:rFonts w:eastAsia="Garamond" w:cs="Garamond"/>
          <w:szCs w:val="24"/>
        </w:rPr>
        <w:tab/>
        <w:t>_____________________</w:t>
      </w:r>
    </w:p>
    <w:p w14:paraId="539E89F3" w14:textId="0A5D49E3"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poskytovatel</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nabyvatel</w:t>
      </w:r>
    </w:p>
    <w:p w14:paraId="539E89F4" w14:textId="37E84DBA" w:rsidR="007070BB" w:rsidRDefault="00C960B5">
      <w:pPr>
        <w:pBdr>
          <w:top w:val="nil"/>
          <w:left w:val="nil"/>
          <w:bottom w:val="nil"/>
          <w:right w:val="nil"/>
          <w:between w:val="nil"/>
        </w:pBdr>
        <w:spacing w:line="240" w:lineRule="auto"/>
        <w:ind w:left="0" w:hanging="2"/>
        <w:rPr>
          <w:rFonts w:eastAsia="Garamond" w:cs="Garamond"/>
          <w:szCs w:val="24"/>
        </w:rPr>
      </w:pPr>
      <w:r>
        <w:rPr>
          <w:rFonts w:eastAsia="Garamond" w:cs="Garamond"/>
          <w:szCs w:val="24"/>
        </w:rPr>
        <w:t>Good Sailors, s.r.o.</w:t>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Česká centrála cestovního ruchu</w:t>
      </w:r>
      <w:r w:rsidR="00DE404F">
        <w:rPr>
          <w:rFonts w:eastAsia="Garamond" w:cs="Garamond"/>
          <w:szCs w:val="24"/>
        </w:rPr>
        <w:t xml:space="preserve"> – </w:t>
      </w:r>
      <w:r>
        <w:rPr>
          <w:rFonts w:eastAsia="Garamond" w:cs="Garamond"/>
          <w:szCs w:val="24"/>
        </w:rPr>
        <w:t>CzechTourism</w:t>
      </w:r>
    </w:p>
    <w:p w14:paraId="539E89F5" w14:textId="33C90633" w:rsidR="007070BB" w:rsidRDefault="002373B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 xml:space="preserve">zastoupená </w:t>
      </w:r>
      <w:r w:rsidR="00585483">
        <w:rPr>
          <w:rFonts w:eastAsia="Garamond" w:cs="Garamond"/>
          <w:szCs w:val="24"/>
        </w:rPr>
        <w:t>XXX</w:t>
      </w:r>
      <w:bookmarkStart w:id="4" w:name="_GoBack"/>
      <w:bookmarkEnd w:id="4"/>
      <w:r w:rsidR="00C960B5">
        <w:rPr>
          <w:rFonts w:eastAsia="Garamond" w:cs="Garamond"/>
          <w:szCs w:val="24"/>
        </w:rPr>
        <w:t>, jednatelk</w:t>
      </w:r>
      <w:r>
        <w:rPr>
          <w:rFonts w:eastAsia="Garamond" w:cs="Garamond"/>
          <w:szCs w:val="24"/>
        </w:rPr>
        <w:t>ou</w:t>
      </w:r>
      <w:r w:rsidR="00C960B5">
        <w:rPr>
          <w:rFonts w:eastAsia="Garamond" w:cs="Garamond"/>
          <w:szCs w:val="24"/>
        </w:rPr>
        <w:tab/>
      </w:r>
      <w:r w:rsidR="007A111F">
        <w:rPr>
          <w:rFonts w:eastAsia="Garamond" w:cs="Garamond"/>
          <w:szCs w:val="24"/>
        </w:rPr>
        <w:t>zastoupen</w:t>
      </w:r>
      <w:r>
        <w:rPr>
          <w:rFonts w:eastAsia="Garamond" w:cs="Garamond"/>
          <w:szCs w:val="24"/>
        </w:rPr>
        <w:t>á</w:t>
      </w:r>
      <w:r w:rsidR="007A111F">
        <w:rPr>
          <w:rFonts w:eastAsia="Garamond" w:cs="Garamond"/>
          <w:szCs w:val="24"/>
        </w:rPr>
        <w:t xml:space="preserve"> </w:t>
      </w:r>
      <w:r w:rsidR="00585483">
        <w:rPr>
          <w:rFonts w:eastAsia="Garamond" w:cs="Garamond"/>
          <w:szCs w:val="24"/>
        </w:rPr>
        <w:t>XXX</w:t>
      </w:r>
      <w:r>
        <w:rPr>
          <w:rFonts w:eastAsia="Garamond" w:cs="Garamond"/>
          <w:szCs w:val="24"/>
        </w:rPr>
        <w:t>,</w:t>
      </w:r>
    </w:p>
    <w:p w14:paraId="3EB02ED6" w14:textId="75F526CF" w:rsidR="002373B9" w:rsidRDefault="002373B9">
      <w:pPr>
        <w:pBdr>
          <w:top w:val="nil"/>
          <w:left w:val="nil"/>
          <w:bottom w:val="nil"/>
          <w:right w:val="nil"/>
          <w:between w:val="nil"/>
        </w:pBdr>
        <w:spacing w:line="240" w:lineRule="auto"/>
        <w:ind w:left="0" w:hanging="2"/>
        <w:rPr>
          <w:rFonts w:eastAsia="Garamond" w:cs="Garamond"/>
          <w:szCs w:val="24"/>
        </w:rPr>
      </w:pP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r>
      <w:r>
        <w:rPr>
          <w:rFonts w:eastAsia="Garamond" w:cs="Garamond"/>
          <w:szCs w:val="24"/>
        </w:rPr>
        <w:tab/>
        <w:t>ředitelkou odboru Finance a facility management</w:t>
      </w:r>
    </w:p>
    <w:sectPr w:rsidR="002373B9">
      <w:headerReference w:type="default" r:id="rId8"/>
      <w:footerReference w:type="default" r:id="rId9"/>
      <w:pgSz w:w="11907" w:h="16840"/>
      <w:pgMar w:top="1985" w:right="1134" w:bottom="2269"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7612" w14:textId="77777777" w:rsidR="00455B77" w:rsidRDefault="00455B77">
      <w:pPr>
        <w:spacing w:line="240" w:lineRule="auto"/>
        <w:ind w:left="0" w:hanging="2"/>
      </w:pPr>
      <w:r>
        <w:separator/>
      </w:r>
    </w:p>
  </w:endnote>
  <w:endnote w:type="continuationSeparator" w:id="0">
    <w:p w14:paraId="6844B887" w14:textId="77777777" w:rsidR="00455B77" w:rsidRDefault="00455B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89F7" w14:textId="77777777" w:rsidR="007070BB" w:rsidRDefault="00C960B5">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b/>
        <w:szCs w:val="24"/>
      </w:rPr>
      <w:t xml:space="preserve">Nová spisovka </w:t>
    </w:r>
    <w:r>
      <w:rPr>
        <w:rFonts w:eastAsia="Garamond" w:cs="Garamond"/>
        <w:szCs w:val="24"/>
      </w:rPr>
      <w:t xml:space="preserve">registrační číslo </w:t>
    </w:r>
    <w:r>
      <w:rPr>
        <w:rFonts w:eastAsia="Garamond" w:cs="Garamond"/>
        <w:b/>
        <w:szCs w:val="24"/>
      </w:rPr>
      <w:t>CZ.03.2.60/0.0/0.0/17_129/0009134</w:t>
    </w:r>
    <w:r>
      <w:rPr>
        <w:noProof/>
        <w:lang w:eastAsia="cs-CZ"/>
      </w:rPr>
      <mc:AlternateContent>
        <mc:Choice Requires="wpg">
          <w:drawing>
            <wp:anchor distT="0" distB="0" distL="114300" distR="114300" simplePos="0" relativeHeight="251659264" behindDoc="0" locked="0" layoutInCell="1" hidden="0" allowOverlap="1" wp14:anchorId="539E89FD" wp14:editId="539E89FE">
              <wp:simplePos x="0" y="0"/>
              <wp:positionH relativeFrom="column">
                <wp:posOffset>1</wp:posOffset>
              </wp:positionH>
              <wp:positionV relativeFrom="paragraph">
                <wp:posOffset>101600</wp:posOffset>
              </wp:positionV>
              <wp:extent cx="184785" cy="139065"/>
              <wp:effectExtent l="0" t="0" r="0" b="0"/>
              <wp:wrapNone/>
              <wp:docPr id="4" name="Obdélník 4"/>
              <wp:cNvGraphicFramePr/>
              <a:graphic xmlns:a="http://schemas.openxmlformats.org/drawingml/2006/main">
                <a:graphicData uri="http://schemas.microsoft.com/office/word/2010/wordprocessingShape">
                  <wps:wsp>
                    <wps:cNvSpPr/>
                    <wps:spPr>
                      <a:xfrm>
                        <a:off x="5263133" y="3719993"/>
                        <a:ext cx="165735" cy="120015"/>
                      </a:xfrm>
                      <a:prstGeom prst="rect">
                        <a:avLst/>
                      </a:prstGeom>
                      <a:noFill/>
                      <a:ln>
                        <a:noFill/>
                      </a:ln>
                    </wps:spPr>
                    <wps:txbx>
                      <w:txbxContent>
                        <w:p w14:paraId="539E8A01" w14:textId="77777777" w:rsidR="007070BB" w:rsidRDefault="007070BB">
                          <w:pPr>
                            <w:spacing w:line="240" w:lineRule="auto"/>
                            <w:ind w:left="0" w:hanging="2"/>
                          </w:pPr>
                        </w:p>
                        <w:p w14:paraId="539E8A02" w14:textId="77777777" w:rsidR="007070BB" w:rsidRDefault="007070B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184785" cy="139065"/>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4785" cy="139065"/>
                      </a:xfrm>
                      <a:prstGeom prst="rect"/>
                      <a:ln/>
                    </pic:spPr>
                  </pic:pic>
                </a:graphicData>
              </a:graphic>
            </wp:anchor>
          </w:drawing>
        </mc:Fallback>
      </mc:AlternateContent>
    </w:r>
  </w:p>
  <w:p w14:paraId="539E89F8" w14:textId="77777777" w:rsidR="007070BB" w:rsidRDefault="007070BB">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p>
  <w:p w14:paraId="539E89F9" w14:textId="18EC9074" w:rsidR="007070BB" w:rsidRDefault="00C960B5">
    <w:pPr>
      <w:pBdr>
        <w:top w:val="nil"/>
        <w:left w:val="nil"/>
        <w:bottom w:val="nil"/>
        <w:right w:val="nil"/>
        <w:between w:val="nil"/>
      </w:pBdr>
      <w:tabs>
        <w:tab w:val="center" w:pos="4320"/>
        <w:tab w:val="right" w:pos="8640"/>
      </w:tabs>
      <w:spacing w:line="240" w:lineRule="auto"/>
      <w:ind w:left="0" w:hanging="2"/>
      <w:jc w:val="center"/>
      <w:rPr>
        <w:rFonts w:eastAsia="Garamond" w:cs="Garamond"/>
        <w:szCs w:val="24"/>
      </w:rPr>
    </w:pPr>
    <w:r>
      <w:rPr>
        <w:rFonts w:eastAsia="Garamond" w:cs="Garamond"/>
        <w:szCs w:val="24"/>
      </w:rPr>
      <w:t xml:space="preserve">str. </w:t>
    </w:r>
    <w:r>
      <w:rPr>
        <w:rFonts w:eastAsia="Garamond" w:cs="Garamond"/>
        <w:szCs w:val="24"/>
      </w:rPr>
      <w:fldChar w:fldCharType="begin"/>
    </w:r>
    <w:r>
      <w:rPr>
        <w:rFonts w:eastAsia="Garamond" w:cs="Garamond"/>
        <w:szCs w:val="24"/>
      </w:rPr>
      <w:instrText>PAGE</w:instrText>
    </w:r>
    <w:r>
      <w:rPr>
        <w:rFonts w:eastAsia="Garamond" w:cs="Garamond"/>
        <w:szCs w:val="24"/>
      </w:rPr>
      <w:fldChar w:fldCharType="separate"/>
    </w:r>
    <w:r w:rsidR="005B241E">
      <w:rPr>
        <w:rFonts w:eastAsia="Garamond" w:cs="Garamond"/>
        <w:noProof/>
        <w:szCs w:val="24"/>
      </w:rPr>
      <w:t>4</w:t>
    </w:r>
    <w:r>
      <w:rPr>
        <w:rFonts w:eastAsia="Garamond" w:cs="Garamond"/>
        <w:szCs w:val="24"/>
      </w:rPr>
      <w:fldChar w:fldCharType="end"/>
    </w:r>
    <w:r>
      <w:rPr>
        <w:rFonts w:eastAsia="Garamond" w:cs="Garamond"/>
        <w:szCs w:val="24"/>
      </w:rPr>
      <w:t>/4</w:t>
    </w:r>
    <w:r>
      <w:rPr>
        <w:noProof/>
        <w:lang w:eastAsia="cs-CZ"/>
      </w:rPr>
      <w:drawing>
        <wp:anchor distT="0" distB="0" distL="0" distR="0" simplePos="0" relativeHeight="251660288" behindDoc="0" locked="0" layoutInCell="1" hidden="0" allowOverlap="1" wp14:anchorId="539E89FF" wp14:editId="539E8A00">
          <wp:simplePos x="0" y="0"/>
          <wp:positionH relativeFrom="column">
            <wp:posOffset>5313045</wp:posOffset>
          </wp:positionH>
          <wp:positionV relativeFrom="paragraph">
            <wp:posOffset>52705</wp:posOffset>
          </wp:positionV>
          <wp:extent cx="1514475" cy="733425"/>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14475" cy="733425"/>
                  </a:xfrm>
                  <a:prstGeom prst="rect">
                    <a:avLst/>
                  </a:prstGeom>
                  <a:ln/>
                </pic:spPr>
              </pic:pic>
            </a:graphicData>
          </a:graphic>
        </wp:anchor>
      </w:drawing>
    </w:r>
  </w:p>
  <w:p w14:paraId="539E89FA" w14:textId="77777777" w:rsidR="007070BB" w:rsidRDefault="007070BB">
    <w:pPr>
      <w:pBdr>
        <w:top w:val="nil"/>
        <w:left w:val="nil"/>
        <w:bottom w:val="nil"/>
        <w:right w:val="nil"/>
        <w:between w:val="nil"/>
      </w:pBdr>
      <w:tabs>
        <w:tab w:val="center" w:pos="4320"/>
        <w:tab w:val="right" w:pos="8640"/>
      </w:tabs>
      <w:spacing w:line="240" w:lineRule="auto"/>
      <w:ind w:left="0" w:hanging="2"/>
      <w:rPr>
        <w:rFonts w:eastAsia="Garamond" w:cs="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7CE6B" w14:textId="77777777" w:rsidR="00455B77" w:rsidRDefault="00455B77">
      <w:pPr>
        <w:spacing w:line="240" w:lineRule="auto"/>
        <w:ind w:left="0" w:hanging="2"/>
      </w:pPr>
      <w:r>
        <w:separator/>
      </w:r>
    </w:p>
  </w:footnote>
  <w:footnote w:type="continuationSeparator" w:id="0">
    <w:p w14:paraId="6FDE394D" w14:textId="77777777" w:rsidR="00455B77" w:rsidRDefault="00455B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89F6" w14:textId="77777777" w:rsidR="007070BB" w:rsidRDefault="00C960B5">
    <w:pPr>
      <w:pBdr>
        <w:top w:val="nil"/>
        <w:left w:val="nil"/>
        <w:bottom w:val="nil"/>
        <w:right w:val="nil"/>
        <w:between w:val="nil"/>
      </w:pBdr>
      <w:tabs>
        <w:tab w:val="center" w:pos="4320"/>
        <w:tab w:val="right" w:pos="8640"/>
      </w:tabs>
      <w:spacing w:line="240" w:lineRule="auto"/>
      <w:ind w:left="0" w:hanging="2"/>
      <w:rPr>
        <w:rFonts w:eastAsia="Garamond" w:cs="Garamond"/>
        <w:szCs w:val="24"/>
      </w:rPr>
    </w:pPr>
    <w:r>
      <w:rPr>
        <w:noProof/>
        <w:lang w:eastAsia="cs-CZ"/>
      </w:rPr>
      <w:drawing>
        <wp:anchor distT="0" distB="0" distL="114300" distR="114300" simplePos="0" relativeHeight="251658240" behindDoc="0" locked="0" layoutInCell="1" hidden="0" allowOverlap="1" wp14:anchorId="539E89FB" wp14:editId="539E89FC">
          <wp:simplePos x="0" y="0"/>
          <wp:positionH relativeFrom="column">
            <wp:posOffset>-723898</wp:posOffset>
          </wp:positionH>
          <wp:positionV relativeFrom="paragraph">
            <wp:posOffset>-447672</wp:posOffset>
          </wp:positionV>
          <wp:extent cx="1079500" cy="1079500"/>
          <wp:effectExtent l="0" t="0" r="0" b="0"/>
          <wp:wrapTopAndBottom distT="0" dist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950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C9C"/>
    <w:multiLevelType w:val="multilevel"/>
    <w:tmpl w:val="E5C8C19A"/>
    <w:lvl w:ilvl="0">
      <w:start w:val="1"/>
      <w:numFmt w:val="decimal"/>
      <w:lvlText w:val="%1."/>
      <w:lvlJc w:val="left"/>
      <w:pPr>
        <w:ind w:left="397" w:hanging="397"/>
      </w:pPr>
      <w:rPr>
        <w:b/>
        <w:vertAlign w:val="baseline"/>
      </w:rPr>
    </w:lvl>
    <w:lvl w:ilvl="1">
      <w:start w:val="1"/>
      <w:numFmt w:val="decimal"/>
      <w:lvlText w:val="%1.%2."/>
      <w:lvlJc w:val="left"/>
      <w:pPr>
        <w:ind w:left="907" w:hanging="547"/>
      </w:pPr>
      <w:rPr>
        <w:b w:val="0"/>
        <w:vertAlign w:val="baseline"/>
      </w:rPr>
    </w:lvl>
    <w:lvl w:ilvl="2">
      <w:start w:val="1"/>
      <w:numFmt w:val="decimal"/>
      <w:lvlText w:val="%1.%2.%3."/>
      <w:lvlJc w:val="left"/>
      <w:pPr>
        <w:ind w:left="1474" w:hanging="622"/>
      </w:pPr>
      <w:rPr>
        <w:vertAlign w:val="baseline"/>
      </w:rPr>
    </w:lvl>
    <w:lvl w:ilvl="3">
      <w:start w:val="1"/>
      <w:numFmt w:val="decimal"/>
      <w:lvlText w:val="%1.%2.%3.%4."/>
      <w:lvlJc w:val="left"/>
      <w:pPr>
        <w:ind w:left="2268" w:hanging="794"/>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54AD3747"/>
    <w:multiLevelType w:val="multilevel"/>
    <w:tmpl w:val="A4B2E690"/>
    <w:lvl w:ilvl="0">
      <w:start w:val="1"/>
      <w:numFmt w:val="decimal"/>
      <w:pStyle w:val="Prvniuroven"/>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BB"/>
    <w:rsid w:val="000E38F5"/>
    <w:rsid w:val="00136FE1"/>
    <w:rsid w:val="002373B9"/>
    <w:rsid w:val="004125CF"/>
    <w:rsid w:val="00431191"/>
    <w:rsid w:val="00455B77"/>
    <w:rsid w:val="004B2138"/>
    <w:rsid w:val="00585483"/>
    <w:rsid w:val="005B241E"/>
    <w:rsid w:val="006A695E"/>
    <w:rsid w:val="007070BB"/>
    <w:rsid w:val="007A111F"/>
    <w:rsid w:val="00A512C2"/>
    <w:rsid w:val="00BF471C"/>
    <w:rsid w:val="00C469B3"/>
    <w:rsid w:val="00C676BF"/>
    <w:rsid w:val="00C960B5"/>
    <w:rsid w:val="00CB0CF4"/>
    <w:rsid w:val="00DE404F"/>
    <w:rsid w:val="00F20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89A9"/>
  <w15:docId w15:val="{E6596DD8-C312-4348-B157-F161D8A6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300" w:lineRule="atLeast"/>
      <w:ind w:leftChars="-1" w:left="-1" w:hangingChars="1" w:hanging="1"/>
      <w:jc w:val="both"/>
      <w:textDirection w:val="btLr"/>
      <w:textAlignment w:val="top"/>
      <w:outlineLvl w:val="0"/>
    </w:pPr>
    <w:rPr>
      <w:rFonts w:ascii="Garamond" w:hAnsi="Garamond"/>
      <w:color w:val="000000"/>
      <w:position w:val="-1"/>
      <w:sz w:val="24"/>
      <w:lang w:eastAsia="ar-SA"/>
    </w:rPr>
  </w:style>
  <w:style w:type="paragraph" w:styleId="Nadpis1">
    <w:name w:val="heading 1"/>
    <w:basedOn w:val="Normln"/>
    <w:next w:val="Zkladntext"/>
    <w:uiPriority w:val="9"/>
    <w:qFormat/>
    <w:pPr>
      <w:keepNext/>
      <w:spacing w:before="240" w:after="60"/>
    </w:pPr>
    <w:rPr>
      <w:b/>
      <w:kern w:val="1"/>
      <w:sz w:val="28"/>
    </w:rPr>
  </w:style>
  <w:style w:type="paragraph" w:styleId="Nadpis2">
    <w:name w:val="heading 2"/>
    <w:basedOn w:val="Normln"/>
    <w:next w:val="Normln"/>
    <w:uiPriority w:val="9"/>
    <w:semiHidden/>
    <w:unhideWhenUsed/>
    <w:qFormat/>
    <w:pPr>
      <w:keepNext/>
      <w:spacing w:before="240" w:after="60"/>
      <w:outlineLvl w:val="1"/>
    </w:pPr>
    <w:rPr>
      <w:rFonts w:cs="Arial"/>
      <w:b/>
      <w:bCs/>
      <w:i/>
      <w:iCs/>
      <w:sz w:val="28"/>
      <w:szCs w:val="28"/>
    </w:rPr>
  </w:style>
  <w:style w:type="paragraph" w:styleId="Nadpis3">
    <w:name w:val="heading 3"/>
    <w:basedOn w:val="Normln"/>
    <w:next w:val="Normln"/>
    <w:uiPriority w:val="9"/>
    <w:semiHidden/>
    <w:unhideWhenUsed/>
    <w:qFormat/>
    <w:pPr>
      <w:keepNext/>
      <w:spacing w:before="240" w:after="60"/>
      <w:outlineLvl w:val="2"/>
    </w:pPr>
    <w:rPr>
      <w:rFonts w:cs="Arial"/>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kladntext">
    <w:name w:val="Body Text"/>
    <w:basedOn w:val="Normln"/>
    <w:pPr>
      <w:spacing w:after="120"/>
    </w:pPr>
  </w:style>
  <w:style w:type="character" w:customStyle="1" w:styleId="ZkladntextChar">
    <w:name w:val="Základní text Char"/>
    <w:rPr>
      <w:rFonts w:ascii="Garamond" w:eastAsia="Times New Roman" w:hAnsi="Garamond" w:cs="Times New Roman"/>
      <w:color w:val="000000"/>
      <w:w w:val="100"/>
      <w:position w:val="-1"/>
      <w:sz w:val="24"/>
      <w:effect w:val="none"/>
      <w:vertAlign w:val="baseline"/>
      <w:cs w:val="0"/>
      <w:em w:val="none"/>
      <w:lang w:eastAsia="ar-SA" w:bidi="ar-SA"/>
    </w:rPr>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customStyle="1" w:styleId="14-Normln-tun-velk">
    <w:name w:val="14 - Normální - tučně - velké"/>
    <w:basedOn w:val="Normln"/>
    <w:pPr>
      <w:suppressAutoHyphens/>
      <w:spacing w:line="280" w:lineRule="atLeast"/>
    </w:pPr>
    <w:rPr>
      <w:b/>
      <w:bCs/>
      <w:caps/>
      <w:color w:val="auto"/>
      <w:sz w:val="28"/>
      <w:szCs w:val="24"/>
      <w:lang w:eastAsia="cs-CZ"/>
    </w:rPr>
  </w:style>
  <w:style w:type="paragraph" w:customStyle="1" w:styleId="Normln-tun-velk">
    <w:name w:val="Normální - tučně - velké"/>
    <w:basedOn w:val="Normln"/>
    <w:pPr>
      <w:suppressAutoHyphens/>
      <w:spacing w:line="280" w:lineRule="atLeast"/>
    </w:pPr>
    <w:rPr>
      <w:b/>
      <w:caps/>
      <w:color w:val="auto"/>
      <w:szCs w:val="24"/>
      <w:lang w:eastAsia="cs-CZ"/>
    </w:rPr>
  </w:style>
  <w:style w:type="paragraph" w:customStyle="1" w:styleId="Prvniuroven">
    <w:name w:val="Prvni_uroven"/>
    <w:basedOn w:val="Normln"/>
    <w:next w:val="uroven2"/>
    <w:pPr>
      <w:keepNext/>
      <w:keepLines/>
      <w:numPr>
        <w:numId w:val="2"/>
      </w:numPr>
      <w:suppressAutoHyphens/>
      <w:spacing w:before="480" w:after="240" w:line="280" w:lineRule="atLeast"/>
      <w:ind w:left="-1" w:hanging="1"/>
    </w:pPr>
    <w:rPr>
      <w:b/>
      <w:caps/>
      <w:color w:val="auto"/>
      <w:szCs w:val="24"/>
      <w:lang w:eastAsia="cs-CZ"/>
    </w:rPr>
  </w:style>
  <w:style w:type="paragraph" w:customStyle="1" w:styleId="uroven2">
    <w:name w:val="uroven_2"/>
    <w:basedOn w:val="Normln"/>
    <w:pPr>
      <w:numPr>
        <w:ilvl w:val="1"/>
        <w:numId w:val="2"/>
      </w:numPr>
      <w:suppressAutoHyphens/>
      <w:spacing w:before="240" w:after="240"/>
      <w:ind w:left="901" w:hanging="544"/>
      <w:outlineLvl w:val="1"/>
    </w:pPr>
    <w:rPr>
      <w:color w:val="auto"/>
      <w:szCs w:val="24"/>
      <w:lang w:eastAsia="cs-CZ"/>
    </w:rPr>
  </w:style>
  <w:style w:type="character" w:customStyle="1" w:styleId="uroven2Char">
    <w:name w:val="uroven_2 Char"/>
    <w:rPr>
      <w:rFonts w:ascii="Garamond" w:hAnsi="Garamond"/>
      <w:w w:val="100"/>
      <w:position w:val="-1"/>
      <w:sz w:val="24"/>
      <w:szCs w:val="24"/>
      <w:effect w:val="none"/>
      <w:vertAlign w:val="baseline"/>
      <w:cs w:val="0"/>
      <w:em w:val="none"/>
      <w:lang w:val="cs-CZ" w:eastAsia="cs-CZ" w:bidi="ar-SA"/>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pPr>
      <w:spacing w:line="280" w:lineRule="atLeast"/>
    </w:pPr>
    <w:rPr>
      <w:color w:val="auto"/>
      <w:sz w:val="20"/>
    </w:rPr>
  </w:style>
  <w:style w:type="character" w:customStyle="1" w:styleId="TextkomenteChar">
    <w:name w:val="Text komentáře Char"/>
    <w:rPr>
      <w:rFonts w:ascii="Garamond" w:hAnsi="Garamond" w:cs="Times New Roman"/>
      <w:w w:val="100"/>
      <w:position w:val="-1"/>
      <w:effect w:val="none"/>
      <w:vertAlign w:val="baseline"/>
      <w:cs w:val="0"/>
      <w:em w:val="none"/>
      <w:lang w:val="cs-CZ" w:eastAsia="ar-SA" w:bidi="ar-SA"/>
    </w:rPr>
  </w:style>
  <w:style w:type="paragraph" w:styleId="Textbubliny">
    <w:name w:val="Balloon Text"/>
    <w:basedOn w:val="Normln"/>
    <w:rPr>
      <w:rFonts w:ascii="Tahoma" w:hAnsi="Tahoma" w:cs="Tahoma"/>
      <w:sz w:val="16"/>
      <w:szCs w:val="16"/>
    </w:rPr>
  </w:style>
  <w:style w:type="paragraph" w:customStyle="1" w:styleId="uroven3">
    <w:name w:val="uroven_3"/>
    <w:basedOn w:val="uroven2"/>
    <w:pPr>
      <w:tabs>
        <w:tab w:val="num" w:pos="1474"/>
      </w:tabs>
      <w:ind w:left="1474" w:hanging="623"/>
    </w:pPr>
  </w:style>
  <w:style w:type="paragraph" w:customStyle="1" w:styleId="uroven4">
    <w:name w:val="uroven_4"/>
    <w:basedOn w:val="uroven3"/>
    <w:pPr>
      <w:tabs>
        <w:tab w:val="clear" w:pos="1474"/>
        <w:tab w:val="num" w:pos="2268"/>
      </w:tabs>
      <w:ind w:left="2268" w:hanging="794"/>
    </w:pPr>
    <w:rPr>
      <w:rFonts w:cs="Arial"/>
    </w:rPr>
  </w:style>
  <w:style w:type="paragraph" w:styleId="Pedmtkomente">
    <w:name w:val="annotation subject"/>
    <w:basedOn w:val="Textkomente"/>
    <w:next w:val="Textkomente"/>
    <w:pPr>
      <w:spacing w:line="300" w:lineRule="atLeast"/>
    </w:pPr>
    <w:rPr>
      <w:b/>
      <w:bCs/>
      <w:color w:val="000000"/>
    </w:rPr>
  </w:style>
  <w:style w:type="character" w:customStyle="1" w:styleId="PedmtkomenteChar">
    <w:name w:val="Předmět komentáře Char"/>
    <w:rPr>
      <w:rFonts w:ascii="Garamond" w:eastAsia="Times New Roman" w:hAnsi="Garamond" w:cs="Times New Roman"/>
      <w:b/>
      <w:bCs/>
      <w:color w:val="000000"/>
      <w:w w:val="100"/>
      <w:position w:val="-1"/>
      <w:effect w:val="none"/>
      <w:vertAlign w:val="baseline"/>
      <w:cs w:val="0"/>
      <w:em w:val="none"/>
      <w:lang w:val="cs-CZ" w:eastAsia="ar-SA" w:bidi="ar-SA"/>
    </w:rPr>
  </w:style>
  <w:style w:type="character" w:customStyle="1" w:styleId="ZpatChar">
    <w:name w:val="Zápatí Char"/>
    <w:rPr>
      <w:rFonts w:ascii="Garamond" w:hAnsi="Garamond"/>
      <w:color w:val="000000"/>
      <w:w w:val="100"/>
      <w:position w:val="-1"/>
      <w:sz w:val="24"/>
      <w:effect w:val="none"/>
      <w:vertAlign w:val="baseline"/>
      <w:cs w:val="0"/>
      <w:em w:val="none"/>
      <w:lang w:eastAsia="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xTZSm4nxcS3PJskzxx/cmJmNjA==">AMUW2mU5ZrM90crLWLYu29rHvSb691kQbJQeqBhYfWgYXEDJbo2MhRp5P6/F/4OpzJedZac80Sk/ZlQI+lxB9ENrbdLOEebsrfPvvFvW0IJBYmDYT1y7fFT6oI1WDlbT0fH+/Nr5bzB+gUinF8TUyESX/1VNrCKv4HrAGD029LKxDw1gxmeAmAA=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919</Words>
  <Characters>5425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Aujezdský</dc:creator>
  <cp:lastModifiedBy>Krušberská Eliška</cp:lastModifiedBy>
  <cp:revision>6</cp:revision>
  <dcterms:created xsi:type="dcterms:W3CDTF">2020-12-16T10:01:00Z</dcterms:created>
  <dcterms:modified xsi:type="dcterms:W3CDTF">2020-12-31T08:54:00Z</dcterms:modified>
</cp:coreProperties>
</file>