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1E4C1" w14:textId="0C0810AA" w:rsidR="007C0642" w:rsidRPr="00434B71" w:rsidRDefault="003B42E8" w:rsidP="00434B71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434B71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>Evidenční číslo smlouvy</w:t>
      </w:r>
      <w:r w:rsidR="007C0642" w:rsidRPr="00D930BE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434B71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0521B4">
        <w:rPr>
          <w:rFonts w:ascii="Times New Roman" w:eastAsia="Times New Roman" w:hAnsi="Times New Roman"/>
          <w:color w:val="000000" w:themeColor="text1"/>
          <w:lang w:eastAsia="cs-CZ"/>
        </w:rPr>
        <w:t>KK01421/2020</w:t>
      </w:r>
      <w:r w:rsidR="001559A4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7C0642" w:rsidRPr="00D930BE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E65703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5E657D8C" w14:textId="77777777" w:rsidR="000521B4" w:rsidRDefault="000521B4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</w:pPr>
    </w:p>
    <w:p w14:paraId="1139A3A9" w14:textId="43E90B5B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b/>
          <w:color w:val="000000" w:themeColor="text1"/>
          <w:lang w:eastAsia="cs-CZ"/>
        </w:rPr>
        <w:t>Karlovarský kraj</w:t>
      </w:r>
    </w:p>
    <w:p w14:paraId="1888A99D" w14:textId="7BBFB961" w:rsidR="00F44B77" w:rsidRPr="007F5052" w:rsidRDefault="0054027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Závodní 353/88, 360 06 Karlovy Vary</w:t>
      </w:r>
      <w:r w:rsidR="00F44B77" w:rsidRPr="007F5052">
        <w:rPr>
          <w:rFonts w:ascii="Times New Roman" w:eastAsia="Times New Roman" w:hAnsi="Times New Roman"/>
          <w:color w:val="000000" w:themeColor="text1"/>
          <w:lang w:eastAsia="cs-CZ"/>
        </w:rPr>
        <w:t xml:space="preserve"> – Dvory</w:t>
      </w:r>
    </w:p>
    <w:p w14:paraId="4DDFAA00" w14:textId="40649690" w:rsidR="003B42E8" w:rsidRPr="007F5052" w:rsidRDefault="00910550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Identifikační čísl</w:t>
      </w:r>
      <w:r w:rsidR="003F2BD5" w:rsidRPr="007F5052">
        <w:rPr>
          <w:rFonts w:ascii="Times New Roman" w:eastAsia="Times New Roman" w:hAnsi="Times New Roman"/>
          <w:color w:val="000000" w:themeColor="text1"/>
          <w:lang w:eastAsia="cs-CZ"/>
        </w:rPr>
        <w:t>o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70891168</w:t>
      </w:r>
    </w:p>
    <w:p w14:paraId="1889A42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DIČ: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CZ70891168</w:t>
      </w:r>
    </w:p>
    <w:p w14:paraId="736B6A6B" w14:textId="6C986B3F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Zastoupený: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024CBD25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E50511F" w14:textId="191A25E9" w:rsidR="000201A9" w:rsidRPr="007F5052" w:rsidRDefault="003B42E8" w:rsidP="009E4D5C">
      <w:pPr>
        <w:spacing w:after="0" w:line="240" w:lineRule="auto"/>
        <w:rPr>
          <w:rFonts w:ascii="Times New Roman" w:hAnsi="Times New Roman"/>
          <w:color w:val="000000" w:themeColor="text1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58C277CF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47D6C41" w14:textId="5486F71A" w:rsidR="003B42E8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Datová schránka: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siqbxt2</w:t>
      </w:r>
    </w:p>
    <w:p w14:paraId="04CA6EA8" w14:textId="56B8955D" w:rsidR="00543233" w:rsidRPr="007F5052" w:rsidRDefault="00543233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Administrující odbor: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odbor</w:t>
      </w:r>
      <w:r w:rsidR="0068213A">
        <w:rPr>
          <w:rFonts w:ascii="Times New Roman" w:eastAsia="Times New Roman" w:hAnsi="Times New Roman"/>
          <w:color w:val="000000" w:themeColor="text1"/>
          <w:lang w:eastAsia="cs-CZ"/>
        </w:rPr>
        <w:t xml:space="preserve"> kultury, památkové péče, lázeňství a cestovního ruchu</w:t>
      </w:r>
    </w:p>
    <w:p w14:paraId="3B6D5597" w14:textId="77777777" w:rsidR="003F2BD5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AAF018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(dále jen „poskytovatel“)</w:t>
      </w:r>
    </w:p>
    <w:p w14:paraId="76DAAB6D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DEF5974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</w:t>
      </w:r>
    </w:p>
    <w:p w14:paraId="22477D80" w14:textId="77777777" w:rsidR="003B42E8" w:rsidRPr="001622BD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D24B1AF" w14:textId="046F5EAE" w:rsidR="002B2950" w:rsidRDefault="008C494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000000" w:themeColor="text1"/>
          <w:lang w:eastAsia="cs-CZ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cs-CZ"/>
        </w:rPr>
        <w:t>Auxilien a.s.</w:t>
      </w:r>
    </w:p>
    <w:p w14:paraId="0C001D48" w14:textId="6A281890" w:rsidR="00602229" w:rsidRPr="001622BD" w:rsidRDefault="008C494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602229" w:rsidRPr="001622BD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602229"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>nám. 14. října 1307/2</w:t>
      </w:r>
      <w:r w:rsidR="00FA0D0F">
        <w:rPr>
          <w:rFonts w:ascii="Times New Roman" w:eastAsia="Times New Roman" w:hAnsi="Times New Roman"/>
          <w:color w:val="000000" w:themeColor="text1"/>
          <w:lang w:eastAsia="cs-CZ"/>
        </w:rPr>
        <w:t xml:space="preserve">, 150 00 Praha </w:t>
      </w:r>
    </w:p>
    <w:p w14:paraId="64169F9B" w14:textId="54E4A9E5" w:rsidR="00582509" w:rsidRDefault="008C494F" w:rsidP="0058250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Identifikační číslo</w:t>
      </w:r>
      <w:r w:rsidR="00602229" w:rsidRPr="001622BD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="00582509"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  <w:t>28217080</w:t>
      </w:r>
    </w:p>
    <w:p w14:paraId="635686AA" w14:textId="11BBE33C" w:rsidR="008C494F" w:rsidRPr="001622BD" w:rsidRDefault="008C494F" w:rsidP="0058250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Zastoupený: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  <w:t>Jaroslav Gabriel, jednatel</w:t>
      </w:r>
    </w:p>
    <w:p w14:paraId="157032DE" w14:textId="3E2C44C2" w:rsidR="009D5AFF" w:rsidRPr="001622BD" w:rsidRDefault="009D5AFF" w:rsidP="0058250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Arial Unicode MS" w:hAnsi="Times New Roman"/>
          <w:color w:val="000000" w:themeColor="text1"/>
          <w:lang w:eastAsia="cs-CZ"/>
        </w:rPr>
      </w:pP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0C5C3B9A" w14:textId="1ED566FE" w:rsidR="009D5AFF" w:rsidRPr="001622BD" w:rsidRDefault="0054027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>č</w:t>
      </w:r>
      <w:r w:rsidR="009D5AFF" w:rsidRPr="001622BD">
        <w:rPr>
          <w:rFonts w:ascii="Times New Roman" w:eastAsia="Times New Roman" w:hAnsi="Times New Roman"/>
          <w:color w:val="000000" w:themeColor="text1"/>
          <w:lang w:eastAsia="cs-CZ"/>
        </w:rPr>
        <w:t>íslo účtu:</w:t>
      </w:r>
      <w:r w:rsidR="009D5AFF"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1AC19AD4" w14:textId="115C592A" w:rsidR="009D5AFF" w:rsidRPr="001622BD" w:rsidRDefault="009D5AF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>E-mail:</w:t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</w:p>
    <w:p w14:paraId="77FDEA61" w14:textId="77777777" w:rsidR="00652325" w:rsidRDefault="00652325" w:rsidP="00652325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6900184" w14:textId="0A7F74D8" w:rsidR="007F5052" w:rsidRDefault="00652325" w:rsidP="00652325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(dále jen „příjemce“)</w:t>
      </w:r>
    </w:p>
    <w:p w14:paraId="4316F4DE" w14:textId="42BDCDE1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7C687A60" w14:textId="59CCAAE9" w:rsidR="007F5052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53C8905C" w:rsidR="0086528E" w:rsidRPr="0096502F" w:rsidRDefault="0014413C" w:rsidP="007F505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. 250/2000 Sb., o</w:t>
      </w:r>
      <w:r w:rsidR="00B7459B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rozpočtových pravidlech územních rozpočtů, ve znění p</w:t>
      </w:r>
      <w:r w:rsidR="001F7C4F" w:rsidRPr="00B44F17">
        <w:rPr>
          <w:rFonts w:ascii="Times New Roman" w:eastAsia="Arial Unicode MS" w:hAnsi="Times New Roman"/>
          <w:color w:val="000000" w:themeColor="text1"/>
          <w:lang w:eastAsia="cs-CZ"/>
        </w:rPr>
        <w:t>ozdějších předpisů (dále také „RPÚR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“) 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a v souladu s Programem pro poskytování dotací z rozpočtu Karlovarského kraje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>na obnovu a využití kulturních památek, památkově hodnotných objektů a movitých věcí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v Karlovarském kraji </w:t>
      </w:r>
      <w:r w:rsidR="00E34F38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(dále jen „dotační program“) 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poskytovatel poskytuje příjemci dotaci na účel uvedený v článku II.</w:t>
      </w:r>
      <w:r w:rsidR="00F44B77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smlouvy a příjemce tuto dotaci přijímá.</w:t>
      </w: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05C8E46" w:rsidR="00406CC0" w:rsidRPr="0096502F" w:rsidRDefault="0014413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1622BD" w:rsidRDefault="00ED646C" w:rsidP="003A7724">
      <w:pPr>
        <w:pStyle w:val="Normlnweb"/>
        <w:numPr>
          <w:ilvl w:val="0"/>
          <w:numId w:val="30"/>
        </w:numPr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Údaje o dotaci:</w:t>
      </w:r>
    </w:p>
    <w:p w14:paraId="0008639C" w14:textId="6A028E90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 kalendářním roce: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7F5052" w:rsidRPr="001622BD">
        <w:rPr>
          <w:color w:val="000000" w:themeColor="text1"/>
          <w:sz w:val="22"/>
          <w:szCs w:val="22"/>
        </w:rPr>
        <w:t>2020</w:t>
      </w:r>
    </w:p>
    <w:p w14:paraId="37F411C7" w14:textId="63548137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ve výši: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E34A17">
        <w:rPr>
          <w:color w:val="000000" w:themeColor="text1"/>
          <w:sz w:val="22"/>
          <w:szCs w:val="22"/>
        </w:rPr>
        <w:t>3</w:t>
      </w:r>
      <w:r w:rsidR="00047BDA">
        <w:rPr>
          <w:color w:val="000000" w:themeColor="text1"/>
          <w:sz w:val="22"/>
          <w:szCs w:val="22"/>
        </w:rPr>
        <w:t>0</w:t>
      </w:r>
      <w:r w:rsidR="007F5052" w:rsidRPr="001622BD">
        <w:rPr>
          <w:color w:val="000000" w:themeColor="text1"/>
          <w:sz w:val="22"/>
          <w:szCs w:val="22"/>
        </w:rPr>
        <w:t>0 000</w:t>
      </w:r>
      <w:r w:rsidR="002415E5" w:rsidRPr="001622BD">
        <w:rPr>
          <w:color w:val="000000" w:themeColor="text1"/>
          <w:sz w:val="22"/>
          <w:szCs w:val="22"/>
        </w:rPr>
        <w:t xml:space="preserve"> Kč</w:t>
      </w:r>
    </w:p>
    <w:p w14:paraId="4D687BB9" w14:textId="78CC5509" w:rsidR="002415E5" w:rsidRPr="001622BD" w:rsidRDefault="002415E5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ab/>
        <w:t xml:space="preserve">(Slovy: </w:t>
      </w:r>
      <w:r w:rsidR="00E34A17">
        <w:rPr>
          <w:color w:val="000000" w:themeColor="text1"/>
          <w:sz w:val="22"/>
          <w:szCs w:val="22"/>
        </w:rPr>
        <w:t>tři</w:t>
      </w:r>
      <w:r w:rsidR="00047BDA">
        <w:rPr>
          <w:color w:val="000000" w:themeColor="text1"/>
          <w:sz w:val="22"/>
          <w:szCs w:val="22"/>
        </w:rPr>
        <w:t>statisíc</w:t>
      </w:r>
      <w:r w:rsidR="007F5052" w:rsidRPr="001622BD">
        <w:rPr>
          <w:color w:val="000000" w:themeColor="text1"/>
          <w:sz w:val="22"/>
          <w:szCs w:val="22"/>
        </w:rPr>
        <w:t xml:space="preserve"> </w:t>
      </w:r>
      <w:r w:rsidRPr="001622BD">
        <w:rPr>
          <w:color w:val="000000" w:themeColor="text1"/>
          <w:sz w:val="22"/>
          <w:szCs w:val="22"/>
        </w:rPr>
        <w:t>korun českých)</w:t>
      </w:r>
    </w:p>
    <w:p w14:paraId="0121BEBF" w14:textId="32EC36DD" w:rsidR="002B2950" w:rsidRDefault="00ED646C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lastRenderedPageBreak/>
        <w:t>Dotace se poskytuje na účel: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B2950" w:rsidRPr="002B2950">
        <w:rPr>
          <w:color w:val="000000" w:themeColor="text1"/>
          <w:sz w:val="22"/>
          <w:szCs w:val="22"/>
        </w:rPr>
        <w:t xml:space="preserve">Stráž nad Ohří, mlýn č. p. 1 - oprava </w:t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 w:rsidRPr="002B2950">
        <w:rPr>
          <w:color w:val="000000" w:themeColor="text1"/>
          <w:sz w:val="22"/>
          <w:szCs w:val="22"/>
        </w:rPr>
        <w:t xml:space="preserve">pomocných střech, osazení trámů a </w:t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 w:rsidRPr="002B2950">
        <w:rPr>
          <w:color w:val="000000" w:themeColor="text1"/>
          <w:sz w:val="22"/>
          <w:szCs w:val="22"/>
        </w:rPr>
        <w:t xml:space="preserve">prkenné podlahy do mlýnice, oprava </w:t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 w:rsidRPr="002B2950">
        <w:rPr>
          <w:color w:val="000000" w:themeColor="text1"/>
          <w:sz w:val="22"/>
          <w:szCs w:val="22"/>
        </w:rPr>
        <w:t xml:space="preserve">dveří, plotu, kamen, oprava zdí </w:t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 w:rsidRPr="002B2950">
        <w:rPr>
          <w:color w:val="000000" w:themeColor="text1"/>
          <w:sz w:val="22"/>
          <w:szCs w:val="22"/>
        </w:rPr>
        <w:t xml:space="preserve">suterénu mlýna, oprava omítek, </w:t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 w:rsidRPr="002B2950">
        <w:rPr>
          <w:color w:val="000000" w:themeColor="text1"/>
          <w:sz w:val="22"/>
          <w:szCs w:val="22"/>
        </w:rPr>
        <w:t xml:space="preserve">obnova sociálního zařízení, oprava </w:t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>
        <w:rPr>
          <w:color w:val="000000" w:themeColor="text1"/>
          <w:sz w:val="22"/>
          <w:szCs w:val="22"/>
        </w:rPr>
        <w:tab/>
      </w:r>
      <w:r w:rsidR="002B2950" w:rsidRPr="002B2950">
        <w:rPr>
          <w:color w:val="000000" w:themeColor="text1"/>
          <w:sz w:val="22"/>
          <w:szCs w:val="22"/>
        </w:rPr>
        <w:t>turbíny, vyzdvihnutí mlecích stolic</w:t>
      </w:r>
    </w:p>
    <w:p w14:paraId="554D98D5" w14:textId="2EB62837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 xml:space="preserve">Platba </w:t>
      </w:r>
      <w:r w:rsidR="002415E5" w:rsidRPr="001622BD">
        <w:rPr>
          <w:color w:val="000000" w:themeColor="text1"/>
          <w:sz w:val="22"/>
          <w:szCs w:val="22"/>
        </w:rPr>
        <w:t>dotace bude opatřena variabilním symbolem:</w:t>
      </w:r>
      <w:r w:rsidR="002415E5" w:rsidRPr="001622BD">
        <w:rPr>
          <w:color w:val="000000" w:themeColor="text1"/>
          <w:sz w:val="22"/>
          <w:szCs w:val="22"/>
        </w:rPr>
        <w:tab/>
      </w:r>
      <w:r w:rsidR="009E4D5C">
        <w:rPr>
          <w:color w:val="000000" w:themeColor="text1"/>
          <w:sz w:val="22"/>
          <w:szCs w:val="22"/>
        </w:rPr>
        <w:t>xxxx</w:t>
      </w: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265362D5" w14:textId="2BF721F6" w:rsidR="00414D20" w:rsidRPr="00B44F17" w:rsidRDefault="0014413C" w:rsidP="00B44F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2874E6B9" w:rsidR="00D90BDC" w:rsidRPr="0096502F" w:rsidRDefault="0014413C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B44F17" w:rsidRPr="00B44F17">
        <w:rPr>
          <w:rFonts w:ascii="Times New Roman" w:eastAsia="Arial Unicode MS" w:hAnsi="Times New Roman"/>
          <w:color w:val="000000" w:themeColor="text1"/>
          <w:lang w:eastAsia="cs-CZ"/>
        </w:rPr>
        <w:t>21</w:t>
      </w:r>
      <w:r w:rsidR="003B42E8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II.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03DD31A7" w:rsidR="00414D20" w:rsidRPr="0096502F" w:rsidRDefault="00414D20" w:rsidP="003A7724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je poskytována formou zálohy s povinností následného </w:t>
      </w:r>
      <w:r w:rsidR="00C439A1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65D15B93" w14:textId="4B905B6A" w:rsidR="00A97803" w:rsidRPr="0096502F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1F532792" w:rsidR="00D90BDC" w:rsidRPr="00801F7E" w:rsidRDefault="00D90BDC" w:rsidP="00801F7E">
      <w:pPr>
        <w:pStyle w:val="Odstavecseseznamem"/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01F7E">
        <w:rPr>
          <w:rFonts w:ascii="Times New Roman" w:hAnsi="Times New Roman"/>
          <w:lang w:eastAsia="cs-CZ"/>
        </w:rPr>
        <w:t>Příjemce je povinen řídit se Pravidly pro příjem a hodnocení žádostí, poskytnutí a </w:t>
      </w:r>
      <w:r w:rsidR="00E231E5" w:rsidRPr="00801F7E">
        <w:rPr>
          <w:rFonts w:ascii="Times New Roman" w:hAnsi="Times New Roman"/>
          <w:lang w:eastAsia="cs-CZ"/>
        </w:rPr>
        <w:t xml:space="preserve">finanční </w:t>
      </w:r>
      <w:r w:rsidRPr="00801F7E">
        <w:rPr>
          <w:rFonts w:ascii="Times New Roman" w:hAnsi="Times New Roman"/>
          <w:lang w:eastAsia="cs-CZ"/>
        </w:rPr>
        <w:t xml:space="preserve">vypořádání dotace z rozpočtu Karlovarského kraje programu </w:t>
      </w:r>
      <w:r w:rsidR="00C439A1" w:rsidRPr="00801F7E">
        <w:rPr>
          <w:rFonts w:ascii="Times New Roman" w:hAnsi="Times New Roman"/>
          <w:lang w:eastAsia="cs-CZ"/>
        </w:rPr>
        <w:t>uvedeného</w:t>
      </w:r>
      <w:r w:rsidR="00985B02" w:rsidRPr="00801F7E">
        <w:rPr>
          <w:rFonts w:ascii="Times New Roman" w:hAnsi="Times New Roman"/>
          <w:lang w:eastAsia="cs-CZ"/>
        </w:rPr>
        <w:t xml:space="preserve"> v odst. 1 čl. I </w:t>
      </w:r>
      <w:r w:rsidRPr="00801F7E">
        <w:rPr>
          <w:rFonts w:ascii="Times New Roman" w:hAnsi="Times New Roman"/>
          <w:lang w:eastAsia="cs-CZ"/>
        </w:rPr>
        <w:t xml:space="preserve"> schválenými </w:t>
      </w:r>
      <w:r w:rsidRPr="00801F7E">
        <w:rPr>
          <w:rFonts w:ascii="Times New Roman" w:hAnsi="Times New Roman"/>
          <w:color w:val="000000" w:themeColor="text1"/>
          <w:lang w:eastAsia="cs-CZ"/>
        </w:rPr>
        <w:t xml:space="preserve">Radou Karlovarského </w:t>
      </w:r>
      <w:r w:rsidRPr="00801F7E">
        <w:rPr>
          <w:rFonts w:ascii="Times New Roman" w:hAnsi="Times New Roman"/>
          <w:lang w:eastAsia="cs-CZ"/>
        </w:rPr>
        <w:t xml:space="preserve">kraje usnesením </w:t>
      </w:r>
      <w:r w:rsidRPr="00801F7E">
        <w:rPr>
          <w:rFonts w:ascii="Times New Roman" w:hAnsi="Times New Roman"/>
          <w:color w:val="000000" w:themeColor="text1"/>
          <w:lang w:eastAsia="cs-CZ"/>
        </w:rPr>
        <w:t xml:space="preserve">číslo </w:t>
      </w:r>
      <w:r w:rsidR="00B44F17" w:rsidRPr="00801F7E">
        <w:rPr>
          <w:rFonts w:ascii="Times New Roman" w:hAnsi="Times New Roman"/>
          <w:color w:val="000000" w:themeColor="text1"/>
          <w:lang w:eastAsia="cs-CZ"/>
        </w:rPr>
        <w:t>RK 1533/12/19 ze dne 20. 12. 2019</w:t>
      </w:r>
      <w:r w:rsidR="0069493F" w:rsidRPr="00801F7E">
        <w:rPr>
          <w:rFonts w:ascii="Times New Roman" w:hAnsi="Times New Roman"/>
          <w:color w:val="000000" w:themeColor="text1"/>
          <w:lang w:eastAsia="cs-CZ"/>
        </w:rPr>
        <w:t xml:space="preserve">, zveřejněnými </w:t>
      </w:r>
      <w:r w:rsidR="0069493F" w:rsidRPr="00801F7E">
        <w:rPr>
          <w:rFonts w:ascii="Times New Roman" w:hAnsi="Times New Roman"/>
          <w:lang w:eastAsia="cs-CZ"/>
        </w:rPr>
        <w:t>na úřední desce poskytovatele a touto smlouvou.</w:t>
      </w:r>
    </w:p>
    <w:p w14:paraId="6CAF1AF5" w14:textId="77777777" w:rsidR="003F184B" w:rsidRPr="0096502F" w:rsidRDefault="003F184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389B9597" w14:textId="0E5A7B4D" w:rsidR="0014413C" w:rsidRPr="0096502F" w:rsidRDefault="0014413C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Pr="0096502F">
        <w:rPr>
          <w:rFonts w:ascii="Times New Roman" w:eastAsia="Arial Unicode MS" w:hAnsi="Times New Roman"/>
          <w:lang w:eastAsia="cs-CZ"/>
        </w:rPr>
        <w:t xml:space="preserve"> prostředky maximálně hospodárným způsobem</w:t>
      </w:r>
      <w:r w:rsidR="007C659B" w:rsidRPr="0096502F">
        <w:rPr>
          <w:rFonts w:ascii="Times New Roman" w:eastAsia="Arial Unicode MS" w:hAnsi="Times New Roman"/>
          <w:lang w:eastAsia="cs-CZ"/>
        </w:rPr>
        <w:t>.</w:t>
      </w:r>
      <w:r w:rsidRPr="0096502F">
        <w:rPr>
          <w:rFonts w:ascii="Times New Roman" w:eastAsia="Arial Unicode MS" w:hAnsi="Times New Roman"/>
          <w:lang w:eastAsia="cs-CZ"/>
        </w:rPr>
        <w:t xml:space="preserve"> 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Příjemce je povinen použít poskytnuté </w:t>
      </w:r>
      <w:r w:rsidR="0069493F" w:rsidRPr="0096502F">
        <w:rPr>
          <w:rFonts w:ascii="Times New Roman" w:eastAsia="Arial Unicode MS" w:hAnsi="Times New Roman"/>
          <w:lang w:eastAsia="cs-CZ"/>
        </w:rPr>
        <w:t>finanční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prostředky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výhradně k účelu uvedenému v článku II. smlouvy</w:t>
      </w:r>
      <w:r w:rsidR="007C659B" w:rsidRPr="0096502F">
        <w:rPr>
          <w:rFonts w:ascii="Times New Roman" w:eastAsia="Arial Unicode MS" w:hAnsi="Times New Roman"/>
          <w:lang w:eastAsia="cs-CZ"/>
        </w:rPr>
        <w:t xml:space="preserve"> a v souladu se specifikací uvedenou </w:t>
      </w:r>
      <w:r w:rsidR="00C439A1">
        <w:rPr>
          <w:rFonts w:ascii="Times New Roman" w:eastAsia="Arial Unicode MS" w:hAnsi="Times New Roman"/>
          <w:lang w:eastAsia="cs-CZ"/>
        </w:rPr>
        <w:t>dále v této smlouvě</w:t>
      </w:r>
      <w:r w:rsidRPr="0096502F">
        <w:rPr>
          <w:rFonts w:ascii="Times New Roman" w:eastAsia="Arial Unicode MS" w:hAnsi="Times New Roman"/>
          <w:lang w:eastAsia="cs-CZ"/>
        </w:rPr>
        <w:t xml:space="preserve">. </w:t>
      </w:r>
      <w:r w:rsidR="00485A84" w:rsidRPr="0096502F">
        <w:rPr>
          <w:rFonts w:ascii="Times New Roman" w:eastAsia="Arial Unicode MS" w:hAnsi="Times New Roman"/>
          <w:lang w:eastAsia="cs-CZ"/>
        </w:rPr>
        <w:t>Příjemce t</w:t>
      </w:r>
      <w:r w:rsidRPr="0096502F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96502F">
        <w:rPr>
          <w:rFonts w:ascii="Times New Roman" w:eastAsia="Arial Unicode MS" w:hAnsi="Times New Roman"/>
          <w:lang w:eastAsia="cs-CZ"/>
        </w:rPr>
        <w:t>(</w:t>
      </w:r>
      <w:r w:rsidRPr="0096502F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96502F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96502F">
        <w:rPr>
          <w:rFonts w:ascii="Times New Roman" w:eastAsia="Arial Unicode MS" w:hAnsi="Times New Roman"/>
          <w:lang w:eastAsia="cs-CZ"/>
        </w:rPr>
        <w:t xml:space="preserve"> na</w:t>
      </w:r>
      <w:r w:rsidR="0069493F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dary, pohoštění, mzdy pracovníků nebo</w:t>
      </w:r>
      <w:r w:rsidR="00485A8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96502F">
        <w:rPr>
          <w:rFonts w:ascii="Times New Roman" w:eastAsia="Arial Unicode MS" w:hAnsi="Times New Roman"/>
          <w:lang w:eastAsia="cs-CZ"/>
        </w:rPr>
        <w:t>, úhrady dluhu</w:t>
      </w:r>
      <w:r w:rsidR="003211B2" w:rsidRPr="0096502F">
        <w:rPr>
          <w:rFonts w:ascii="Times New Roman" w:eastAsia="Arial Unicode MS" w:hAnsi="Times New Roman"/>
          <w:lang w:eastAsia="cs-CZ"/>
        </w:rPr>
        <w:t xml:space="preserve"> apod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43C68D88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6B35BC5D" w14:textId="39FDCFAE" w:rsidR="00921426" w:rsidRPr="005856B3" w:rsidRDefault="00921426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5856B3">
        <w:rPr>
          <w:rFonts w:ascii="Times New Roman" w:eastAsia="Arial Unicode MS" w:hAnsi="Times New Roman"/>
          <w:lang w:eastAsia="cs-CZ"/>
        </w:rPr>
        <w:t xml:space="preserve">Příjemce je povinen vyčerpat </w:t>
      </w:r>
      <w:r w:rsidR="0069493F" w:rsidRPr="005856B3">
        <w:rPr>
          <w:rFonts w:ascii="Times New Roman" w:eastAsia="Arial Unicode MS" w:hAnsi="Times New Roman"/>
          <w:lang w:eastAsia="cs-CZ"/>
        </w:rPr>
        <w:t>poskytnuté finanční</w:t>
      </w:r>
      <w:r w:rsidRPr="005856B3">
        <w:rPr>
          <w:rFonts w:ascii="Times New Roman" w:eastAsia="Arial Unicode MS" w:hAnsi="Times New Roman"/>
          <w:lang w:eastAsia="cs-CZ"/>
        </w:rPr>
        <w:t xml:space="preserve"> prostředky </w:t>
      </w:r>
      <w:r w:rsidR="0069493F" w:rsidRPr="005856B3">
        <w:rPr>
          <w:rFonts w:ascii="Times New Roman" w:eastAsia="Arial Unicode MS" w:hAnsi="Times New Roman"/>
          <w:lang w:eastAsia="cs-CZ"/>
        </w:rPr>
        <w:t>nejpozději</w:t>
      </w:r>
      <w:r w:rsidRPr="005856B3">
        <w:rPr>
          <w:rFonts w:ascii="Times New Roman" w:eastAsia="Arial Unicode MS" w:hAnsi="Times New Roman"/>
          <w:lang w:eastAsia="cs-CZ"/>
        </w:rPr>
        <w:t xml:space="preserve"> do </w:t>
      </w:r>
      <w:r w:rsidR="00801F7E" w:rsidRPr="00801F7E">
        <w:rPr>
          <w:rFonts w:ascii="Times New Roman" w:eastAsia="Arial Unicode MS" w:hAnsi="Times New Roman"/>
          <w:color w:val="000000" w:themeColor="text1"/>
          <w:lang w:eastAsia="cs-CZ"/>
        </w:rPr>
        <w:t>31. 12. 2020</w:t>
      </w:r>
      <w:r w:rsidR="00BE65AC" w:rsidRPr="00801F7E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394F785E" w14:textId="77777777" w:rsidR="00921426" w:rsidRPr="0096502F" w:rsidRDefault="00921426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333085C8" w14:textId="6CFD5B05" w:rsidR="0014413C" w:rsidRPr="0096502F" w:rsidRDefault="005427A7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hAnsi="Times New Roman"/>
        </w:rPr>
        <w:t>Pokud příjemce vede účetnictví nebo daňovou evidenci musí být ú</w:t>
      </w:r>
      <w:r w:rsidR="007C659B" w:rsidRPr="0096502F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účetnictví</w:t>
      </w:r>
      <w:r w:rsidRPr="0096502F">
        <w:rPr>
          <w:rFonts w:ascii="Times New Roman" w:hAnsi="Times New Roman"/>
        </w:rPr>
        <w:t xml:space="preserve"> nebo</w:t>
      </w:r>
      <w:r w:rsidR="00985B02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daňové evidenci</w:t>
      </w:r>
      <w:r w:rsidR="007C659B" w:rsidRPr="0096502F">
        <w:rPr>
          <w:rFonts w:ascii="Times New Roman" w:hAnsi="Times New Roman"/>
        </w:rPr>
        <w:t xml:space="preserve"> příjemce. To znamená, že účetní operace související s dotací musí být</w:t>
      </w:r>
      <w:r w:rsidR="0096502F" w:rsidRPr="0096502F">
        <w:rPr>
          <w:rFonts w:ascii="Times New Roman" w:hAnsi="Times New Roman"/>
        </w:rPr>
        <w:t> </w:t>
      </w:r>
      <w:r w:rsidR="007C659B" w:rsidRPr="0096502F">
        <w:rPr>
          <w:rFonts w:ascii="Times New Roman" w:hAnsi="Times New Roman"/>
        </w:rPr>
        <w:t>účtovány odděleně od ostatních aktivit příjemce (např. na zvláštním účetním středisku)</w:t>
      </w:r>
      <w:r w:rsidR="0014413C" w:rsidRPr="0096502F">
        <w:rPr>
          <w:rFonts w:ascii="Times New Roman" w:eastAsia="Arial Unicode MS" w:hAnsi="Times New Roman"/>
          <w:lang w:eastAsia="cs-CZ"/>
        </w:rPr>
        <w:t>.</w:t>
      </w:r>
    </w:p>
    <w:p w14:paraId="6789084B" w14:textId="77777777" w:rsidR="0014413C" w:rsidRPr="0096502F" w:rsidRDefault="0014413C" w:rsidP="003A7724">
      <w:p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</w:p>
    <w:p w14:paraId="0F101FC2" w14:textId="77777777" w:rsidR="0014413C" w:rsidRPr="0096502F" w:rsidRDefault="0014413C" w:rsidP="003A7724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Příjemce je 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dále </w:t>
      </w:r>
      <w:r w:rsidRPr="0096502F">
        <w:rPr>
          <w:rFonts w:ascii="Times New Roman" w:eastAsia="Arial Unicode MS" w:hAnsi="Times New Roman"/>
          <w:lang w:eastAsia="cs-CZ"/>
        </w:rPr>
        <w:t>povinen:</w:t>
      </w:r>
    </w:p>
    <w:p w14:paraId="789F0846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42750DD8" w14:textId="77777777" w:rsidR="00801F7E" w:rsidRPr="00045BC4" w:rsidRDefault="00801F7E" w:rsidP="00801F7E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45BC4">
        <w:rPr>
          <w:rFonts w:ascii="Times New Roman" w:eastAsia="Arial Unicode MS" w:hAnsi="Times New Roman"/>
          <w:color w:val="000000" w:themeColor="text1"/>
          <w:lang w:eastAsia="cs-CZ"/>
        </w:rPr>
        <w:t xml:space="preserve">na výzvu příslušného odboru zajistit svolání místního šetření v průběhu realizace projektu za účasti příjemce, příslušného odboru, zhotovitele, v případě kulturních památek a objektů nacházejících se v památkově chráněných územích či ochranných pásmech památek též příslušného orgánu státní památkové péče, </w:t>
      </w:r>
    </w:p>
    <w:p w14:paraId="41E3A179" w14:textId="32589E19" w:rsidR="0014413C" w:rsidRDefault="00801F7E" w:rsidP="00BE65AC">
      <w:pPr>
        <w:pStyle w:val="Odstavecseseznamem"/>
        <w:numPr>
          <w:ilvl w:val="0"/>
          <w:numId w:val="49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45BC4">
        <w:rPr>
          <w:rFonts w:ascii="Times New Roman" w:eastAsia="Arial Unicode MS" w:hAnsi="Times New Roman"/>
          <w:color w:val="000000" w:themeColor="text1"/>
          <w:lang w:eastAsia="cs-CZ"/>
        </w:rPr>
        <w:t>realizovat projekt v souladu s podmínkami závazného stanoviska vydaného příslušným orgánem státní památkové péče k obnově objektů, u nichž tento požadavek vyplývá ze zákona č. 20/1987 Sb., o státní památkové péč</w:t>
      </w:r>
      <w:r w:rsidR="0071148C">
        <w:rPr>
          <w:rFonts w:ascii="Times New Roman" w:eastAsia="Arial Unicode MS" w:hAnsi="Times New Roman"/>
          <w:color w:val="000000" w:themeColor="text1"/>
          <w:lang w:eastAsia="cs-CZ"/>
        </w:rPr>
        <w:t>i, ve znění pozdějších předpisů</w:t>
      </w:r>
    </w:p>
    <w:p w14:paraId="0CB5E6A6" w14:textId="63EFCB84" w:rsidR="0071148C" w:rsidRPr="00801F7E" w:rsidRDefault="008C494F" w:rsidP="002B2950">
      <w:pPr>
        <w:pStyle w:val="Odstavecseseznamem"/>
        <w:numPr>
          <w:ilvl w:val="0"/>
          <w:numId w:val="49"/>
        </w:num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8C494F">
        <w:rPr>
          <w:rFonts w:ascii="Times New Roman" w:hAnsi="Times New Roman"/>
          <w:bCs/>
          <w:iCs/>
          <w:color w:val="000000"/>
        </w:rPr>
        <w:t>v případě, že je žadatelem právnická osoba (vyjma obcí</w:t>
      </w:r>
      <w:r>
        <w:rPr>
          <w:rFonts w:ascii="Times New Roman" w:hAnsi="Times New Roman"/>
          <w:bCs/>
          <w:iCs/>
          <w:color w:val="000000"/>
        </w:rPr>
        <w:t>,</w:t>
      </w:r>
      <w:r w:rsidRPr="008C494F">
        <w:rPr>
          <w:rFonts w:ascii="Times New Roman" w:hAnsi="Times New Roman"/>
          <w:bCs/>
          <w:iCs/>
          <w:color w:val="000000"/>
        </w:rPr>
        <w:t xml:space="preserve"> </w:t>
      </w:r>
      <w:r w:rsidRPr="008C494F">
        <w:rPr>
          <w:rFonts w:ascii="Times New Roman" w:hAnsi="Times New Roman"/>
          <w:color w:val="000000" w:themeColor="text1"/>
        </w:rPr>
        <w:t>fyzick</w:t>
      </w:r>
      <w:r>
        <w:rPr>
          <w:rFonts w:ascii="Times New Roman" w:hAnsi="Times New Roman"/>
          <w:color w:val="000000" w:themeColor="text1"/>
        </w:rPr>
        <w:t>ých osob, církví</w:t>
      </w:r>
      <w:r w:rsidRPr="008C494F">
        <w:rPr>
          <w:rFonts w:ascii="Times New Roman" w:hAnsi="Times New Roman"/>
          <w:color w:val="000000" w:themeColor="text1"/>
        </w:rPr>
        <w:t>, spol</w:t>
      </w:r>
      <w:r>
        <w:rPr>
          <w:rFonts w:ascii="Times New Roman" w:hAnsi="Times New Roman"/>
          <w:color w:val="000000" w:themeColor="text1"/>
        </w:rPr>
        <w:t>ků</w:t>
      </w:r>
      <w:r w:rsidRPr="008C494F">
        <w:rPr>
          <w:rFonts w:ascii="Times New Roman" w:hAnsi="Times New Roman"/>
          <w:color w:val="000000" w:themeColor="text1"/>
        </w:rPr>
        <w:t xml:space="preserve"> a jin</w:t>
      </w:r>
      <w:r>
        <w:rPr>
          <w:rFonts w:ascii="Times New Roman" w:hAnsi="Times New Roman"/>
          <w:color w:val="000000" w:themeColor="text1"/>
        </w:rPr>
        <w:t>ých</w:t>
      </w:r>
      <w:r w:rsidRPr="008C494F">
        <w:rPr>
          <w:rFonts w:ascii="Times New Roman" w:hAnsi="Times New Roman"/>
          <w:color w:val="000000" w:themeColor="text1"/>
        </w:rPr>
        <w:t xml:space="preserve"> neziskov</w:t>
      </w:r>
      <w:r>
        <w:rPr>
          <w:rFonts w:ascii="Times New Roman" w:hAnsi="Times New Roman"/>
          <w:color w:val="000000" w:themeColor="text1"/>
        </w:rPr>
        <w:t>ých</w:t>
      </w:r>
      <w:r w:rsidRPr="008C494F">
        <w:rPr>
          <w:rFonts w:ascii="Times New Roman" w:hAnsi="Times New Roman"/>
          <w:color w:val="000000" w:themeColor="text1"/>
        </w:rPr>
        <w:t xml:space="preserve"> organizac</w:t>
      </w:r>
      <w:r>
        <w:rPr>
          <w:rFonts w:ascii="Times New Roman" w:hAnsi="Times New Roman"/>
          <w:color w:val="000000" w:themeColor="text1"/>
        </w:rPr>
        <w:t>í či jiná</w:t>
      </w:r>
      <w:r w:rsidR="0071148C" w:rsidRPr="008C494F">
        <w:rPr>
          <w:rFonts w:ascii="Times New Roman" w:hAnsi="Times New Roman"/>
          <w:color w:val="000000" w:themeColor="text1"/>
        </w:rPr>
        <w:t xml:space="preserve">: Příjemce je povinen podílet se na realizaci projektu </w:t>
      </w:r>
      <w:r w:rsidR="002B2950" w:rsidRPr="008C494F">
        <w:rPr>
          <w:rFonts w:ascii="Times New Roman" w:hAnsi="Times New Roman"/>
          <w:color w:val="000000" w:themeColor="text1"/>
        </w:rPr>
        <w:t>Stráž nad Ohří, mlýn č. p. 1 - oprava pomocných střech, osazení trámů a prkenné</w:t>
      </w:r>
      <w:r w:rsidR="002B2950" w:rsidRPr="002B2950">
        <w:rPr>
          <w:rFonts w:ascii="Times New Roman" w:hAnsi="Times New Roman"/>
          <w:color w:val="000000" w:themeColor="text1"/>
        </w:rPr>
        <w:t xml:space="preserve"> podlahy do mlýnice, oprava dveří, plotu, kamen, oprava zdí suterénu mlýna, oprava omítek, obnova sociálního zařízení, oprava turbíny, vyzdvihnutí mlecích stolic</w:t>
      </w:r>
      <w:r w:rsidR="0071148C">
        <w:rPr>
          <w:rFonts w:ascii="Times New Roman" w:hAnsi="Times New Roman"/>
          <w:color w:val="000000" w:themeColor="text1"/>
        </w:rPr>
        <w:t xml:space="preserve">, dle předloženého projektu vlastními prostředky ve výši minimálně </w:t>
      </w:r>
      <w:r>
        <w:rPr>
          <w:rFonts w:ascii="Times New Roman" w:hAnsi="Times New Roman"/>
          <w:color w:val="000000" w:themeColor="text1"/>
        </w:rPr>
        <w:t>3</w:t>
      </w:r>
      <w:r w:rsidR="0071148C">
        <w:rPr>
          <w:rFonts w:ascii="Times New Roman" w:hAnsi="Times New Roman"/>
          <w:color w:val="000000" w:themeColor="text1"/>
        </w:rPr>
        <w:t>0 % z pos</w:t>
      </w:r>
      <w:r w:rsidR="00047BDA">
        <w:rPr>
          <w:rFonts w:ascii="Times New Roman" w:hAnsi="Times New Roman"/>
          <w:color w:val="000000" w:themeColor="text1"/>
        </w:rPr>
        <w:t xml:space="preserve">kytnuté dotace, tj. minimálně </w:t>
      </w:r>
      <w:r>
        <w:rPr>
          <w:rFonts w:ascii="Times New Roman" w:hAnsi="Times New Roman"/>
          <w:color w:val="000000" w:themeColor="text1"/>
        </w:rPr>
        <w:t>9</w:t>
      </w:r>
      <w:r w:rsidR="00047BDA">
        <w:rPr>
          <w:rFonts w:ascii="Times New Roman" w:hAnsi="Times New Roman"/>
          <w:color w:val="000000" w:themeColor="text1"/>
        </w:rPr>
        <w:t>0</w:t>
      </w:r>
      <w:r w:rsidR="0071148C">
        <w:rPr>
          <w:rFonts w:ascii="Times New Roman" w:hAnsi="Times New Roman"/>
          <w:color w:val="000000" w:themeColor="text1"/>
        </w:rPr>
        <w:t xml:space="preserve"> 000 Kč. Příjemce se zavazuje zajistit na tento projekt finanční spoluúčast obce, na jejímž správním území se objekt, </w:t>
      </w:r>
      <w:r w:rsidR="0071148C">
        <w:rPr>
          <w:rFonts w:ascii="Times New Roman" w:hAnsi="Times New Roman"/>
          <w:color w:val="000000" w:themeColor="text1"/>
        </w:rPr>
        <w:lastRenderedPageBreak/>
        <w:t xml:space="preserve">tj. </w:t>
      </w:r>
      <w:r w:rsidR="002B2950">
        <w:rPr>
          <w:rFonts w:ascii="Times New Roman" w:hAnsi="Times New Roman"/>
          <w:color w:val="000000" w:themeColor="text1"/>
        </w:rPr>
        <w:t>Stráž nad Ohří</w:t>
      </w:r>
      <w:r w:rsidR="0071148C">
        <w:rPr>
          <w:rFonts w:ascii="Times New Roman" w:hAnsi="Times New Roman"/>
          <w:color w:val="000000" w:themeColor="text1"/>
        </w:rPr>
        <w:t xml:space="preserve">, nachází, a to ve výši minimálně 20 % z poskytnuté dotace, </w:t>
      </w:r>
      <w:r w:rsidR="00047BDA">
        <w:rPr>
          <w:rFonts w:ascii="Times New Roman" w:hAnsi="Times New Roman"/>
          <w:color w:val="000000" w:themeColor="text1"/>
        </w:rPr>
        <w:t xml:space="preserve">což činí </w:t>
      </w:r>
      <w:r w:rsidR="00E34A17">
        <w:rPr>
          <w:rFonts w:ascii="Times New Roman" w:hAnsi="Times New Roman"/>
          <w:color w:val="000000" w:themeColor="text1"/>
        </w:rPr>
        <w:t>6</w:t>
      </w:r>
      <w:r w:rsidR="00047BDA">
        <w:rPr>
          <w:rFonts w:ascii="Times New Roman" w:hAnsi="Times New Roman"/>
          <w:color w:val="000000" w:themeColor="text1"/>
        </w:rPr>
        <w:t>0</w:t>
      </w:r>
      <w:r w:rsidR="0071148C">
        <w:rPr>
          <w:rFonts w:ascii="Times New Roman" w:hAnsi="Times New Roman"/>
          <w:color w:val="000000" w:themeColor="text1"/>
        </w:rPr>
        <w:t xml:space="preserve"> 000 Kč. Finanční spoluúčast obce může být nahrazena navýšením spoluúčasti příjemce dotace o tuto částku</w:t>
      </w:r>
      <w:r w:rsidR="00210F8F">
        <w:rPr>
          <w:rFonts w:ascii="Times New Roman" w:hAnsi="Times New Roman"/>
          <w:color w:val="000000" w:themeColor="text1"/>
        </w:rPr>
        <w:t>.</w:t>
      </w:r>
    </w:p>
    <w:p w14:paraId="3F665AAD" w14:textId="7C07450C" w:rsidR="00921426" w:rsidRPr="0096502F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8587C28" w14:textId="6FFAB1D4" w:rsidR="00921426" w:rsidRPr="0096502F" w:rsidRDefault="00F53C1A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01F7E" w:rsidRPr="00801F7E">
        <w:rPr>
          <w:rFonts w:ascii="Times New Roman" w:eastAsia="Arial Unicode MS" w:hAnsi="Times New Roman"/>
          <w:color w:val="000000" w:themeColor="text1"/>
          <w:lang w:eastAsia="cs-CZ"/>
        </w:rPr>
        <w:t>15. 1. 202</w:t>
      </w:r>
      <w:r w:rsidR="009B644B">
        <w:rPr>
          <w:rFonts w:ascii="Times New Roman" w:eastAsia="Arial Unicode MS" w:hAnsi="Times New Roman"/>
          <w:color w:val="000000" w:themeColor="text1"/>
          <w:lang w:eastAsia="cs-CZ"/>
        </w:rPr>
        <w:t>1</w:t>
      </w:r>
      <w:r w:rsidR="00AE1C37" w:rsidRPr="00801F7E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921426" w:rsidRPr="0096502F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E231E5" w:rsidRPr="0096502F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96502F">
        <w:rPr>
          <w:rFonts w:ascii="Times New Roman" w:eastAsia="Arial Unicode MS" w:hAnsi="Times New Roman"/>
          <w:lang w:eastAsia="cs-CZ"/>
        </w:rPr>
        <w:t>.</w:t>
      </w:r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71A913B5" w:rsidR="00F131CD" w:rsidRPr="0096502F" w:rsidRDefault="00F131CD" w:rsidP="00F131CD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doklad). Doklady, zejména faktury tj. účet za provedenou práci nebo</w:t>
      </w:r>
      <w:r w:rsidR="00ED646C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zboží, které bylo dodáno, musejí být označeny identifikací dotace (zkráceným názvem dotace apod.). 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40CA52CA" w14:textId="19C9DF10" w:rsidR="000E2CD8" w:rsidRDefault="00F131CD" w:rsidP="000E2CD8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Pr="0096502F">
        <w:rPr>
          <w:rFonts w:ascii="Times New Roman" w:eastAsia="Arial Unicode MS" w:hAnsi="Times New Roman"/>
          <w:i/>
          <w:lang w:eastAsia="cs-CZ"/>
        </w:rPr>
        <w:t xml:space="preserve"> </w:t>
      </w:r>
      <w:r w:rsidRPr="0096502F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707F28E0" w14:textId="6FE1A212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FCA657C" w14:textId="77777777" w:rsidR="003A2D4C" w:rsidRDefault="00A8376E" w:rsidP="003A2D4C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E2CD8">
        <w:rPr>
          <w:rFonts w:ascii="Times New Roman" w:eastAsia="Arial Unicode MS" w:hAnsi="Times New Roman"/>
          <w:lang w:eastAsia="cs-CZ"/>
        </w:rPr>
        <w:t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kraje, a</w:t>
      </w:r>
      <w:r w:rsidR="00985B02" w:rsidRPr="000E2CD8">
        <w:rPr>
          <w:rFonts w:ascii="Times New Roman" w:eastAsia="Arial Unicode MS" w:hAnsi="Times New Roman"/>
          <w:lang w:eastAsia="cs-CZ"/>
        </w:rPr>
        <w:t> </w:t>
      </w:r>
      <w:r w:rsidRPr="000E2CD8">
        <w:rPr>
          <w:rFonts w:ascii="Times New Roman" w:eastAsia="Arial Unicode MS" w:hAnsi="Times New Roman"/>
          <w:lang w:eastAsia="cs-CZ"/>
        </w:rPr>
        <w:t xml:space="preserve">to viditelným umístěním loga </w:t>
      </w:r>
      <w:r w:rsidR="000E2CD8">
        <w:rPr>
          <w:rFonts w:ascii="Times New Roman" w:eastAsia="Arial Unicode MS" w:hAnsi="Times New Roman"/>
          <w:lang w:eastAsia="cs-CZ"/>
        </w:rPr>
        <w:t xml:space="preserve">kraje nebo loga „Živý kraj“ </w:t>
      </w:r>
      <w:r w:rsidRPr="000E2CD8">
        <w:rPr>
          <w:rFonts w:ascii="Times New Roman" w:eastAsia="Arial Unicode MS" w:hAnsi="Times New Roman"/>
          <w:lang w:eastAsia="cs-CZ"/>
        </w:rPr>
        <w:t xml:space="preserve">na propagačních materiálech, dále viditelným umístěním loga na pódiu (případně v rámci videoprojekce) a při distribuci propagačních materiálů projektu (logo a informace o projektu lze získat na </w:t>
      </w:r>
      <w:hyperlink r:id="rId12" w:history="1">
        <w:r w:rsidRPr="000E2CD8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hyperlink r:id="rId13" w:history="1">
        <w:r w:rsidRPr="000E2CD8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. Propagaci poskytovatele je příjemce povinen doložit při závěrečném </w:t>
      </w:r>
      <w:r w:rsidR="008F4CA7" w:rsidRPr="000E2CD8">
        <w:rPr>
          <w:rFonts w:ascii="Times New Roman" w:eastAsia="Arial Unicode MS" w:hAnsi="Times New Roman"/>
          <w:lang w:eastAsia="cs-CZ"/>
        </w:rPr>
        <w:t>finančním vypořádání</w:t>
      </w:r>
      <w:r w:rsidRPr="000E2CD8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0E2CD8">
        <w:rPr>
          <w:rFonts w:ascii="Times New Roman" w:eastAsia="Arial Unicode MS" w:hAnsi="Times New Roman"/>
          <w:lang w:eastAsia="cs-CZ"/>
        </w:rPr>
        <w:t>)</w:t>
      </w:r>
      <w:r w:rsidRPr="000E2CD8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na propagačních materiálech (pravidla pro užití loga poskytovatele viz </w:t>
      </w:r>
      <w:hyperlink r:id="rId14" w:history="1">
        <w:r w:rsidRPr="000E2CD8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0E2CD8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viz </w:t>
      </w:r>
      <w:hyperlink r:id="rId15" w:history="1">
        <w:r w:rsidRPr="000E2CD8">
          <w:rPr>
            <w:rFonts w:ascii="Times New Roman" w:eastAsia="Arial Unicode MS" w:hAnsi="Times New Roman"/>
            <w:lang w:eastAsia="cs-CZ"/>
          </w:rPr>
          <w:t>www.zivykraj.cz</w:t>
        </w:r>
      </w:hyperlink>
      <w:r w:rsidR="003A2D4C">
        <w:rPr>
          <w:rFonts w:ascii="Times New Roman" w:eastAsia="Arial Unicode MS" w:hAnsi="Times New Roman"/>
          <w:lang w:eastAsia="cs-CZ"/>
        </w:rPr>
        <w:t>,</w:t>
      </w:r>
      <w:r w:rsidRPr="000E2CD8">
        <w:rPr>
          <w:rFonts w:ascii="Times New Roman" w:eastAsia="Arial Unicode MS" w:hAnsi="Times New Roman"/>
          <w:lang w:eastAsia="cs-CZ"/>
        </w:rPr>
        <w:t xml:space="preserve"> záložka Tourism professionals.“</w:t>
      </w:r>
    </w:p>
    <w:p w14:paraId="2BCFEF4E" w14:textId="77777777" w:rsidR="003A2D4C" w:rsidRDefault="003A2D4C" w:rsidP="003A2D4C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176414E" w14:textId="35C2805E" w:rsidR="00C3299B" w:rsidRDefault="00EA39C9" w:rsidP="003A2D4C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3A2D4C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3A2D4C">
        <w:rPr>
          <w:rFonts w:ascii="Times New Roman" w:eastAsia="Arial Unicode MS" w:hAnsi="Times New Roman"/>
          <w:lang w:eastAsia="cs-CZ"/>
        </w:rPr>
        <w:t>finančního vypořádání</w:t>
      </w:r>
      <w:r w:rsidRPr="003A2D4C">
        <w:rPr>
          <w:rFonts w:ascii="Times New Roman" w:eastAsia="Arial Unicode MS" w:hAnsi="Times New Roman"/>
          <w:lang w:eastAsia="cs-CZ"/>
        </w:rPr>
        <w:t xml:space="preserve"> do</w:t>
      </w:r>
      <w:r w:rsidR="006B657C" w:rsidRPr="003A2D4C">
        <w:rPr>
          <w:rFonts w:ascii="Times New Roman" w:eastAsia="Arial Unicode MS" w:hAnsi="Times New Roman"/>
          <w:lang w:eastAsia="cs-CZ"/>
        </w:rPr>
        <w:t xml:space="preserve">tace uvedeného v čl. IV. odst. </w:t>
      </w:r>
      <w:r w:rsidR="00480E3D">
        <w:rPr>
          <w:rFonts w:ascii="Times New Roman" w:eastAsia="Arial Unicode MS" w:hAnsi="Times New Roman"/>
          <w:lang w:eastAsia="cs-CZ"/>
        </w:rPr>
        <w:t>6</w:t>
      </w:r>
      <w:r w:rsidRPr="003A2D4C">
        <w:rPr>
          <w:rFonts w:ascii="Times New Roman" w:eastAsia="Arial Unicode MS" w:hAnsi="Times New Roman"/>
          <w:lang w:eastAsia="cs-CZ"/>
        </w:rPr>
        <w:t xml:space="preserve">, a to formou bezhotovostního převodu na účet poskytovatele </w:t>
      </w:r>
      <w:r w:rsidR="008F4CA7" w:rsidRPr="003A2D4C">
        <w:rPr>
          <w:rFonts w:ascii="Times New Roman" w:eastAsia="Arial Unicode MS" w:hAnsi="Times New Roman"/>
          <w:lang w:eastAsia="cs-CZ"/>
        </w:rPr>
        <w:t>uvedený výše</w:t>
      </w:r>
      <w:r w:rsidR="00F37336" w:rsidRPr="003A2D4C">
        <w:rPr>
          <w:rFonts w:ascii="Times New Roman" w:eastAsia="Arial Unicode MS" w:hAnsi="Times New Roman"/>
          <w:lang w:eastAsia="cs-CZ"/>
        </w:rPr>
        <w:t>. Platba bude opatřena variabilním symbolem</w:t>
      </w:r>
      <w:r w:rsidR="00985B02" w:rsidRPr="003A2D4C">
        <w:rPr>
          <w:rFonts w:ascii="Times New Roman" w:eastAsia="Arial Unicode MS" w:hAnsi="Times New Roman"/>
          <w:lang w:eastAsia="cs-CZ"/>
        </w:rPr>
        <w:t xml:space="preserve"> uvedeným v odst. 2 čl. II</w:t>
      </w:r>
      <w:r w:rsidR="00F37336" w:rsidRPr="003A2D4C">
        <w:rPr>
          <w:rFonts w:ascii="Times New Roman" w:eastAsia="Arial Unicode MS" w:hAnsi="Times New Roman"/>
          <w:lang w:eastAsia="cs-CZ"/>
        </w:rPr>
        <w:t>.</w:t>
      </w:r>
    </w:p>
    <w:p w14:paraId="65D541FD" w14:textId="698116E3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3E88C96A" w14:textId="72BB9719" w:rsidR="00C3299B" w:rsidRDefault="00EA39C9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Příjemce je rovněž povinen vrátit poskytnuté finanční prostředky na účet uvedený v odst. </w:t>
      </w:r>
      <w:r w:rsidR="00921426" w:rsidRPr="001622BD">
        <w:rPr>
          <w:rFonts w:ascii="Times New Roman" w:eastAsia="Arial Unicode MS" w:hAnsi="Times New Roman"/>
          <w:color w:val="000000" w:themeColor="text1"/>
          <w:lang w:eastAsia="cs-CZ"/>
        </w:rPr>
        <w:t>10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tohoto</w:t>
      </w:r>
      <w:r w:rsidR="0096502F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článku, jestliže odpadne účel, na který je dotace poskytována, a to do </w:t>
      </w:r>
      <w:r w:rsidR="00C921F1" w:rsidRPr="001622BD">
        <w:rPr>
          <w:rFonts w:ascii="Times New Roman" w:eastAsia="Arial Unicode MS" w:hAnsi="Times New Roman"/>
          <w:color w:val="000000" w:themeColor="text1"/>
          <w:lang w:eastAsia="cs-CZ"/>
        </w:rPr>
        <w:t>15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985B02" w:rsidRPr="001622BD">
        <w:rPr>
          <w:rFonts w:ascii="Times New Roman" w:eastAsia="Arial Unicode MS" w:hAnsi="Times New Roman"/>
          <w:color w:val="000000" w:themeColor="text1"/>
          <w:lang w:eastAsia="cs-CZ"/>
        </w:rPr>
        <w:t>pracovních</w:t>
      </w:r>
      <w:r w:rsidR="00F37336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dnů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ode</w:t>
      </w:r>
      <w:r w:rsidR="0096502F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dne, kdy</w:t>
      </w:r>
      <w:r w:rsidR="00B7459B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se</w:t>
      </w:r>
      <w:r w:rsidR="00B7459B" w:rsidRPr="001622BD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1622BD">
        <w:rPr>
          <w:rFonts w:ascii="Times New Roman" w:eastAsia="Arial Unicode MS" w:hAnsi="Times New Roman"/>
          <w:color w:val="000000" w:themeColor="text1"/>
          <w:lang w:eastAsia="cs-CZ"/>
        </w:rPr>
        <w:t>příjemce o této skutečnosti dozví</w:t>
      </w:r>
      <w:r w:rsidR="0014413C" w:rsidRPr="001622BD">
        <w:rPr>
          <w:rFonts w:ascii="Times New Roman" w:eastAsia="Arial Unicode MS" w:hAnsi="Times New Roman"/>
          <w:color w:val="000000" w:themeColor="text1"/>
          <w:lang w:eastAsia="cs-CZ"/>
        </w:rPr>
        <w:t>.</w:t>
      </w:r>
      <w:r w:rsidR="00360E6D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Platba bude opatřena variabilním symbolem</w:t>
      </w:r>
      <w:r w:rsidR="006B2605" w:rsidRPr="001622BD">
        <w:rPr>
          <w:rFonts w:ascii="Times New Roman" w:eastAsia="Arial Unicode MS" w:hAnsi="Times New Roman"/>
          <w:color w:val="000000" w:themeColor="text1"/>
          <w:lang w:eastAsia="cs-CZ"/>
        </w:rPr>
        <w:t xml:space="preserve"> uvedeným v odst. 2 čl. II</w:t>
      </w:r>
      <w:r w:rsidR="00360E6D" w:rsidRPr="001622BD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21A08A67" w14:textId="30DB719C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366B935C" w14:textId="77777777" w:rsidR="00C3299B" w:rsidRDefault="008F4CA7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Před vrácením nevyčerpaných finančních prostředků zpět na účet poskytovatele je příjemce o</w:t>
      </w:r>
      <w:r w:rsidR="0096502F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této</w:t>
      </w:r>
      <w:r w:rsidR="0096502F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skutečnosti povinen informovat </w:t>
      </w:r>
      <w:r w:rsidR="00543233" w:rsidRPr="00C3299B">
        <w:rPr>
          <w:rFonts w:ascii="Times New Roman" w:eastAsia="Arial Unicode MS" w:hAnsi="Times New Roman"/>
          <w:color w:val="000000" w:themeColor="text1"/>
          <w:lang w:eastAsia="cs-CZ"/>
        </w:rPr>
        <w:t>administrující odbor</w:t>
      </w:r>
      <w:r w:rsidRPr="00C3299B">
        <w:rPr>
          <w:rFonts w:ascii="Times New Roman" w:eastAsia="Arial Unicode MS" w:hAnsi="Times New Roman"/>
          <w:i/>
          <w:color w:val="000000" w:themeColor="text1"/>
          <w:lang w:eastAsia="cs-CZ"/>
        </w:rPr>
        <w:t xml:space="preserve"> 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prostřednictvím avíza, které je přílohou formuláře finanční vypořádání dotace.</w:t>
      </w:r>
    </w:p>
    <w:p w14:paraId="311E9438" w14:textId="77777777" w:rsid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7916FB10" w14:textId="158F2F6C" w:rsidR="00C3299B" w:rsidRDefault="0014413C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lastRenderedPageBreak/>
        <w:t>Příjemce je povinen průběžně informovat poskytovatele o všech změnách, které by mohly při</w:t>
      </w:r>
      <w:r w:rsidR="00B7459B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vymáhání zadržených nebo neoprávněně použitých prostředků dotace zhoršit jeho pozici věřitele nebo dobytnost jeho pohledávky.</w:t>
      </w:r>
    </w:p>
    <w:p w14:paraId="311AFDBB" w14:textId="2AF3E50B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3EC0E446" w14:textId="35BDC56E" w:rsidR="00C3299B" w:rsidRDefault="00C656E9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Příjemce je zejména povinen oznámit poskytovateli do </w:t>
      </w:r>
      <w:r w:rsidR="00C921F1" w:rsidRPr="00C3299B">
        <w:rPr>
          <w:rFonts w:ascii="Times New Roman" w:eastAsia="Arial Unicode MS" w:hAnsi="Times New Roman"/>
          <w:color w:val="000000" w:themeColor="text1"/>
          <w:lang w:eastAsia="cs-CZ"/>
        </w:rPr>
        <w:t>15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pracovních dnů ode dne, kdy došlo k zahájení insolvenčního řízení, </w:t>
      </w:r>
      <w:r w:rsidR="00280C54" w:rsidRPr="00C3299B">
        <w:rPr>
          <w:rFonts w:ascii="Times New Roman" w:eastAsia="Arial Unicode MS" w:hAnsi="Times New Roman"/>
          <w:color w:val="000000" w:themeColor="text1"/>
          <w:lang w:eastAsia="cs-CZ"/>
        </w:rPr>
        <w:t>nebo ke změně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vlastnického vztahu příjemce k věci, na niž se dotace poskytuje, apod.</w:t>
      </w:r>
    </w:p>
    <w:p w14:paraId="4C4BCF59" w14:textId="0889A205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28D9B715" w14:textId="483EAD61" w:rsidR="00C3299B" w:rsidRDefault="000C0D16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V případě zahájení insolvenčního řízení nebo v případě změny vlastnického vztahu příjemce k věci, na níž se dotace poskytuje, je p</w:t>
      </w:r>
      <w:r w:rsidR="00C656E9" w:rsidRPr="00C3299B">
        <w:rPr>
          <w:rFonts w:ascii="Times New Roman" w:eastAsia="Arial Unicode MS" w:hAnsi="Times New Roman"/>
          <w:color w:val="000000" w:themeColor="text1"/>
          <w:lang w:eastAsia="cs-CZ"/>
        </w:rPr>
        <w:t>říjemce je povinen podat návrh na ukončení smlouvy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do </w:t>
      </w:r>
      <w:r w:rsidR="00C921F1" w:rsidRPr="00C3299B">
        <w:rPr>
          <w:rFonts w:ascii="Times New Roman" w:eastAsia="Arial Unicode MS" w:hAnsi="Times New Roman"/>
          <w:color w:val="000000" w:themeColor="text1"/>
          <w:lang w:eastAsia="cs-CZ"/>
        </w:rPr>
        <w:t>15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pracovních dnů, kdy došlo k zahájení insolvenčního řízení</w:t>
      </w:r>
      <w:r w:rsidR="0092610B"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nebo změna vlastnického vztahu k věci, na níže se dotace poskytuje</w:t>
      </w:r>
      <w:r w:rsidR="00C656E9"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. </w:t>
      </w:r>
      <w:r w:rsidR="00280C54" w:rsidRPr="00C3299B">
        <w:rPr>
          <w:rFonts w:ascii="Times New Roman" w:eastAsia="Arial Unicode MS" w:hAnsi="Times New Roman"/>
          <w:color w:val="000000" w:themeColor="text1"/>
          <w:lang w:eastAsia="cs-CZ"/>
        </w:rPr>
        <w:t>Příjemce</w:t>
      </w:r>
      <w:r w:rsidR="00C656E9"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provede finanční vypořádání poskytnuté dotace obdobně dle odst. 7 článku IV. smlouvy, a to ke dni </w:t>
      </w:r>
      <w:r w:rsidR="00280C54" w:rsidRPr="00C3299B">
        <w:rPr>
          <w:rFonts w:ascii="Times New Roman" w:eastAsia="Arial Unicode MS" w:hAnsi="Times New Roman"/>
          <w:color w:val="000000" w:themeColor="text1"/>
          <w:lang w:eastAsia="cs-CZ"/>
        </w:rPr>
        <w:t>zahájení insolvenčního řízení nebo změně vlastnického vztahu k věci, na niž se dotace poskytuje</w:t>
      </w:r>
      <w:r w:rsidR="00C656E9" w:rsidRPr="00C3299B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278E39FB" w14:textId="3AA9253A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E6DFF3D" w14:textId="36D2FBC8" w:rsidR="00C3299B" w:rsidRDefault="0014413C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Je-li příjemce veřejným zadavatelem nebo splní příjemce definici zadavatele podle zákona č.</w:t>
      </w:r>
      <w:r w:rsidR="00B7459B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="00921426" w:rsidRPr="00C3299B">
        <w:rPr>
          <w:rFonts w:ascii="Times New Roman" w:eastAsia="Arial Unicode MS" w:hAnsi="Times New Roman"/>
          <w:color w:val="000000" w:themeColor="text1"/>
          <w:lang w:eastAsia="cs-CZ"/>
        </w:rPr>
        <w:t>134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/</w:t>
      </w:r>
      <w:r w:rsidR="00921426" w:rsidRPr="00C3299B">
        <w:rPr>
          <w:rFonts w:ascii="Times New Roman" w:eastAsia="Arial Unicode MS" w:hAnsi="Times New Roman"/>
          <w:color w:val="000000" w:themeColor="text1"/>
          <w:lang w:eastAsia="cs-CZ"/>
        </w:rPr>
        <w:t>2016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Sb., o </w:t>
      </w:r>
      <w:r w:rsidR="004D7C7B" w:rsidRPr="00C3299B">
        <w:rPr>
          <w:rFonts w:ascii="Times New Roman" w:eastAsia="Arial Unicode MS" w:hAnsi="Times New Roman"/>
          <w:color w:val="000000" w:themeColor="text1"/>
          <w:lang w:eastAsia="cs-CZ"/>
        </w:rPr>
        <w:t>zadávání veřejných zakázek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, ve znění pozdějších předpisů, je povinen postupovat při výběru dodavatele podle tohoto zákona.</w:t>
      </w:r>
    </w:p>
    <w:p w14:paraId="5711F8CD" w14:textId="32DC5863" w:rsidR="00C3299B" w:rsidRPr="00C3299B" w:rsidRDefault="00C3299B" w:rsidP="00C3299B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1E9D9EC" w14:textId="08A14D1E" w:rsidR="00C3299B" w:rsidRPr="00C3299B" w:rsidRDefault="005672DF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hAnsi="Times New Roman"/>
          <w:color w:val="000000" w:themeColor="text1"/>
        </w:rPr>
        <w:t xml:space="preserve">Je-li příjemce plátcem daně z přidané hodnoty, a pokud má u zdanitelných plnění přijatých v souvislosti s financováním </w:t>
      </w:r>
      <w:r w:rsidR="002415E5" w:rsidRPr="00C3299B">
        <w:rPr>
          <w:rFonts w:ascii="Times New Roman" w:hAnsi="Times New Roman"/>
          <w:color w:val="000000" w:themeColor="text1"/>
        </w:rPr>
        <w:t>daného projektu</w:t>
      </w:r>
      <w:r w:rsidRPr="00C3299B">
        <w:rPr>
          <w:rFonts w:ascii="Times New Roman" w:hAnsi="Times New Roman"/>
          <w:color w:val="000000" w:themeColor="text1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C3299B">
        <w:rPr>
          <w:rFonts w:ascii="Times New Roman" w:hAnsi="Times New Roman"/>
          <w:color w:val="000000" w:themeColor="text1"/>
        </w:rPr>
        <w:t>/náklad</w:t>
      </w:r>
      <w:r w:rsidR="001F7C4F" w:rsidRPr="00C3299B">
        <w:rPr>
          <w:rFonts w:ascii="Times New Roman" w:hAnsi="Times New Roman"/>
          <w:color w:val="000000" w:themeColor="text1"/>
        </w:rPr>
        <w:t>.</w:t>
      </w:r>
    </w:p>
    <w:p w14:paraId="2F183B43" w14:textId="16F989C8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08C1E193" w14:textId="490CBE3D" w:rsidR="0014413C" w:rsidRPr="00C3299B" w:rsidRDefault="00360E6D" w:rsidP="00C3299B">
      <w:pPr>
        <w:numPr>
          <w:ilvl w:val="0"/>
          <w:numId w:val="3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Příjemce je povinen hradit </w:t>
      </w:r>
      <w:r w:rsidR="00F831AF" w:rsidRPr="00C3299B">
        <w:rPr>
          <w:rFonts w:ascii="Times New Roman" w:eastAsia="Arial Unicode MS" w:hAnsi="Times New Roman"/>
          <w:color w:val="000000" w:themeColor="text1"/>
          <w:lang w:eastAsia="cs-CZ"/>
        </w:rPr>
        <w:t>výdaje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, které uplatňuje z dotace, </w:t>
      </w:r>
      <w:r w:rsidR="0092610B" w:rsidRPr="00C3299B">
        <w:rPr>
          <w:rFonts w:ascii="Times New Roman" w:eastAsia="Arial Unicode MS" w:hAnsi="Times New Roman"/>
          <w:color w:val="000000" w:themeColor="text1"/>
          <w:lang w:eastAsia="cs-CZ"/>
        </w:rPr>
        <w:t>výhradně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z bankovního účtu příjemce,  popř. z peněžní hotovosti příjemce. Úhrada </w:t>
      </w:r>
      <w:r w:rsidR="00F831AF" w:rsidRPr="00C3299B">
        <w:rPr>
          <w:rFonts w:ascii="Times New Roman" w:eastAsia="Arial Unicode MS" w:hAnsi="Times New Roman"/>
          <w:color w:val="000000" w:themeColor="text1"/>
          <w:lang w:eastAsia="cs-CZ"/>
        </w:rPr>
        <w:t>výdajů</w:t>
      </w:r>
      <w:r w:rsidR="00280C54"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z jiného bankovního účtu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příjemce je přípustná pouze v</w:t>
      </w:r>
      <w:r w:rsidR="00BD0939" w:rsidRPr="00C3299B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případě</w:t>
      </w:r>
      <w:r w:rsidR="00BD0939" w:rsidRPr="00C3299B">
        <w:rPr>
          <w:rFonts w:ascii="Times New Roman" w:eastAsia="Arial Unicode MS" w:hAnsi="Times New Roman"/>
          <w:color w:val="000000" w:themeColor="text1"/>
          <w:lang w:eastAsia="cs-CZ"/>
        </w:rPr>
        <w:t xml:space="preserve"> doložení vlastnictví bankovního účtu příjemcem</w:t>
      </w: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.</w:t>
      </w:r>
    </w:p>
    <w:p w14:paraId="519FB887" w14:textId="0B75CC44" w:rsidR="00360E6D" w:rsidRPr="001622BD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0F77C3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01657CEA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1EDC3B6F" w:rsidR="0014413C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Příslušné orgány poskytovatele jsou oprávněny zejména v souladu se zákonem č. 320/2001 Sb., o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>finanční kontrole ve veřejné správě a o změně některých zákonů (zákon o finanční kontrole), ve</w:t>
      </w:r>
      <w:r w:rsidR="006B2605" w:rsidRPr="0096502F">
        <w:rPr>
          <w:rFonts w:ascii="Times New Roman" w:hAnsi="Times New Roman"/>
        </w:rPr>
        <w:t> </w:t>
      </w:r>
      <w:r w:rsidRPr="0096502F">
        <w:rPr>
          <w:rFonts w:ascii="Times New Roman" w:hAnsi="Times New Roman"/>
        </w:rPr>
        <w:t xml:space="preserve">znění pozdějších předpisů, </w:t>
      </w:r>
      <w:r w:rsidRPr="0096502F">
        <w:rPr>
          <w:rFonts w:ascii="Times New Roman" w:hAnsi="Times New Roman"/>
          <w:bCs/>
          <w:iCs/>
        </w:rPr>
        <w:t>a v souladu se zákonem č. 255/2012 Sb., o kontrole (kontrolní řád),</w:t>
      </w:r>
      <w:r w:rsidR="00B34A40">
        <w:rPr>
          <w:rFonts w:ascii="Times New Roman" w:hAnsi="Times New Roman"/>
          <w:bCs/>
          <w:iCs/>
        </w:rPr>
        <w:t xml:space="preserve"> ve znění pozdějších předpisů </w:t>
      </w:r>
      <w:r w:rsidRPr="0096502F">
        <w:rPr>
          <w:rFonts w:ascii="Times New Roman" w:hAnsi="Times New Roman"/>
          <w:bCs/>
          <w:iCs/>
        </w:rPr>
        <w:t>a</w:t>
      </w:r>
      <w:r w:rsidR="00B34A40">
        <w:rPr>
          <w:rFonts w:ascii="Times New Roman" w:hAnsi="Times New Roman"/>
          <w:bCs/>
          <w:iCs/>
        </w:rPr>
        <w:t xml:space="preserve"> </w:t>
      </w:r>
      <w:r w:rsidRPr="0096502F">
        <w:rPr>
          <w:rFonts w:ascii="Times New Roman" w:hAnsi="Times New Roman"/>
          <w:bCs/>
          <w:iCs/>
        </w:rPr>
        <w:t>dalšími platnými právními předpisy</w:t>
      </w:r>
      <w:r w:rsidRPr="0096502F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96502F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96502F" w:rsidRDefault="00871172" w:rsidP="00AB391B">
      <w:pPr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539B588" w14:textId="0C83F26C" w:rsidR="00871172" w:rsidRPr="0096502F" w:rsidRDefault="00871172" w:rsidP="00AB391B">
      <w:pPr>
        <w:pStyle w:val="Odstavecseseznamem"/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/>
          <w:bCs/>
        </w:rPr>
      </w:pPr>
      <w:r w:rsidRPr="0096502F">
        <w:rPr>
          <w:rFonts w:ascii="Times New Roman" w:hAnsi="Times New Roman"/>
          <w:bCs/>
        </w:rPr>
        <w:t>Příjemce je povinen v průběhu trvání smlouvy, i po skončení účinnosti smlouvy, vytvářet podmínky k provádění kontroly a umožnit kontrolu čerpání a využití dotace. V této souvislosti je příjemce povinen zejména umožnit kontrolním orgánům nahlédnout do účetní evidence a záznamů o</w:t>
      </w:r>
      <w:r w:rsidR="006B2605" w:rsidRPr="0096502F">
        <w:rPr>
          <w:rFonts w:ascii="Times New Roman" w:hAnsi="Times New Roman"/>
          <w:bCs/>
        </w:rPr>
        <w:t> </w:t>
      </w:r>
      <w:r w:rsidRPr="0096502F">
        <w:rPr>
          <w:rFonts w:ascii="Times New Roman" w:hAnsi="Times New Roman"/>
          <w:bCs/>
        </w:rPr>
        <w:t>poskytované službě, v případě, že je povinen účetní evidenci vést, popř. vstupovat do souvisejících prostor. Příjemce je povinen umožnit výkon kontroly dle odst. 1 tohoto článku, poskytnout potřebnou součinnost všem osobám oprávněným k provádění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</w:t>
      </w:r>
      <w:r w:rsidR="00280C54">
        <w:rPr>
          <w:rFonts w:ascii="Times New Roman" w:hAnsi="Times New Roman"/>
          <w:bCs/>
        </w:rPr>
        <w:t>í originálních účetních záznamů</w:t>
      </w:r>
      <w:r w:rsidRPr="0096502F">
        <w:rPr>
          <w:rFonts w:ascii="Times New Roman" w:hAnsi="Times New Roman"/>
          <w:bCs/>
        </w:rPr>
        <w:t xml:space="preserve"> vč. podkladů.</w:t>
      </w:r>
    </w:p>
    <w:p w14:paraId="1A6786C2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96502F" w:rsidRDefault="00993A70" w:rsidP="00AB391B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96502F" w:rsidRDefault="00993A70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</w:p>
    <w:p w14:paraId="5B2AE707" w14:textId="155C1560" w:rsidR="00D52B09" w:rsidRDefault="00993A70" w:rsidP="00D52B09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lastRenderedPageBreak/>
        <w:t xml:space="preserve"> 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a předložit kontrolním orgánům poskytovatele k nahlédnutí </w:t>
      </w:r>
      <w:r w:rsidR="004A1309" w:rsidRPr="0096502F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96502F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96502F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96502F">
        <w:rPr>
          <w:rFonts w:ascii="Times New Roman" w:eastAsia="Times New Roman" w:hAnsi="Times New Roman"/>
          <w:bCs/>
          <w:lang w:eastAsia="cs-CZ"/>
        </w:rPr>
        <w:t>.</w:t>
      </w:r>
    </w:p>
    <w:p w14:paraId="367CDDC7" w14:textId="660A8E02" w:rsidR="00832BCA" w:rsidRDefault="00832BCA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14:paraId="7B359464" w14:textId="7D6F6B86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3DDB5D7F" w:rsidR="0014413C" w:rsidRPr="0096502F" w:rsidRDefault="006979A3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96502F">
        <w:rPr>
          <w:rFonts w:ascii="Times New Roman" w:eastAsia="Times New Roman" w:hAnsi="Times New Roman"/>
          <w:lang w:eastAsia="cs-CZ"/>
        </w:rPr>
        <w:t xml:space="preserve">odst. </w:t>
      </w:r>
      <w:r w:rsidR="00B34A40">
        <w:rPr>
          <w:rFonts w:ascii="Times New Roman" w:eastAsia="Times New Roman" w:hAnsi="Times New Roman"/>
          <w:lang w:eastAsia="cs-CZ"/>
        </w:rPr>
        <w:t xml:space="preserve">3, 4, </w:t>
      </w:r>
      <w:r w:rsidRPr="0096502F">
        <w:rPr>
          <w:rFonts w:ascii="Times New Roman" w:eastAsia="Times New Roman" w:hAnsi="Times New Roman"/>
          <w:lang w:eastAsia="cs-CZ"/>
        </w:rPr>
        <w:t xml:space="preserve">8, 9, </w:t>
      </w:r>
      <w:r w:rsidR="003F2BD5" w:rsidRPr="0096502F">
        <w:rPr>
          <w:rFonts w:ascii="Times New Roman" w:eastAsia="Times New Roman" w:hAnsi="Times New Roman"/>
          <w:lang w:eastAsia="cs-CZ"/>
        </w:rPr>
        <w:t>12, 13, 14</w:t>
      </w:r>
      <w:r w:rsidR="00B34A40">
        <w:rPr>
          <w:rFonts w:ascii="Times New Roman" w:eastAsia="Times New Roman" w:hAnsi="Times New Roman"/>
          <w:lang w:eastAsia="cs-CZ"/>
        </w:rPr>
        <w:t>, 15, 18</w:t>
      </w:r>
      <w:r w:rsidRPr="0096502F">
        <w:rPr>
          <w:rFonts w:ascii="Times New Roman" w:eastAsia="Times New Roman" w:hAnsi="Times New Roman"/>
          <w:lang w:eastAsia="cs-CZ"/>
        </w:rPr>
        <w:t xml:space="preserve"> </w:t>
      </w:r>
      <w:r w:rsidR="0014413C" w:rsidRPr="0096502F">
        <w:rPr>
          <w:rFonts w:ascii="Times New Roman" w:eastAsia="Times New Roman" w:hAnsi="Times New Roman"/>
          <w:lang w:eastAsia="cs-CZ"/>
        </w:rPr>
        <w:t>čl.</w:t>
      </w:r>
      <w:r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IV.</w:t>
      </w:r>
      <w:r w:rsidR="003211B2"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A4C6713" w14:textId="290F1533" w:rsidR="0014413C" w:rsidRPr="0096502F" w:rsidRDefault="001F7C4F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1, </w:t>
      </w:r>
      <w:r w:rsidR="00B34A40">
        <w:rPr>
          <w:rFonts w:ascii="Times New Roman" w:eastAsia="Times New Roman" w:hAnsi="Times New Roman"/>
          <w:lang w:eastAsia="cs-CZ"/>
        </w:rPr>
        <w:t>2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, </w:t>
      </w:r>
      <w:r w:rsidR="00111564">
        <w:rPr>
          <w:rFonts w:ascii="Times New Roman" w:eastAsia="Times New Roman" w:hAnsi="Times New Roman"/>
          <w:lang w:eastAsia="cs-CZ"/>
        </w:rPr>
        <w:t xml:space="preserve">5, </w:t>
      </w:r>
      <w:r w:rsidR="003F2BD5" w:rsidRPr="0096502F">
        <w:rPr>
          <w:rFonts w:ascii="Times New Roman" w:eastAsia="Times New Roman" w:hAnsi="Times New Roman"/>
          <w:lang w:eastAsia="cs-CZ"/>
        </w:rPr>
        <w:t>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 xml:space="preserve">7, </w:t>
      </w:r>
      <w:r w:rsidR="00B34A40">
        <w:rPr>
          <w:rFonts w:ascii="Times New Roman" w:eastAsia="Times New Roman" w:hAnsi="Times New Roman"/>
          <w:lang w:eastAsia="cs-CZ"/>
        </w:rPr>
        <w:t>16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96502F">
        <w:rPr>
          <w:rFonts w:ascii="Times New Roman" w:eastAsia="Times New Roman" w:hAnsi="Times New Roman"/>
          <w:lang w:eastAsia="cs-CZ"/>
        </w:rPr>
        <w:t>2</w:t>
      </w:r>
      <w:r w:rsidR="0014413C" w:rsidRPr="0096502F">
        <w:rPr>
          <w:rFonts w:ascii="Times New Roman" w:eastAsia="Times New Roman" w:hAnsi="Times New Roman"/>
          <w:lang w:eastAsia="cs-CZ"/>
        </w:rPr>
        <w:t>, popř. použije poskytnuté prostředky</w:t>
      </w:r>
      <w:r w:rsidRPr="0096502F">
        <w:rPr>
          <w:rFonts w:ascii="Times New Roman" w:eastAsia="Times New Roman" w:hAnsi="Times New Roman"/>
          <w:lang w:eastAsia="cs-CZ"/>
        </w:rPr>
        <w:t xml:space="preserve">, </w:t>
      </w:r>
      <w:r w:rsidR="0014413C" w:rsidRPr="0096502F">
        <w:rPr>
          <w:rFonts w:ascii="Times New Roman" w:eastAsia="Times New Roman" w:hAnsi="Times New Roman"/>
          <w:lang w:eastAsia="cs-CZ"/>
        </w:rPr>
        <w:t>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tyto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prostředky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96502F">
        <w:rPr>
          <w:rFonts w:ascii="Times New Roman" w:eastAsia="Times New Roman" w:hAnsi="Times New Roman"/>
          <w:lang w:eastAsia="cs-CZ"/>
        </w:rPr>
        <w:t>,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14C4FF18" w14:textId="4E350C00" w:rsidR="0014413C" w:rsidRPr="0096502F" w:rsidRDefault="000D0A0A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V případě, že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96502F">
        <w:rPr>
          <w:rFonts w:ascii="Times New Roman" w:eastAsia="Times New Roman" w:hAnsi="Times New Roman"/>
          <w:lang w:eastAsia="cs-CZ"/>
        </w:rPr>
        <w:t>10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, </w:t>
      </w:r>
      <w:r w:rsidR="003F2BD5" w:rsidRPr="0096502F">
        <w:rPr>
          <w:rFonts w:ascii="Times New Roman" w:eastAsia="Times New Roman" w:hAnsi="Times New Roman"/>
          <w:lang w:eastAsia="cs-CZ"/>
        </w:rPr>
        <w:t>11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96502F">
        <w:rPr>
          <w:rFonts w:ascii="Times New Roman" w:eastAsia="Times New Roman" w:hAnsi="Times New Roman"/>
          <w:lang w:eastAsia="cs-CZ"/>
        </w:rPr>
        <w:t>RPÚR</w:t>
      </w:r>
      <w:r w:rsidR="0014413C" w:rsidRPr="0096502F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96502F">
        <w:rPr>
          <w:rFonts w:ascii="Times New Roman" w:eastAsia="Times New Roman" w:hAnsi="Times New Roman"/>
          <w:lang w:eastAsia="cs-CZ"/>
        </w:rPr>
        <w:t> </w:t>
      </w:r>
      <w:r w:rsidR="0014413C" w:rsidRPr="0096502F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47B06CC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5EC09A19" w14:textId="77F2EEDD" w:rsidR="0014413C" w:rsidRPr="0096502F" w:rsidRDefault="0014413C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96502F">
        <w:rPr>
          <w:rFonts w:ascii="Times New Roman" w:eastAsia="Arial Unicode MS" w:hAnsi="Times New Roman"/>
          <w:lang w:eastAsia="cs-CZ"/>
        </w:rPr>
        <w:t>uvedený výše a</w:t>
      </w:r>
      <w:r w:rsidR="009A27A4" w:rsidRPr="0096502F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96502F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33F56E66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588B027E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7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 w:rsidRPr="0096502F">
        <w:rPr>
          <w:rFonts w:ascii="Times New Roman" w:eastAsia="Times New Roman" w:hAnsi="Times New Roman"/>
          <w:bCs/>
          <w:lang w:eastAsia="cs-CZ"/>
        </w:rPr>
        <w:t>.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smlouvy, a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to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ke</w:t>
      </w:r>
      <w:r w:rsidR="00942534" w:rsidRPr="0096502F">
        <w:rPr>
          <w:rFonts w:ascii="Times New Roman" w:eastAsia="Times New Roman" w:hAnsi="Times New Roman"/>
          <w:bCs/>
          <w:lang w:eastAsia="cs-CZ"/>
        </w:rPr>
        <w:t> </w:t>
      </w:r>
      <w:r w:rsidRPr="0096502F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96502F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5ACBFD81" w14:textId="77777777" w:rsidR="00E3687A" w:rsidRDefault="00BE65AC" w:rsidP="00E368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0E49C91C" w14:textId="77777777" w:rsidR="00E3687A" w:rsidRDefault="00BE65AC" w:rsidP="00E3687A">
      <w:pPr>
        <w:pStyle w:val="Odstavecseseznamem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vědomí, že</w:t>
      </w:r>
      <w:r w:rsidR="00B34A40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0AF803B3" w14:textId="77777777" w:rsidR="00E3687A" w:rsidRDefault="00E3687A" w:rsidP="00E3687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32646703" w14:textId="27693A8D" w:rsidR="00BE65AC" w:rsidRPr="00E3687A" w:rsidRDefault="00BE65AC" w:rsidP="00E3687A">
      <w:pPr>
        <w:pStyle w:val="Odstavecseseznamem"/>
        <w:numPr>
          <w:ilvl w:val="0"/>
          <w:numId w:val="5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E3687A">
        <w:rPr>
          <w:rFonts w:ascii="Times New Roman" w:eastAsia="Times New Roman" w:hAnsi="Times New Roman"/>
          <w:lang w:eastAsia="cs-CZ"/>
        </w:rPr>
        <w:t>poskytovateli</w:t>
      </w:r>
      <w:r w:rsidRPr="00E3687A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A56375">
        <w:rPr>
          <w:lang w:eastAsia="cs-CZ"/>
        </w:rPr>
        <w:footnoteReference w:id="1"/>
      </w:r>
      <w:r w:rsidRPr="00E3687A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96502F">
        <w:rPr>
          <w:rFonts w:ascii="Times New Roman" w:eastAsia="Times New Roman" w:hAnsi="Times New Roman"/>
          <w:b/>
          <w:bCs/>
          <w:lang w:eastAsia="cs-CZ"/>
        </w:rPr>
        <w:t>IX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96502F" w:rsidRDefault="00406CC0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96502F" w:rsidRDefault="00406CC0" w:rsidP="0096502F">
      <w:p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2DD3562" w14:textId="54232CF0" w:rsidR="0014413C" w:rsidRPr="0096502F" w:rsidRDefault="0014413C" w:rsidP="0096502F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96502F">
        <w:rPr>
          <w:rFonts w:ascii="Times New Roman" w:eastAsia="Times New Roman" w:hAnsi="Times New Roman"/>
          <w:lang w:eastAsia="cs-CZ"/>
        </w:rPr>
        <w:t>administrující odbor</w:t>
      </w:r>
      <w:r w:rsidRPr="0096502F">
        <w:rPr>
          <w:rFonts w:ascii="Times New Roman" w:eastAsia="Times New Roman" w:hAnsi="Times New Roman"/>
          <w:lang w:eastAsia="cs-CZ"/>
        </w:rPr>
        <w:t xml:space="preserve"> o</w:t>
      </w:r>
      <w:r w:rsidR="000D0A0A" w:rsidRPr="0096502F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 této </w:t>
      </w:r>
      <w:r w:rsidRPr="0096502F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FC83946" w14:textId="55BCD792" w:rsidR="00E3687A" w:rsidRDefault="00280C54" w:rsidP="00E3687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vyhotovena ve </w:t>
      </w:r>
      <w:r w:rsidR="00E3687A" w:rsidRPr="00E3687A">
        <w:rPr>
          <w:rFonts w:ascii="Times New Roman" w:eastAsia="Times New Roman" w:hAnsi="Times New Roman"/>
          <w:color w:val="000000" w:themeColor="text1"/>
          <w:lang w:eastAsia="cs-CZ"/>
        </w:rPr>
        <w:t>4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vyhotoveních, z nichž </w:t>
      </w:r>
      <w:r w:rsidR="00E3687A" w:rsidRPr="00E3687A">
        <w:rPr>
          <w:rFonts w:ascii="Times New Roman" w:eastAsia="Times New Roman" w:hAnsi="Times New Roman"/>
          <w:color w:val="000000" w:themeColor="text1"/>
          <w:lang w:eastAsia="cs-CZ"/>
        </w:rPr>
        <w:t>3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48A6DF9E" w14:textId="782FC84E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DEAE443" w14:textId="7B86F9E2" w:rsidR="00431566" w:rsidRDefault="00280C54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S</w:t>
      </w:r>
      <w:r w:rsidR="00E73920" w:rsidRPr="00E3687A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58028B" w:rsidRPr="00E3687A">
        <w:rPr>
          <w:rFonts w:ascii="Times New Roman" w:eastAsia="Times New Roman" w:hAnsi="Times New Roman"/>
          <w:lang w:eastAsia="cs-CZ"/>
        </w:rPr>
        <w:t>.</w:t>
      </w:r>
      <w:r w:rsidR="00E73920" w:rsidRPr="00E3687A">
        <w:rPr>
          <w:rFonts w:ascii="Times New Roman" w:eastAsia="Times New Roman" w:hAnsi="Times New Roman"/>
          <w:lang w:eastAsia="cs-CZ"/>
        </w:rPr>
        <w:t xml:space="preserve"> </w:t>
      </w:r>
    </w:p>
    <w:p w14:paraId="042D3E8D" w14:textId="7C075B25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8126926" w14:textId="5284E048" w:rsidR="00431566" w:rsidRDefault="00280C54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S</w:t>
      </w:r>
      <w:r w:rsidR="00E73920" w:rsidRPr="00431566">
        <w:rPr>
          <w:rFonts w:ascii="Times New Roman" w:eastAsia="Times New Roman" w:hAnsi="Times New Roman"/>
          <w:lang w:eastAsia="cs-CZ"/>
        </w:rPr>
        <w:t>mlouva nabývá účinnos</w:t>
      </w:r>
      <w:r w:rsidR="0058028B" w:rsidRPr="00431566">
        <w:rPr>
          <w:rFonts w:ascii="Times New Roman" w:eastAsia="Times New Roman" w:hAnsi="Times New Roman"/>
          <w:lang w:eastAsia="cs-CZ"/>
        </w:rPr>
        <w:t>ti dnem podpisu smluvních stran.</w:t>
      </w:r>
    </w:p>
    <w:p w14:paraId="4E9CFF0D" w14:textId="1FE3B483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8A119DF" w14:textId="624B3F67" w:rsid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7BCC443B" w14:textId="0454B6D0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C98C556" w14:textId="7BF44452" w:rsidR="00942534" w:rsidRP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O poskytnutí dotace a uzavření veřejnoprávní smlouvy rozhodl</w:t>
      </w:r>
      <w:r w:rsidR="00047BDA">
        <w:rPr>
          <w:rFonts w:ascii="Times New Roman" w:eastAsia="Times New Roman" w:hAnsi="Times New Roman"/>
          <w:lang w:eastAsia="cs-CZ"/>
        </w:rPr>
        <w:t>o</w:t>
      </w:r>
      <w:r w:rsidRPr="00431566">
        <w:rPr>
          <w:rFonts w:ascii="Times New Roman" w:eastAsia="Times New Roman" w:hAnsi="Times New Roman"/>
          <w:lang w:eastAsia="cs-CZ"/>
        </w:rPr>
        <w:t xml:space="preserve"> v souladu s ustanovením § 59 odst. 2 písm. a) zákona č.</w:t>
      </w:r>
      <w:r w:rsidR="005672DF" w:rsidRPr="00431566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>129/2000 Sb., o krajích</w:t>
      </w:r>
      <w:r w:rsidR="004766E0" w:rsidRPr="00431566">
        <w:rPr>
          <w:rFonts w:ascii="Times New Roman" w:eastAsia="Times New Roman" w:hAnsi="Times New Roman"/>
          <w:lang w:eastAsia="cs-CZ"/>
        </w:rPr>
        <w:t xml:space="preserve"> (krajské zřízení)</w:t>
      </w:r>
      <w:r w:rsidRPr="00431566">
        <w:rPr>
          <w:rFonts w:ascii="Times New Roman" w:eastAsia="Times New Roman" w:hAnsi="Times New Roman"/>
          <w:lang w:eastAsia="cs-CZ"/>
        </w:rPr>
        <w:t xml:space="preserve">, ve znění pozdějších předpisů, </w:t>
      </w:r>
      <w:r w:rsidR="00047BDA">
        <w:rPr>
          <w:rFonts w:ascii="Times New Roman" w:eastAsia="Times New Roman" w:hAnsi="Times New Roman"/>
          <w:lang w:eastAsia="cs-CZ"/>
        </w:rPr>
        <w:t>Zastupitelstvo</w:t>
      </w:r>
      <w:r w:rsidRPr="00431566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047BDA">
        <w:rPr>
          <w:rFonts w:ascii="Times New Roman" w:eastAsia="Times New Roman" w:hAnsi="Times New Roman"/>
          <w:color w:val="000000" w:themeColor="text1"/>
          <w:lang w:eastAsia="cs-CZ"/>
        </w:rPr>
        <w:t>Z</w:t>
      </w:r>
      <w:r w:rsidR="004766E0" w:rsidRPr="00D52B09">
        <w:rPr>
          <w:rFonts w:ascii="Times New Roman" w:eastAsia="Times New Roman" w:hAnsi="Times New Roman"/>
          <w:color w:val="000000" w:themeColor="text1"/>
          <w:lang w:eastAsia="cs-CZ"/>
        </w:rPr>
        <w:t>K</w:t>
      </w:r>
      <w:r w:rsidR="004E50F0">
        <w:rPr>
          <w:rFonts w:ascii="Times New Roman" w:eastAsia="Times New Roman" w:hAnsi="Times New Roman"/>
          <w:color w:val="000000" w:themeColor="text1"/>
          <w:lang w:eastAsia="cs-CZ"/>
        </w:rPr>
        <w:t xml:space="preserve"> 322/12/20</w:t>
      </w:r>
      <w:bookmarkStart w:id="0" w:name="_GoBack"/>
      <w:bookmarkEnd w:id="0"/>
      <w:r w:rsidR="00D52B09" w:rsidRPr="00D52B09">
        <w:rPr>
          <w:rFonts w:ascii="Times New Roman" w:eastAsia="Times New Roman" w:hAnsi="Times New Roman"/>
          <w:color w:val="000000" w:themeColor="text1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 xml:space="preserve">ze </w:t>
      </w:r>
      <w:r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dne </w:t>
      </w:r>
      <w:r w:rsidR="00127A56">
        <w:rPr>
          <w:rFonts w:ascii="Times New Roman" w:eastAsia="Times New Roman" w:hAnsi="Times New Roman"/>
          <w:color w:val="000000" w:themeColor="text1"/>
          <w:lang w:eastAsia="cs-CZ"/>
        </w:rPr>
        <w:t>21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. </w:t>
      </w:r>
      <w:r w:rsidR="00127A56">
        <w:rPr>
          <w:rFonts w:ascii="Times New Roman" w:eastAsia="Times New Roman" w:hAnsi="Times New Roman"/>
          <w:color w:val="000000" w:themeColor="text1"/>
          <w:lang w:eastAsia="cs-CZ"/>
        </w:rPr>
        <w:t>12</w:t>
      </w:r>
      <w:r w:rsidR="00E3687A" w:rsidRPr="00431566">
        <w:rPr>
          <w:rFonts w:ascii="Times New Roman" w:eastAsia="Times New Roman" w:hAnsi="Times New Roman"/>
          <w:color w:val="000000" w:themeColor="text1"/>
          <w:lang w:eastAsia="cs-CZ"/>
        </w:rPr>
        <w:t>. 2020</w:t>
      </w:r>
      <w:r w:rsidRPr="00431566">
        <w:rPr>
          <w:rFonts w:ascii="Times New Roman" w:eastAsia="Times New Roman" w:hAnsi="Times New Roman"/>
          <w:lang w:eastAsia="cs-CZ"/>
        </w:rPr>
        <w:t>.</w:t>
      </w:r>
    </w:p>
    <w:p w14:paraId="2A5FDB38" w14:textId="2A0A4336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14:paraId="381E1660" w14:textId="77777777" w:rsidTr="00C656E9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4AD4050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16690A6" w14:textId="2D9BE718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6C80E91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29AF2B98" w14:textId="77777777" w:rsidR="00042AEF" w:rsidRDefault="00042AEF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3D373C79" w14:textId="7EA5620B" w:rsidR="00C52226" w:rsidRPr="00C52226" w:rsidRDefault="00042AEF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C52226"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2BEB1CAD" w14:textId="201CA885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C9B5EF9" w14:textId="0A9B0700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5F9747E7" w14:textId="77777777" w:rsidR="00C52226" w:rsidRPr="001622BD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..... ..... ..... ..... ..... .....</w:t>
            </w:r>
          </w:p>
          <w:p w14:paraId="5D5CB8CB" w14:textId="77777777" w:rsidR="002B2950" w:rsidRDefault="002B2950" w:rsidP="002B2950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Jaroslav Gabriel</w:t>
            </w:r>
          </w:p>
          <w:p w14:paraId="3FD060CB" w14:textId="14C17972" w:rsidR="00C52226" w:rsidRPr="0096502F" w:rsidRDefault="002B2950" w:rsidP="002B2950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 xml:space="preserve"> </w:t>
            </w:r>
            <w:r w:rsidR="00C52226"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(příjemce)</w:t>
            </w:r>
          </w:p>
        </w:tc>
      </w:tr>
    </w:tbl>
    <w:p w14:paraId="4CFE1F56" w14:textId="5C756114" w:rsidR="00E34A17" w:rsidRDefault="00E34A17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1E1A271E" w14:textId="215F1535" w:rsidR="002B2950" w:rsidRDefault="002B2950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57BD47E7" w14:textId="33137F54" w:rsidR="002B2950" w:rsidRDefault="002B2950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0E089169" w14:textId="31B80F2F" w:rsidR="00C43887" w:rsidRDefault="00C43887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7D2B3944" w14:textId="77777777" w:rsidR="00C43887" w:rsidRDefault="00C43887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03EF6022" w14:textId="27675CAF" w:rsidR="002B2950" w:rsidRDefault="002B2950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435B7945" w14:textId="27919410" w:rsidR="002B2950" w:rsidRDefault="002B2950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0E4B58CD" w14:textId="294DCEEE" w:rsidR="00AF0016" w:rsidRDefault="00AF0016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28971585" w14:textId="07E3252B" w:rsidR="00A46F0E" w:rsidRPr="00A46F0E" w:rsidRDefault="00A46F0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6B0DD28" w14:textId="02816CA3" w:rsidR="00A46F0E" w:rsidRDefault="00A46F0E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 w:rsidRPr="00A46F0E">
        <w:rPr>
          <w:rFonts w:ascii="Times New Roman" w:eastAsia="Times New Roman" w:hAnsi="Times New Roman"/>
          <w:lang w:eastAsia="cs-CZ"/>
        </w:rPr>
        <w:t>Za správnost:</w:t>
      </w:r>
    </w:p>
    <w:p w14:paraId="3A316216" w14:textId="2C5A59F4" w:rsidR="00A46F0E" w:rsidRDefault="00A46F0E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</w:p>
    <w:p w14:paraId="2139C135" w14:textId="37F866FB" w:rsidR="00A46F0E" w:rsidRDefault="00A46F0E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……………….</w:t>
      </w:r>
    </w:p>
    <w:p w14:paraId="4F938925" w14:textId="583E9ECF" w:rsidR="00A46F0E" w:rsidRPr="00A46F0E" w:rsidRDefault="00A46F0E" w:rsidP="00A9496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Bc. Zdeněk Hnízdil</w:t>
      </w:r>
    </w:p>
    <w:sectPr w:rsidR="00A46F0E" w:rsidRPr="00A46F0E" w:rsidSect="00357618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B1E1" w14:textId="77777777" w:rsidR="00A97803" w:rsidRDefault="00A97803" w:rsidP="00BE360F">
      <w:pPr>
        <w:spacing w:after="0" w:line="240" w:lineRule="auto"/>
      </w:pPr>
      <w:r>
        <w:separator/>
      </w:r>
    </w:p>
  </w:endnote>
  <w:endnote w:type="continuationSeparator" w:id="0">
    <w:p w14:paraId="680440DA" w14:textId="77777777" w:rsidR="00A97803" w:rsidRDefault="00A9780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095EBDDB" w:rsidR="00A97803" w:rsidRPr="00054236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4E50F0">
              <w:rPr>
                <w:rFonts w:ascii="Times New Roman" w:hAnsi="Times New Roman"/>
                <w:bCs/>
                <w:noProof/>
              </w:rPr>
              <w:t>6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7C7B3A">
              <w:rPr>
                <w:rFonts w:ascii="Times New Roman" w:hAnsi="Times New Roman"/>
              </w:rPr>
              <w:t>6</w:t>
            </w: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65B5E" w14:textId="77777777" w:rsidR="00A97803" w:rsidRDefault="00A97803" w:rsidP="00BE360F">
      <w:pPr>
        <w:spacing w:after="0" w:line="240" w:lineRule="auto"/>
      </w:pPr>
      <w:r>
        <w:separator/>
      </w:r>
    </w:p>
  </w:footnote>
  <w:footnote w:type="continuationSeparator" w:id="0">
    <w:p w14:paraId="7E005CAE" w14:textId="77777777" w:rsidR="00A97803" w:rsidRDefault="00A97803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88F"/>
    <w:multiLevelType w:val="hybridMultilevel"/>
    <w:tmpl w:val="06843AC6"/>
    <w:lvl w:ilvl="0" w:tplc="0D34FF8A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FE7097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00255"/>
    <w:multiLevelType w:val="hybridMultilevel"/>
    <w:tmpl w:val="FEE0A4D4"/>
    <w:lvl w:ilvl="0" w:tplc="A9025BFA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45CEB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70B8B"/>
    <w:multiLevelType w:val="hybridMultilevel"/>
    <w:tmpl w:val="03648236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8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403158"/>
    <w:multiLevelType w:val="hybridMultilevel"/>
    <w:tmpl w:val="F3A801A4"/>
    <w:lvl w:ilvl="0" w:tplc="69F209B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0EC5"/>
    <w:multiLevelType w:val="hybridMultilevel"/>
    <w:tmpl w:val="AD4E05AA"/>
    <w:lvl w:ilvl="0" w:tplc="2CECA3E6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B9F73C0"/>
    <w:multiLevelType w:val="hybridMultilevel"/>
    <w:tmpl w:val="961666B4"/>
    <w:lvl w:ilvl="0" w:tplc="1DD0FE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4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117DD"/>
    <w:multiLevelType w:val="hybridMultilevel"/>
    <w:tmpl w:val="7A0EEBF8"/>
    <w:lvl w:ilvl="0" w:tplc="1556F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D71A1"/>
    <w:multiLevelType w:val="hybridMultilevel"/>
    <w:tmpl w:val="FA088F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B491D"/>
    <w:multiLevelType w:val="hybridMultilevel"/>
    <w:tmpl w:val="41142A2C"/>
    <w:lvl w:ilvl="0" w:tplc="1CB827B4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9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5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6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8" w15:restartNumberingAfterBreak="0">
    <w:nsid w:val="604F7010"/>
    <w:multiLevelType w:val="hybridMultilevel"/>
    <w:tmpl w:val="2E26D5F2"/>
    <w:lvl w:ilvl="0" w:tplc="476665CC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E20850"/>
    <w:multiLevelType w:val="hybridMultilevel"/>
    <w:tmpl w:val="427CF960"/>
    <w:lvl w:ilvl="0" w:tplc="40CA17AE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791800"/>
    <w:multiLevelType w:val="hybridMultilevel"/>
    <w:tmpl w:val="BD86746C"/>
    <w:lvl w:ilvl="0" w:tplc="74FC6A7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33"/>
  </w:num>
  <w:num w:numId="3">
    <w:abstractNumId w:val="29"/>
  </w:num>
  <w:num w:numId="4">
    <w:abstractNumId w:val="23"/>
  </w:num>
  <w:num w:numId="5">
    <w:abstractNumId w:val="15"/>
  </w:num>
  <w:num w:numId="6">
    <w:abstractNumId w:val="17"/>
  </w:num>
  <w:num w:numId="7">
    <w:abstractNumId w:val="30"/>
  </w:num>
  <w:num w:numId="8">
    <w:abstractNumId w:val="41"/>
  </w:num>
  <w:num w:numId="9">
    <w:abstractNumId w:val="6"/>
  </w:num>
  <w:num w:numId="10">
    <w:abstractNumId w:val="46"/>
  </w:num>
  <w:num w:numId="11">
    <w:abstractNumId w:val="21"/>
  </w:num>
  <w:num w:numId="12">
    <w:abstractNumId w:val="22"/>
  </w:num>
  <w:num w:numId="13">
    <w:abstractNumId w:val="47"/>
  </w:num>
  <w:num w:numId="14">
    <w:abstractNumId w:val="37"/>
  </w:num>
  <w:num w:numId="15">
    <w:abstractNumId w:val="34"/>
  </w:num>
  <w:num w:numId="16">
    <w:abstractNumId w:val="7"/>
  </w:num>
  <w:num w:numId="17">
    <w:abstractNumId w:val="8"/>
  </w:num>
  <w:num w:numId="18">
    <w:abstractNumId w:val="36"/>
  </w:num>
  <w:num w:numId="19">
    <w:abstractNumId w:val="49"/>
  </w:num>
  <w:num w:numId="20">
    <w:abstractNumId w:val="45"/>
  </w:num>
  <w:num w:numId="21">
    <w:abstractNumId w:val="11"/>
  </w:num>
  <w:num w:numId="22">
    <w:abstractNumId w:val="24"/>
  </w:num>
  <w:num w:numId="23">
    <w:abstractNumId w:val="20"/>
  </w:num>
  <w:num w:numId="24">
    <w:abstractNumId w:val="12"/>
  </w:num>
  <w:num w:numId="25">
    <w:abstractNumId w:val="10"/>
  </w:num>
  <w:num w:numId="26">
    <w:abstractNumId w:val="32"/>
  </w:num>
  <w:num w:numId="27">
    <w:abstractNumId w:val="14"/>
  </w:num>
  <w:num w:numId="28">
    <w:abstractNumId w:val="40"/>
  </w:num>
  <w:num w:numId="29">
    <w:abstractNumId w:val="43"/>
  </w:num>
  <w:num w:numId="30">
    <w:abstractNumId w:val="48"/>
  </w:num>
  <w:num w:numId="31">
    <w:abstractNumId w:val="16"/>
  </w:num>
  <w:num w:numId="32">
    <w:abstractNumId w:val="28"/>
  </w:num>
  <w:num w:numId="33">
    <w:abstractNumId w:val="35"/>
  </w:num>
  <w:num w:numId="34">
    <w:abstractNumId w:val="42"/>
  </w:num>
  <w:num w:numId="35">
    <w:abstractNumId w:val="19"/>
  </w:num>
  <w:num w:numId="36">
    <w:abstractNumId w:val="18"/>
  </w:num>
  <w:num w:numId="37">
    <w:abstractNumId w:val="27"/>
  </w:num>
  <w:num w:numId="38">
    <w:abstractNumId w:val="44"/>
  </w:num>
  <w:num w:numId="39">
    <w:abstractNumId w:val="38"/>
  </w:num>
  <w:num w:numId="40">
    <w:abstractNumId w:val="39"/>
  </w:num>
  <w:num w:numId="41">
    <w:abstractNumId w:val="3"/>
  </w:num>
  <w:num w:numId="42">
    <w:abstractNumId w:val="5"/>
  </w:num>
  <w:num w:numId="43">
    <w:abstractNumId w:val="4"/>
  </w:num>
  <w:num w:numId="44">
    <w:abstractNumId w:val="0"/>
  </w:num>
  <w:num w:numId="45">
    <w:abstractNumId w:val="13"/>
  </w:num>
  <w:num w:numId="46">
    <w:abstractNumId w:val="9"/>
  </w:num>
  <w:num w:numId="47">
    <w:abstractNumId w:val="1"/>
  </w:num>
  <w:num w:numId="48">
    <w:abstractNumId w:val="2"/>
  </w:num>
  <w:num w:numId="49">
    <w:abstractNumId w:val="26"/>
  </w:num>
  <w:num w:numId="50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1A9"/>
    <w:rsid w:val="000203BA"/>
    <w:rsid w:val="00021B99"/>
    <w:rsid w:val="00031221"/>
    <w:rsid w:val="000326B5"/>
    <w:rsid w:val="00042AEF"/>
    <w:rsid w:val="00042B34"/>
    <w:rsid w:val="00047BDA"/>
    <w:rsid w:val="000517B9"/>
    <w:rsid w:val="000521B4"/>
    <w:rsid w:val="00054236"/>
    <w:rsid w:val="0007392E"/>
    <w:rsid w:val="000B776D"/>
    <w:rsid w:val="000C0D16"/>
    <w:rsid w:val="000C6E9A"/>
    <w:rsid w:val="000D0A0A"/>
    <w:rsid w:val="000D7E3F"/>
    <w:rsid w:val="000E2CD8"/>
    <w:rsid w:val="001005CC"/>
    <w:rsid w:val="00111564"/>
    <w:rsid w:val="00123BD3"/>
    <w:rsid w:val="00127A56"/>
    <w:rsid w:val="00133E0D"/>
    <w:rsid w:val="00137BD3"/>
    <w:rsid w:val="0014413C"/>
    <w:rsid w:val="00151042"/>
    <w:rsid w:val="001559A4"/>
    <w:rsid w:val="00160C8F"/>
    <w:rsid w:val="001622BD"/>
    <w:rsid w:val="00165A58"/>
    <w:rsid w:val="00172B80"/>
    <w:rsid w:val="0019592F"/>
    <w:rsid w:val="001A17EC"/>
    <w:rsid w:val="001B4CCB"/>
    <w:rsid w:val="001E36E9"/>
    <w:rsid w:val="001F6BB4"/>
    <w:rsid w:val="001F7143"/>
    <w:rsid w:val="001F7C4F"/>
    <w:rsid w:val="0021036C"/>
    <w:rsid w:val="00210F8F"/>
    <w:rsid w:val="00222BFF"/>
    <w:rsid w:val="00223AA5"/>
    <w:rsid w:val="002275F6"/>
    <w:rsid w:val="00230A0C"/>
    <w:rsid w:val="002415E5"/>
    <w:rsid w:val="00255105"/>
    <w:rsid w:val="00255E42"/>
    <w:rsid w:val="0026154D"/>
    <w:rsid w:val="00280C54"/>
    <w:rsid w:val="002817B8"/>
    <w:rsid w:val="00294A9F"/>
    <w:rsid w:val="00295200"/>
    <w:rsid w:val="00295DBF"/>
    <w:rsid w:val="002A38DA"/>
    <w:rsid w:val="002B2950"/>
    <w:rsid w:val="002B630B"/>
    <w:rsid w:val="002C3D92"/>
    <w:rsid w:val="002D4503"/>
    <w:rsid w:val="002D58E9"/>
    <w:rsid w:val="002D79E3"/>
    <w:rsid w:val="002E7009"/>
    <w:rsid w:val="003211B2"/>
    <w:rsid w:val="00330D4C"/>
    <w:rsid w:val="0034026B"/>
    <w:rsid w:val="003444FD"/>
    <w:rsid w:val="00351879"/>
    <w:rsid w:val="00357618"/>
    <w:rsid w:val="00360341"/>
    <w:rsid w:val="00360E6D"/>
    <w:rsid w:val="00367CAA"/>
    <w:rsid w:val="00374374"/>
    <w:rsid w:val="00397077"/>
    <w:rsid w:val="003A2D4C"/>
    <w:rsid w:val="003A2D63"/>
    <w:rsid w:val="003A4509"/>
    <w:rsid w:val="003A7724"/>
    <w:rsid w:val="003B42E8"/>
    <w:rsid w:val="003C1573"/>
    <w:rsid w:val="003C587E"/>
    <w:rsid w:val="003F184B"/>
    <w:rsid w:val="003F2BD5"/>
    <w:rsid w:val="00406CC0"/>
    <w:rsid w:val="00414D20"/>
    <w:rsid w:val="00424DBD"/>
    <w:rsid w:val="00431566"/>
    <w:rsid w:val="004328DC"/>
    <w:rsid w:val="00434B71"/>
    <w:rsid w:val="00444270"/>
    <w:rsid w:val="004521A6"/>
    <w:rsid w:val="004766E0"/>
    <w:rsid w:val="00480E3D"/>
    <w:rsid w:val="00484485"/>
    <w:rsid w:val="00485A84"/>
    <w:rsid w:val="004A1309"/>
    <w:rsid w:val="004A34B2"/>
    <w:rsid w:val="004B4520"/>
    <w:rsid w:val="004D7C7B"/>
    <w:rsid w:val="004E50F0"/>
    <w:rsid w:val="004F157D"/>
    <w:rsid w:val="004F62CD"/>
    <w:rsid w:val="00504B8A"/>
    <w:rsid w:val="00514F52"/>
    <w:rsid w:val="005169F4"/>
    <w:rsid w:val="00526E11"/>
    <w:rsid w:val="0054027F"/>
    <w:rsid w:val="005427A7"/>
    <w:rsid w:val="00543233"/>
    <w:rsid w:val="00544FAC"/>
    <w:rsid w:val="00554EDC"/>
    <w:rsid w:val="0056213F"/>
    <w:rsid w:val="00567220"/>
    <w:rsid w:val="005672DF"/>
    <w:rsid w:val="00571D39"/>
    <w:rsid w:val="0058028B"/>
    <w:rsid w:val="00582509"/>
    <w:rsid w:val="005856B3"/>
    <w:rsid w:val="005914D8"/>
    <w:rsid w:val="00596BB2"/>
    <w:rsid w:val="005C4092"/>
    <w:rsid w:val="005D0C9A"/>
    <w:rsid w:val="005D3C03"/>
    <w:rsid w:val="005E2458"/>
    <w:rsid w:val="005F720E"/>
    <w:rsid w:val="00602229"/>
    <w:rsid w:val="00611B27"/>
    <w:rsid w:val="0062537E"/>
    <w:rsid w:val="006266EF"/>
    <w:rsid w:val="00632C71"/>
    <w:rsid w:val="00647A74"/>
    <w:rsid w:val="00647E22"/>
    <w:rsid w:val="00652325"/>
    <w:rsid w:val="00661774"/>
    <w:rsid w:val="006636F5"/>
    <w:rsid w:val="006672A3"/>
    <w:rsid w:val="00673DD2"/>
    <w:rsid w:val="0068213A"/>
    <w:rsid w:val="00685BCE"/>
    <w:rsid w:val="006931B7"/>
    <w:rsid w:val="0069493F"/>
    <w:rsid w:val="00696C54"/>
    <w:rsid w:val="006979A3"/>
    <w:rsid w:val="006B2605"/>
    <w:rsid w:val="006B657C"/>
    <w:rsid w:val="006B7B50"/>
    <w:rsid w:val="006C029B"/>
    <w:rsid w:val="006D060C"/>
    <w:rsid w:val="006F408B"/>
    <w:rsid w:val="0071148C"/>
    <w:rsid w:val="00713EC3"/>
    <w:rsid w:val="007519BF"/>
    <w:rsid w:val="00761C0F"/>
    <w:rsid w:val="00767DEC"/>
    <w:rsid w:val="00771AFF"/>
    <w:rsid w:val="0077543B"/>
    <w:rsid w:val="00777C7B"/>
    <w:rsid w:val="007845FE"/>
    <w:rsid w:val="007872FD"/>
    <w:rsid w:val="00793E30"/>
    <w:rsid w:val="007B0223"/>
    <w:rsid w:val="007C0642"/>
    <w:rsid w:val="007C659B"/>
    <w:rsid w:val="007C7B3A"/>
    <w:rsid w:val="007F4957"/>
    <w:rsid w:val="007F5052"/>
    <w:rsid w:val="00801F7E"/>
    <w:rsid w:val="00810246"/>
    <w:rsid w:val="00827CBD"/>
    <w:rsid w:val="00832BCA"/>
    <w:rsid w:val="00850D74"/>
    <w:rsid w:val="00857137"/>
    <w:rsid w:val="0086528E"/>
    <w:rsid w:val="00871172"/>
    <w:rsid w:val="00883ADE"/>
    <w:rsid w:val="00887680"/>
    <w:rsid w:val="008971A4"/>
    <w:rsid w:val="008A14BE"/>
    <w:rsid w:val="008A78C6"/>
    <w:rsid w:val="008A7A6B"/>
    <w:rsid w:val="008B030C"/>
    <w:rsid w:val="008C494F"/>
    <w:rsid w:val="008D35BD"/>
    <w:rsid w:val="008E2D00"/>
    <w:rsid w:val="008F4CA7"/>
    <w:rsid w:val="00900482"/>
    <w:rsid w:val="0090147B"/>
    <w:rsid w:val="009033B3"/>
    <w:rsid w:val="00910550"/>
    <w:rsid w:val="00920744"/>
    <w:rsid w:val="00921426"/>
    <w:rsid w:val="0092610B"/>
    <w:rsid w:val="00932C22"/>
    <w:rsid w:val="0094025E"/>
    <w:rsid w:val="00942534"/>
    <w:rsid w:val="009510B9"/>
    <w:rsid w:val="00955D80"/>
    <w:rsid w:val="0096502F"/>
    <w:rsid w:val="00966A0B"/>
    <w:rsid w:val="00985B02"/>
    <w:rsid w:val="00993A70"/>
    <w:rsid w:val="009A27A4"/>
    <w:rsid w:val="009A63B2"/>
    <w:rsid w:val="009B0BF9"/>
    <w:rsid w:val="009B644B"/>
    <w:rsid w:val="009D1788"/>
    <w:rsid w:val="009D5AFF"/>
    <w:rsid w:val="009D6E5B"/>
    <w:rsid w:val="009E4D5C"/>
    <w:rsid w:val="009F26E9"/>
    <w:rsid w:val="00A1538A"/>
    <w:rsid w:val="00A21E10"/>
    <w:rsid w:val="00A22D02"/>
    <w:rsid w:val="00A238F5"/>
    <w:rsid w:val="00A46F0E"/>
    <w:rsid w:val="00A56375"/>
    <w:rsid w:val="00A57E05"/>
    <w:rsid w:val="00A71373"/>
    <w:rsid w:val="00A8306E"/>
    <w:rsid w:val="00A8376E"/>
    <w:rsid w:val="00A87282"/>
    <w:rsid w:val="00A91923"/>
    <w:rsid w:val="00A94788"/>
    <w:rsid w:val="00A9496A"/>
    <w:rsid w:val="00A97285"/>
    <w:rsid w:val="00A9759E"/>
    <w:rsid w:val="00A97803"/>
    <w:rsid w:val="00AA5121"/>
    <w:rsid w:val="00AB391B"/>
    <w:rsid w:val="00AB5FB8"/>
    <w:rsid w:val="00AB7308"/>
    <w:rsid w:val="00AC5120"/>
    <w:rsid w:val="00AC7CD8"/>
    <w:rsid w:val="00AE1C37"/>
    <w:rsid w:val="00AE30AB"/>
    <w:rsid w:val="00AF0016"/>
    <w:rsid w:val="00AF08EC"/>
    <w:rsid w:val="00AF3BC4"/>
    <w:rsid w:val="00AF58B3"/>
    <w:rsid w:val="00B34A40"/>
    <w:rsid w:val="00B44F17"/>
    <w:rsid w:val="00B55004"/>
    <w:rsid w:val="00B71CC1"/>
    <w:rsid w:val="00B7459B"/>
    <w:rsid w:val="00B81791"/>
    <w:rsid w:val="00B85089"/>
    <w:rsid w:val="00B91E3B"/>
    <w:rsid w:val="00B9260A"/>
    <w:rsid w:val="00BA4C9E"/>
    <w:rsid w:val="00BB75B4"/>
    <w:rsid w:val="00BD0939"/>
    <w:rsid w:val="00BD1541"/>
    <w:rsid w:val="00BD642B"/>
    <w:rsid w:val="00BE0D49"/>
    <w:rsid w:val="00BE360F"/>
    <w:rsid w:val="00BE65AC"/>
    <w:rsid w:val="00BE660D"/>
    <w:rsid w:val="00C04C17"/>
    <w:rsid w:val="00C121BD"/>
    <w:rsid w:val="00C1600D"/>
    <w:rsid w:val="00C21850"/>
    <w:rsid w:val="00C3299B"/>
    <w:rsid w:val="00C33FC1"/>
    <w:rsid w:val="00C400A4"/>
    <w:rsid w:val="00C41656"/>
    <w:rsid w:val="00C43887"/>
    <w:rsid w:val="00C439A1"/>
    <w:rsid w:val="00C52226"/>
    <w:rsid w:val="00C534F0"/>
    <w:rsid w:val="00C6368D"/>
    <w:rsid w:val="00C656E9"/>
    <w:rsid w:val="00C75FCA"/>
    <w:rsid w:val="00C857E0"/>
    <w:rsid w:val="00C921F1"/>
    <w:rsid w:val="00CA233B"/>
    <w:rsid w:val="00CB0C47"/>
    <w:rsid w:val="00CB24C9"/>
    <w:rsid w:val="00CC1E5A"/>
    <w:rsid w:val="00CC27A8"/>
    <w:rsid w:val="00CC3E33"/>
    <w:rsid w:val="00CC59AB"/>
    <w:rsid w:val="00CF6E13"/>
    <w:rsid w:val="00D2561C"/>
    <w:rsid w:val="00D342D4"/>
    <w:rsid w:val="00D3739C"/>
    <w:rsid w:val="00D4279B"/>
    <w:rsid w:val="00D52A4E"/>
    <w:rsid w:val="00D52B09"/>
    <w:rsid w:val="00D54890"/>
    <w:rsid w:val="00D6351F"/>
    <w:rsid w:val="00D752E9"/>
    <w:rsid w:val="00D75FEA"/>
    <w:rsid w:val="00D86122"/>
    <w:rsid w:val="00D877E7"/>
    <w:rsid w:val="00D90BDC"/>
    <w:rsid w:val="00D930BE"/>
    <w:rsid w:val="00DA30D1"/>
    <w:rsid w:val="00DB3437"/>
    <w:rsid w:val="00DB61B8"/>
    <w:rsid w:val="00DC74B9"/>
    <w:rsid w:val="00DD4E2F"/>
    <w:rsid w:val="00DE7302"/>
    <w:rsid w:val="00E21999"/>
    <w:rsid w:val="00E21BE9"/>
    <w:rsid w:val="00E22F7A"/>
    <w:rsid w:val="00E231E5"/>
    <w:rsid w:val="00E33EE2"/>
    <w:rsid w:val="00E34A17"/>
    <w:rsid w:val="00E34F38"/>
    <w:rsid w:val="00E3687A"/>
    <w:rsid w:val="00E44B36"/>
    <w:rsid w:val="00E478E2"/>
    <w:rsid w:val="00E57AB3"/>
    <w:rsid w:val="00E65703"/>
    <w:rsid w:val="00E65CD6"/>
    <w:rsid w:val="00E729FB"/>
    <w:rsid w:val="00E73920"/>
    <w:rsid w:val="00E81D3A"/>
    <w:rsid w:val="00E91AE5"/>
    <w:rsid w:val="00E91D4A"/>
    <w:rsid w:val="00EA1FDE"/>
    <w:rsid w:val="00EA39C9"/>
    <w:rsid w:val="00EA3C79"/>
    <w:rsid w:val="00EB78C0"/>
    <w:rsid w:val="00EC6B11"/>
    <w:rsid w:val="00ED17E2"/>
    <w:rsid w:val="00ED201B"/>
    <w:rsid w:val="00ED28E4"/>
    <w:rsid w:val="00ED2A22"/>
    <w:rsid w:val="00ED4636"/>
    <w:rsid w:val="00ED4DBA"/>
    <w:rsid w:val="00ED646C"/>
    <w:rsid w:val="00EF04B3"/>
    <w:rsid w:val="00F02A05"/>
    <w:rsid w:val="00F131CD"/>
    <w:rsid w:val="00F2533B"/>
    <w:rsid w:val="00F27F91"/>
    <w:rsid w:val="00F34975"/>
    <w:rsid w:val="00F37336"/>
    <w:rsid w:val="00F37749"/>
    <w:rsid w:val="00F424B4"/>
    <w:rsid w:val="00F44B77"/>
    <w:rsid w:val="00F53C1A"/>
    <w:rsid w:val="00F707CA"/>
    <w:rsid w:val="00F70A0F"/>
    <w:rsid w:val="00F75EE2"/>
    <w:rsid w:val="00F77202"/>
    <w:rsid w:val="00F831AF"/>
    <w:rsid w:val="00F90498"/>
    <w:rsid w:val="00FA0D0F"/>
    <w:rsid w:val="00FC56AD"/>
    <w:rsid w:val="00FD20FC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zivykraj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ivykraj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r-karlovarsk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1C17-C8BB-4695-9E6C-602615CD4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DC42D-793A-46E4-98E1-749F7993A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65B2F-F5A9-407A-818A-CBFD980631E1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c9e48692-194e-417d-af40-42e3d4ef737b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1E1FCD-A426-4198-A6C3-79D2C530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2628</Words>
  <Characters>15512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Karlovarský kraj Krajský úřad</Company>
  <LinksUpToDate>false</LinksUpToDate>
  <CharactersWithSpaces>18104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Vratislav Smoleja</dc:creator>
  <cp:lastModifiedBy>Hnízdil Zdeněk</cp:lastModifiedBy>
  <cp:revision>14</cp:revision>
  <cp:lastPrinted>2020-05-21T09:10:00Z</cp:lastPrinted>
  <dcterms:created xsi:type="dcterms:W3CDTF">2020-12-08T07:07:00Z</dcterms:created>
  <dcterms:modified xsi:type="dcterms:W3CDTF">2020-12-28T08:13:00Z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