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3F" w:rsidRDefault="00AF7F9C">
      <w:pPr>
        <w:jc w:val="center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Smlouva O dodávce SOFTWARE A HARDWARE</w:t>
      </w:r>
    </w:p>
    <w:p w:rsidR="00822A3F" w:rsidRDefault="00822A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Dnešního dne, měsíce a roku se dohodly níže uvedené smluvní strany: </w:t>
      </w:r>
    </w:p>
    <w:p w:rsidR="00822A3F" w:rsidRDefault="00822A3F">
      <w:pPr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Zkladntextodsazen"/>
        <w:spacing w:before="0"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1/ Technické muzeum v Brně</w:t>
      </w: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Purkyňova 105, 612 00 Brno</w:t>
      </w: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00101435</w:t>
      </w:r>
      <w:r>
        <w:rPr>
          <w:rFonts w:asciiTheme="minorHAnsi" w:hAnsiTheme="minorHAnsi" w:cstheme="minorHAnsi"/>
          <w:sz w:val="22"/>
          <w:szCs w:val="22"/>
        </w:rPr>
        <w:tab/>
        <w:t>DIČ: CZ00101435</w:t>
      </w: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A26C25" w:rsidRPr="00A26C25">
        <w:rPr>
          <w:rFonts w:asciiTheme="minorHAnsi" w:hAnsiTheme="minorHAnsi" w:cstheme="minorHAnsi"/>
          <w:sz w:val="22"/>
          <w:szCs w:val="22"/>
          <w:highlight w:val="black"/>
        </w:rPr>
        <w:t>XXXXXXXXXXXXXXXXX</w:t>
      </w: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26C25" w:rsidRPr="00A26C25">
        <w:rPr>
          <w:rFonts w:asciiTheme="minorHAnsi" w:hAnsiTheme="minorHAnsi" w:cstheme="minorHAnsi"/>
          <w:sz w:val="22"/>
          <w:szCs w:val="22"/>
          <w:highlight w:val="black"/>
        </w:rPr>
        <w:t>XXXXXXXXXXXXXX</w:t>
      </w:r>
    </w:p>
    <w:p w:rsidR="00822A3F" w:rsidRDefault="00AF7F9C">
      <w:pPr>
        <w:pStyle w:val="Styl"/>
        <w:tabs>
          <w:tab w:val="left" w:pos="426"/>
        </w:tabs>
        <w:spacing w:before="38"/>
        <w:ind w:right="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Technické muzeum v Brně je státní příspěvkovou organizací, zřízenou Ministerstvem kultury ČR, Zřizovací listinou č.j. 17474/2000 ve znění Rozhodnutí ministryně kultury č. 40/2012 z 20.12.2012 a je oprávněno nakládat s majetkem státu dle Záko</w:t>
      </w:r>
      <w:r>
        <w:rPr>
          <w:rFonts w:asciiTheme="minorHAnsi" w:hAnsiTheme="minorHAnsi" w:cstheme="minorHAnsi"/>
          <w:bCs/>
          <w:sz w:val="22"/>
          <w:szCs w:val="22"/>
        </w:rPr>
        <w:t>na č. 219/2000 Sb..</w:t>
      </w:r>
    </w:p>
    <w:p w:rsidR="00822A3F" w:rsidRDefault="00AF7F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Technické muzeum v Brně je plátce DPH, muzejní činnost je kulturní činností, od DPH osvobozenou dle § 61 ZDPH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zastoupená: Ing. Ivo Štěpánek, ředitel</w:t>
      </w:r>
    </w:p>
    <w:p w:rsidR="00822A3F" w:rsidRDefault="00AF7F9C">
      <w:pPr>
        <w:tabs>
          <w:tab w:val="left" w:pos="709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Oprávněni jednat ve věcech technických:  </w:t>
      </w:r>
      <w:r w:rsidR="00A26C25" w:rsidRPr="00A26C2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</w:p>
    <w:p w:rsidR="00822A3F" w:rsidRDefault="00822A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"kupující ")</w:t>
      </w:r>
    </w:p>
    <w:p w:rsidR="00822A3F" w:rsidRDefault="00822A3F">
      <w:pPr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Datum1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822A3F" w:rsidRDefault="00822A3F">
      <w:pPr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tabs>
          <w:tab w:val="left" w:pos="2493"/>
        </w:tabs>
      </w:pPr>
      <w:r>
        <w:rPr>
          <w:rFonts w:asciiTheme="minorHAnsi" w:hAnsiTheme="minorHAnsi" w:cstheme="minorHAnsi"/>
          <w:b/>
          <w:bCs/>
          <w:sz w:val="22"/>
          <w:szCs w:val="22"/>
        </w:rPr>
        <w:t>2/ DUHA system s.r.o.</w:t>
      </w:r>
    </w:p>
    <w:p w:rsidR="00822A3F" w:rsidRDefault="00AF7F9C">
      <w:pPr>
        <w:pStyle w:val="Nadpis4"/>
        <w:tabs>
          <w:tab w:val="left" w:pos="2642"/>
        </w:tabs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Dodavatel:</w:t>
      </w:r>
      <w:r>
        <w:rPr>
          <w:rFonts w:ascii="Arial" w:hAnsi="Arial"/>
          <w:sz w:val="26"/>
          <w:szCs w:val="26"/>
        </w:rPr>
        <w:tab/>
        <w:t>DUHA system spol.s r.o.</w:t>
      </w:r>
      <w:r>
        <w:rPr>
          <w:rFonts w:ascii="Arial" w:hAnsi="Arial"/>
          <w:sz w:val="26"/>
          <w:szCs w:val="26"/>
        </w:rPr>
        <w:tab/>
      </w:r>
    </w:p>
    <w:p w:rsidR="00822A3F" w:rsidRDefault="00AF7F9C">
      <w:pPr>
        <w:pStyle w:val="Nadpis4"/>
        <w:tabs>
          <w:tab w:val="left" w:pos="2642"/>
        </w:tabs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se</w:t>
      </w:r>
      <w:r>
        <w:rPr>
          <w:rFonts w:ascii="Arial" w:hAnsi="Arial"/>
          <w:spacing w:val="-2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sídlem:</w:t>
      </w:r>
      <w:r>
        <w:rPr>
          <w:rFonts w:ascii="Arial" w:hAnsi="Arial"/>
          <w:sz w:val="26"/>
          <w:szCs w:val="26"/>
        </w:rPr>
        <w:tab/>
        <w:t>Železná 633/2, 619 00 Brno</w:t>
      </w:r>
    </w:p>
    <w:p w:rsidR="00822A3F" w:rsidRDefault="00AF7F9C">
      <w:pPr>
        <w:tabs>
          <w:tab w:val="left" w:pos="2642"/>
        </w:tabs>
        <w:spacing w:line="251" w:lineRule="exac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IČO: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b/>
          <w:sz w:val="26"/>
          <w:szCs w:val="26"/>
        </w:rPr>
        <w:t>49970496</w:t>
      </w:r>
    </w:p>
    <w:p w:rsidR="00822A3F" w:rsidRDefault="00AF7F9C">
      <w:pPr>
        <w:pStyle w:val="Zkladntext"/>
        <w:tabs>
          <w:tab w:val="left" w:pos="2642"/>
        </w:tabs>
        <w:spacing w:before="1"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DIČ:</w:t>
      </w:r>
      <w:r>
        <w:rPr>
          <w:rFonts w:ascii="Arial" w:hAnsi="Arial"/>
          <w:sz w:val="26"/>
          <w:szCs w:val="26"/>
        </w:rPr>
        <w:tab/>
      </w:r>
      <w:bookmarkStart w:id="0" w:name="_GoBack"/>
      <w:bookmarkEnd w:id="0"/>
      <w:r>
        <w:rPr>
          <w:rFonts w:ascii="Arial" w:hAnsi="Arial"/>
          <w:sz w:val="26"/>
          <w:szCs w:val="26"/>
        </w:rPr>
        <w:t>CZ49970496</w:t>
      </w:r>
    </w:p>
    <w:p w:rsidR="00822A3F" w:rsidRDefault="00AF7F9C">
      <w:pPr>
        <w:pStyle w:val="Zkladntext"/>
        <w:tabs>
          <w:tab w:val="left" w:pos="2642"/>
        </w:tabs>
        <w:spacing w:before="2" w:after="0" w:line="252" w:lineRule="exac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Zastoupený:</w:t>
      </w:r>
      <w:r>
        <w:rPr>
          <w:rFonts w:ascii="Arial" w:hAnsi="Arial"/>
          <w:sz w:val="26"/>
          <w:szCs w:val="26"/>
        </w:rPr>
        <w:tab/>
        <w:t>Dušanem Homolkou, jednatelem</w:t>
      </w:r>
    </w:p>
    <w:p w:rsidR="00822A3F" w:rsidRDefault="00AF7F9C">
      <w:pPr>
        <w:pStyle w:val="Zkladntext"/>
        <w:tabs>
          <w:tab w:val="left" w:pos="2642"/>
        </w:tabs>
        <w:ind w:right="779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Zapsaný v obchodní rejstříku vedeném u rejstříkového soudu v Brně, oddíl C, vložka 13529</w:t>
      </w:r>
    </w:p>
    <w:p w:rsidR="00822A3F" w:rsidRDefault="00AF7F9C">
      <w:pPr>
        <w:pStyle w:val="Zkladntext"/>
        <w:tabs>
          <w:tab w:val="left" w:pos="2642"/>
        </w:tabs>
        <w:ind w:right="779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Bankovní</w:t>
      </w:r>
      <w:r>
        <w:rPr>
          <w:rFonts w:ascii="Arial" w:hAnsi="Arial"/>
          <w:spacing w:val="-6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spojení:</w:t>
      </w:r>
      <w:r>
        <w:rPr>
          <w:rFonts w:ascii="Arial" w:hAnsi="Arial"/>
          <w:sz w:val="26"/>
          <w:szCs w:val="26"/>
        </w:rPr>
        <w:tab/>
      </w:r>
      <w:r w:rsidR="00A26C25" w:rsidRPr="00A26C25">
        <w:rPr>
          <w:rFonts w:ascii="Arial" w:hAnsi="Arial"/>
          <w:sz w:val="26"/>
          <w:szCs w:val="26"/>
          <w:highlight w:val="black"/>
        </w:rPr>
        <w:t>XXXXXXXXXXXXX</w:t>
      </w:r>
    </w:p>
    <w:p w:rsidR="00822A3F" w:rsidRDefault="00AF7F9C">
      <w:pPr>
        <w:pStyle w:val="Zkladntext"/>
        <w:tabs>
          <w:tab w:val="left" w:pos="2642"/>
        </w:tabs>
        <w:spacing w:line="252" w:lineRule="exac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Číslo</w:t>
      </w:r>
      <w:r>
        <w:rPr>
          <w:rFonts w:ascii="Arial" w:hAnsi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účtu:</w:t>
      </w:r>
      <w:r>
        <w:rPr>
          <w:rFonts w:ascii="Arial" w:hAnsi="Arial"/>
          <w:b/>
          <w:bCs/>
          <w:sz w:val="26"/>
          <w:szCs w:val="26"/>
        </w:rPr>
        <w:tab/>
      </w:r>
      <w:r w:rsidR="00A26C25" w:rsidRPr="00A26C25">
        <w:rPr>
          <w:rFonts w:ascii="Arial" w:hAnsi="Arial"/>
          <w:b/>
          <w:bCs/>
          <w:sz w:val="26"/>
          <w:szCs w:val="26"/>
          <w:highlight w:val="black"/>
        </w:rPr>
        <w:t>XXXXXXXXXXXXX</w:t>
      </w:r>
    </w:p>
    <w:p w:rsidR="00822A3F" w:rsidRDefault="00AF7F9C"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2A3F" w:rsidRDefault="00AF7F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"prodávající")</w:t>
      </w:r>
    </w:p>
    <w:p w:rsidR="00822A3F" w:rsidRDefault="00822A3F">
      <w:pPr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uzavřely dle ust. § 2079 a násl. zákona č. 89/2012 Sb., občanský zákoník tuto smlouvu na dodávku software (dále též jen „smlouva“):</w:t>
      </w:r>
    </w:p>
    <w:p w:rsidR="00822A3F" w:rsidRDefault="00822A3F">
      <w:pPr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I.</w:t>
      </w: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PŘEDMĚT SMLOUVY, DEFINICE POJMÚ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Předmětem této smlouvy je úprava práv a povinností obou smluvních stran při dodávce Software, jehož technická specifikace, je obsažena v příloze č. 1, která je nedílnou součástí této smlouvy. </w:t>
      </w:r>
    </w:p>
    <w:p w:rsidR="00822A3F" w:rsidRDefault="00822A3F">
      <w:pPr>
        <w:pStyle w:val="Odstavecseseznamem"/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se touto smlouvou dále zavazuje dodat kupujícímu, za podmínek stanovených dále v této smlouvě Software, jehož technická specifikace je obsažena v příloze č. 1, která je nedílnou součástí této smlouvy (dále též jen „SW“) včetně licencí umožňujíc</w:t>
      </w:r>
      <w:r>
        <w:rPr>
          <w:rFonts w:cstheme="minorHAnsi"/>
        </w:rPr>
        <w:t xml:space="preserve">ích kupujícímu užití SW k účelu, ke kterému je určen.   </w:t>
      </w:r>
    </w:p>
    <w:p w:rsidR="00822A3F" w:rsidRDefault="00822A3F">
      <w:pPr>
        <w:pStyle w:val="Odstavecseseznamem"/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Kupující se za podmínek stanovených dále v této smlouvě zavazuje dodaný SW od prodávajícího převzít a zaplatit kupujícímu cenu uvedenou v čl. III. této smlouvy.</w:t>
      </w:r>
    </w:p>
    <w:p w:rsidR="00822A3F" w:rsidRDefault="00822A3F">
      <w:pPr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SW bude pro účely této smlouvy označ</w:t>
      </w:r>
      <w:r>
        <w:rPr>
          <w:rFonts w:cstheme="minorHAnsi"/>
        </w:rPr>
        <w:t xml:space="preserve">ován též jako „předmět plnění“. </w:t>
      </w:r>
    </w:p>
    <w:p w:rsidR="00822A3F" w:rsidRDefault="00822A3F">
      <w:pPr>
        <w:pStyle w:val="Odstavecseseznamem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Množství dodávaného SW a HW je přesně specifikováno v příloze č. 1 k této smlouvě. </w:t>
      </w:r>
    </w:p>
    <w:p w:rsidR="00822A3F" w:rsidRDefault="00822A3F">
      <w:pPr>
        <w:pStyle w:val="Odstavecseseznamem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Dodávka předmětu plnění zahrnuje zejména: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dodávku vlastního SW včetně licencí,</w:t>
      </w:r>
    </w:p>
    <w:p w:rsidR="00822A3F" w:rsidRDefault="00AF7F9C">
      <w:pPr>
        <w:pStyle w:val="Odstavecseseznamem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dodávku HW,</w:t>
      </w:r>
    </w:p>
    <w:p w:rsidR="00822A3F" w:rsidRDefault="00AF7F9C">
      <w:pPr>
        <w:pStyle w:val="Odstavecseseznamem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náklady na práci technika při instalaci SW a </w:t>
      </w:r>
      <w:r>
        <w:rPr>
          <w:rFonts w:cstheme="minorHAnsi"/>
        </w:rPr>
        <w:t>HW.</w:t>
      </w:r>
    </w:p>
    <w:p w:rsidR="00822A3F" w:rsidRDefault="00AF7F9C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:rsidR="00822A3F" w:rsidRDefault="00AF7F9C">
      <w:pPr>
        <w:pStyle w:val="Odstavecseseznamem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Licencí se rozumí oprávnění pro kupujícího, udělené výrobcem, k užití SW k účelu, ke kterému je určen, a to v souladu s licenčními podmínkami k příslušné verzi SW.  </w:t>
      </w:r>
    </w:p>
    <w:p w:rsidR="00822A3F" w:rsidRDefault="00822A3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II.</w:t>
      </w: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A MÍSTO PLNĚNÍ</w:t>
      </w:r>
    </w:p>
    <w:p w:rsidR="00822A3F" w:rsidRDefault="00822A3F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se zavazuje dodat kupujícímu předmět plnění </w:t>
      </w:r>
      <w:r>
        <w:rPr>
          <w:rFonts w:cstheme="minorHAnsi"/>
          <w:b/>
          <w:bCs/>
        </w:rPr>
        <w:t>v </w:t>
      </w:r>
      <w:r>
        <w:rPr>
          <w:rFonts w:cstheme="minorHAnsi"/>
          <w:b/>
          <w:bCs/>
        </w:rPr>
        <w:t>termínu nejpozději do 31. 12. 2020.</w:t>
      </w:r>
      <w:r>
        <w:rPr>
          <w:rFonts w:cstheme="minorHAnsi"/>
        </w:rPr>
        <w:t xml:space="preserve"> </w:t>
      </w:r>
    </w:p>
    <w:p w:rsidR="00822A3F" w:rsidRDefault="00822A3F">
      <w:pPr>
        <w:pStyle w:val="Odstavecseseznamem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Místem dodání předmětu plnění je sídlo kupujícího, tj., Purkyňova 105, 612 00 Brno. </w:t>
      </w:r>
    </w:p>
    <w:p w:rsidR="00822A3F" w:rsidRDefault="00822A3F">
      <w:pPr>
        <w:pStyle w:val="Odstavecseseznamem"/>
        <w:spacing w:after="0" w:line="240" w:lineRule="auto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 dodání předmětu plnění bude oběma smluvními stranami podepsán </w:t>
      </w:r>
      <w:r>
        <w:rPr>
          <w:rFonts w:cstheme="minorHAnsi"/>
          <w:b/>
          <w:bCs/>
        </w:rPr>
        <w:t xml:space="preserve">dodací list. </w:t>
      </w:r>
      <w:r>
        <w:rPr>
          <w:rFonts w:cstheme="minorHAnsi"/>
        </w:rPr>
        <w:t xml:space="preserve">Prodávající je povinen dodat s předmětem plnění kupujícímu i dokumentaci vztahující se k předmětu plnění, nezbytnou pro řádné užití předmětu plnění. </w:t>
      </w:r>
    </w:p>
    <w:p w:rsidR="00822A3F" w:rsidRDefault="00822A3F">
      <w:pPr>
        <w:pStyle w:val="Odstavecseseznamem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Předmět plnění je ve smyslu čl. II. odst. 1 této smlouvy dodán kupujícímu tehdy, potvrdí-li kupující na d</w:t>
      </w:r>
      <w:r>
        <w:rPr>
          <w:rFonts w:cstheme="minorHAnsi"/>
        </w:rPr>
        <w:t xml:space="preserve">odacím listu jeho převzetí. 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suppressAutoHyphens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suppressAutoHyphens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III.  </w:t>
      </w:r>
    </w:p>
    <w:p w:rsidR="00822A3F" w:rsidRDefault="00AF7F9C">
      <w:pPr>
        <w:pStyle w:val="Odstavecseseznamem"/>
        <w:suppressAutoHyphens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CENA ZA DODÁVKU PŘEDMĚTU PLNĚNÍ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Celková cena za dodávku předmětu plnění činí </w:t>
      </w:r>
      <w:r>
        <w:rPr>
          <w:rFonts w:cstheme="minorHAnsi"/>
          <w:b/>
          <w:bCs/>
        </w:rPr>
        <w:t>101 960,- Kč bez DPH</w:t>
      </w:r>
      <w:r>
        <w:rPr>
          <w:rFonts w:cstheme="minorHAnsi"/>
        </w:rPr>
        <w:t xml:space="preserve"> (slovy: sto jedna tisíc devět set šedesát korun českých bez DPH), tj.</w:t>
      </w:r>
      <w:r>
        <w:rPr>
          <w:rFonts w:cstheme="minorHAnsi"/>
          <w:b/>
        </w:rPr>
        <w:t xml:space="preserve"> 123 372,- Kč vč. 21% DPH</w:t>
      </w:r>
      <w:r>
        <w:rPr>
          <w:rFonts w:cstheme="minorHAnsi"/>
        </w:rPr>
        <w:t xml:space="preserve"> (sto dvacet tři tisíc t</w:t>
      </w:r>
      <w:r>
        <w:rPr>
          <w:rFonts w:cstheme="minorHAnsi"/>
        </w:rPr>
        <w:t xml:space="preserve">ři sta sedmdesát dva korun českých vč. 21% DPH).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Cena za dodávku předmětu plnění byla stanovena na základě cenové nabídky prodávajícího, která obsahuje dílčí položky dodávky a tvoří přílohu č. 1 této smlouvy. 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Uvedená cena za dodávku předmětu plnění za</w:t>
      </w:r>
      <w:r>
        <w:rPr>
          <w:rFonts w:cstheme="minorHAnsi"/>
        </w:rPr>
        <w:t xml:space="preserve">hrnuje zejména:  </w:t>
      </w:r>
    </w:p>
    <w:p w:rsidR="00822A3F" w:rsidRDefault="00822A3F">
      <w:pPr>
        <w:pStyle w:val="Odstavecseseznamem"/>
        <w:spacing w:after="0" w:line="240" w:lineRule="auto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cenu za dodávku vlastního SW,</w:t>
      </w:r>
    </w:p>
    <w:p w:rsidR="00822A3F" w:rsidRDefault="00AF7F9C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cenu za dodávku HW, </w:t>
      </w:r>
    </w:p>
    <w:p w:rsidR="00822A3F" w:rsidRDefault="00AF7F9C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náklady na práci technika při instalaci SW a HW a další položky. </w:t>
      </w:r>
    </w:p>
    <w:p w:rsidR="00822A3F" w:rsidRDefault="00822A3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7"/>
        </w:numPr>
        <w:tabs>
          <w:tab w:val="left" w:pos="-142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Cena za dodávku předmětu plnění uvedená v čl. III. odst. 1 této smlouvy bez DPH i vč. DPH ve výši dle platných předpisů bude pro účely této smlouvy označována též jen jako „cena“. Uvedená cena je pevná a nepřekročitelná. </w:t>
      </w:r>
    </w:p>
    <w:p w:rsidR="00822A3F" w:rsidRDefault="00822A3F">
      <w:pPr>
        <w:pStyle w:val="Odstavecseseznamem"/>
        <w:tabs>
          <w:tab w:val="left" w:pos="-142"/>
        </w:tabs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Zkladntext"/>
        <w:numPr>
          <w:ilvl w:val="0"/>
          <w:numId w:val="7"/>
        </w:numPr>
        <w:tabs>
          <w:tab w:val="left" w:pos="-142"/>
        </w:tabs>
        <w:spacing w:after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Dohodnutá cena může být zvýšena dále v případě, že dojde před nebo v průběhu realizace předmětu plnění ke změnám sazeb DPH. 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Zkladntext"/>
        <w:numPr>
          <w:ilvl w:val="0"/>
          <w:numId w:val="7"/>
        </w:numPr>
        <w:tabs>
          <w:tab w:val="left" w:pos="-142"/>
        </w:tabs>
        <w:spacing w:after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není oprávněn cenu plnění či jakoukoliv její část platit v případě, že předmět plnění je vadný nebo není funkční nebo je</w:t>
      </w:r>
      <w:r>
        <w:rPr>
          <w:rFonts w:asciiTheme="minorHAnsi" w:hAnsiTheme="minorHAnsi" w:cstheme="minorHAnsi"/>
          <w:sz w:val="22"/>
          <w:szCs w:val="22"/>
        </w:rPr>
        <w:t xml:space="preserve"> dodán v rozporu s touto smlouvou. </w:t>
      </w:r>
    </w:p>
    <w:p w:rsidR="00822A3F" w:rsidRDefault="00822A3F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IV.  </w:t>
      </w:r>
    </w:p>
    <w:p w:rsidR="00822A3F" w:rsidRDefault="00AF7F9C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PLATEBNÍ PODMÍNKY</w:t>
      </w:r>
    </w:p>
    <w:p w:rsidR="00822A3F" w:rsidRDefault="00822A3F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0" w:firstLine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Smluvní strany se dohodly, že cena za dodávku předmětu plnění bude zaplacena kupujícím po řádném dodání předmětu plnění způsobem uvedeným v čl. II. této smlouvy, a to na základě daňového dokladu vystaveného prodávajícím a předaného kupujícímu se splatností</w:t>
      </w:r>
      <w:r>
        <w:rPr>
          <w:rFonts w:cstheme="minorHAnsi"/>
        </w:rPr>
        <w:t xml:space="preserve"> 21 kalendářních dnů od data vystavení daňového dokladu. Přílohou daňového dokladu musí být dodací list dle čl. II. odst. 3 této smlouvy. </w:t>
      </w:r>
    </w:p>
    <w:p w:rsidR="00822A3F" w:rsidRDefault="00822A3F">
      <w:pPr>
        <w:pStyle w:val="Odstavecseseznamem"/>
        <w:suppressAutoHyphens/>
        <w:spacing w:after="0" w:line="240" w:lineRule="auto"/>
        <w:ind w:left="0" w:firstLine="11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0" w:firstLine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Smluvní strany se dohodly na bezhotovostních platbách převodem na účet prodávajícího uvedený v záhlaví této smlouvy.</w:t>
      </w:r>
      <w:r>
        <w:rPr>
          <w:rFonts w:cstheme="minorHAnsi"/>
        </w:rPr>
        <w:t xml:space="preserve"> Dnem zaplacení se rozumí den, kdy byla dlužná částka připsána na účet prodávajícího. V případě požadavku prodávajícího na úhradu na jiný účet, než je účet uvedený ve smlouvě oznámí prodávající změnu účtu kupujícímu i písemně, nejpozději před vystavením př</w:t>
      </w:r>
      <w:r>
        <w:rPr>
          <w:rFonts w:cstheme="minorHAnsi"/>
        </w:rPr>
        <w:t xml:space="preserve">íslušného daňového dokladu. Pro úhradu daňového dokladu pak bude určující prodávajícím nově oznámený účet. </w:t>
      </w:r>
    </w:p>
    <w:p w:rsidR="00822A3F" w:rsidRDefault="00822A3F">
      <w:pPr>
        <w:pStyle w:val="Odstavecseseznamem"/>
        <w:suppressAutoHyphens/>
        <w:spacing w:after="0" w:line="240" w:lineRule="auto"/>
        <w:ind w:left="0" w:firstLine="11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suppressAutoHyphens/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V.</w:t>
      </w:r>
    </w:p>
    <w:p w:rsidR="00822A3F" w:rsidRDefault="00AF7F9C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cstheme="minorHAnsi"/>
          <w:b/>
          <w:bCs/>
          <w:caps/>
        </w:rPr>
        <w:t>Vlastnické právo</w:t>
      </w:r>
    </w:p>
    <w:p w:rsidR="00822A3F" w:rsidRDefault="00822A3F">
      <w:pPr>
        <w:pStyle w:val="Odstavecseseznamem"/>
        <w:suppressAutoHyphens/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Kupující nabývá vlastnické právo k předmětu plnění okamžikem jeho dodání. Dnem převzetí předmětu plnění současně kupující nabý</w:t>
      </w:r>
      <w:r>
        <w:rPr>
          <w:rFonts w:cstheme="minorHAnsi"/>
        </w:rPr>
        <w:t xml:space="preserve">vá oprávnění užít SW k účelu, ke kterému je určen.  </w:t>
      </w:r>
    </w:p>
    <w:p w:rsidR="00822A3F" w:rsidRDefault="00822A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SMLUVNÍ POKUTY</w:t>
      </w:r>
    </w:p>
    <w:p w:rsidR="00822A3F" w:rsidRDefault="00822A3F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10"/>
        </w:numPr>
        <w:spacing w:after="0" w:line="240" w:lineRule="auto"/>
        <w:ind w:left="141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V případě prodlení prodávajícího s dodáním předmětu plnění v termínu dle čl. II. odst. 1 této smlouvy, je prodávající povinen zaplatit kupujícímu smluvní pokutu ve výši 0,1 % z ceny za dodávku předmětu plnění, a to za každý započatý den prodlení. Zaplacení</w:t>
      </w:r>
      <w:r>
        <w:rPr>
          <w:rFonts w:cstheme="minorHAnsi"/>
        </w:rPr>
        <w:t xml:space="preserve">m smluvní pokuty není dotčeno právo kupujícího na náhradu škody, a to v plné výši nezávisle na smluvní pokutě. </w:t>
      </w:r>
    </w:p>
    <w:p w:rsidR="00822A3F" w:rsidRDefault="00822A3F">
      <w:pPr>
        <w:suppressAutoHyphens/>
        <w:ind w:left="141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0"/>
        </w:numPr>
        <w:spacing w:after="0" w:line="240" w:lineRule="auto"/>
        <w:ind w:left="141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V případě prodlení kupujícího se zaplacením ceny za dodávku předmětu plnění či její části dle této smlouvy, má prodávající nárok požadovat  sml</w:t>
      </w:r>
      <w:r>
        <w:rPr>
          <w:rFonts w:cstheme="minorHAnsi"/>
        </w:rPr>
        <w:t xml:space="preserve">uvní pokutu ve výši 0,1 % z dlužné částky za každý započatý den prodlení. Zaplacením smluvní pokuty není dotčeno právo prodávajícího na náhradu škody, a to v plné výši nezávisle na smluvní pokutě. </w:t>
      </w:r>
    </w:p>
    <w:p w:rsidR="00822A3F" w:rsidRDefault="00822A3F">
      <w:pPr>
        <w:suppressAutoHyphens/>
        <w:ind w:left="141" w:hanging="1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0"/>
        </w:numPr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Zaplacením smluvních pokut ze strany prodávajícího a kupu</w:t>
      </w:r>
      <w:r>
        <w:rPr>
          <w:rFonts w:cstheme="minorHAnsi"/>
        </w:rPr>
        <w:t>jícího dle této smlouvy není dotčeno právo kupujícího a prodávajícího na náhradu škody, a to jak škody skutečné, tak ušlého zisku. Právo na náhradu škody je prodávající i kupující oprávněn uplatňovat samostatně a nezávisle na smluvních pokutách dle této sm</w:t>
      </w:r>
      <w:r>
        <w:rPr>
          <w:rFonts w:cstheme="minorHAnsi"/>
        </w:rPr>
        <w:t xml:space="preserve">louvy.  </w:t>
      </w:r>
    </w:p>
    <w:p w:rsidR="00822A3F" w:rsidRDefault="00822A3F">
      <w:pPr>
        <w:suppressAutoHyphens/>
        <w:ind w:left="141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0"/>
        </w:numPr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Nestanoví-li tato smlouva jinak, smluvní pokuta a náhrada škody jsou splatné do sedmi dnů ode dne doručení písemné výzvy k jejich zaplacení té straně, která porušila smluvní povinnost </w:t>
      </w:r>
      <w:r>
        <w:rPr>
          <w:rFonts w:cstheme="minorHAnsi"/>
        </w:rPr>
        <w:lastRenderedPageBreak/>
        <w:t>stanovenou v této smlouvě, a to na účet uvedený v záhlaví této</w:t>
      </w:r>
      <w:r>
        <w:rPr>
          <w:rFonts w:cstheme="minorHAnsi"/>
        </w:rPr>
        <w:t xml:space="preserve"> smlouvy, není-li ve výzvě stanoveno jinak. </w:t>
      </w:r>
    </w:p>
    <w:p w:rsidR="00822A3F" w:rsidRDefault="00822A3F">
      <w:pPr>
        <w:pStyle w:val="Odstavecseseznamem"/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709"/>
        </w:tabs>
        <w:spacing w:after="0" w:line="240" w:lineRule="auto"/>
        <w:ind w:left="141" w:hanging="11"/>
        <w:jc w:val="both"/>
        <w:rPr>
          <w:rFonts w:asciiTheme="minorHAnsi" w:hAnsiTheme="minorHAnsi" w:cstheme="minorHAnsi"/>
        </w:rPr>
      </w:pPr>
    </w:p>
    <w:p w:rsidR="00822A3F" w:rsidRDefault="00AF7F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:rsidR="00822A3F" w:rsidRDefault="00AF7F9C">
      <w:pPr>
        <w:pStyle w:val="Odstavecseseznamem"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PRÁVA A POVINNOSTI</w:t>
      </w:r>
    </w:p>
    <w:p w:rsidR="00822A3F" w:rsidRDefault="00822A3F">
      <w:pPr>
        <w:pStyle w:val="Odstavecseseznamem"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11"/>
        </w:numPr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se zavazuje, že bude plnit závazky vyplývající z této smlouvy s náležitou péčí.</w:t>
      </w:r>
    </w:p>
    <w:p w:rsidR="00822A3F" w:rsidRDefault="00822A3F">
      <w:pPr>
        <w:pStyle w:val="Odstavecseseznamem"/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1"/>
        </w:numPr>
        <w:suppressAutoHyphens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Kupující se zavazuje poskytnout prodávajícímu součinnost a veškeré potřebné informace nezbytné pro plnění závazků prodávajícího vyplývajících z této smlouvy. </w:t>
      </w:r>
    </w:p>
    <w:p w:rsidR="00822A3F" w:rsidRDefault="00822A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:rsidR="00822A3F" w:rsidRDefault="00AF7F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ODPOVĚDNOST ZA ŠKODU</w:t>
      </w:r>
    </w:p>
    <w:p w:rsidR="00822A3F" w:rsidRDefault="00822A3F">
      <w:pPr>
        <w:pStyle w:val="Odstavecseseznamem"/>
        <w:spacing w:after="0"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pStyle w:val="Odstavecseseznamem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odpovídá kupujícímu za škodu, kterou by mu způsobil poru</w:t>
      </w:r>
      <w:r>
        <w:rPr>
          <w:rFonts w:cstheme="minorHAnsi"/>
        </w:rPr>
        <w:t xml:space="preserve">šením jakékoliv povinnosti stanovené touto smlouvou.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neodpovídá kupujícímu za škodu, kterou s přihlédnutím ke všem okolnostem, nemohl při vzniku závazkového vztahu s kupujícím předvídat.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Kupující nemá nárok na náhradu škody, pokud porušení </w:t>
      </w:r>
      <w:r>
        <w:rPr>
          <w:rFonts w:cstheme="minorHAnsi"/>
        </w:rPr>
        <w:t xml:space="preserve">povinnosti ze strany prodávajícího  bylo způsobeno jednáním kupujícího nebo nedostatkem součinnosti kupujícího, ke které je povinen dle této smlouvy či právního předpisu. </w:t>
      </w:r>
    </w:p>
    <w:p w:rsidR="00822A3F" w:rsidRDefault="00822A3F">
      <w:pPr>
        <w:pStyle w:val="Odstavecseseznamem"/>
        <w:suppressAutoHyphens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:rsidR="00822A3F" w:rsidRDefault="00AF7F9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Změna smlouvy, zánik smlouvy </w:t>
      </w:r>
    </w:p>
    <w:p w:rsidR="00822A3F" w:rsidRDefault="00822A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3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Tato smlouva může být ukončena dohodou smluvních stran v písemné formě. 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3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Odstoupení od smlouvy prodávajícím je možné v těchto případech: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numPr>
          <w:ilvl w:val="0"/>
          <w:numId w:val="2"/>
        </w:numPr>
        <w:tabs>
          <w:tab w:val="left" w:pos="567"/>
        </w:tabs>
        <w:ind w:left="0"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bude v prodlení s úhradou svých peněžitých závazků po dobu delší než 30 dnů;</w:t>
      </w:r>
    </w:p>
    <w:p w:rsidR="00822A3F" w:rsidRDefault="00AF7F9C">
      <w:pPr>
        <w:numPr>
          <w:ilvl w:val="0"/>
          <w:numId w:val="2"/>
        </w:numPr>
        <w:tabs>
          <w:tab w:val="left" w:pos="567"/>
        </w:tabs>
        <w:ind w:left="0"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opakovaně neposkytne p</w:t>
      </w:r>
      <w:r>
        <w:rPr>
          <w:rFonts w:asciiTheme="minorHAnsi" w:hAnsiTheme="minorHAnsi" w:cstheme="minorHAnsi"/>
          <w:sz w:val="22"/>
          <w:szCs w:val="22"/>
        </w:rPr>
        <w:t>rodávajícímu součinnost zcela nezbytnou pro řádné plnění této smlouvy ze strany prodávajícího, a to i přesto, že na prodlení s touto povinností bude prodávajícím písemně upozorněn a nezjedná nápravu ani v dodatečně poskytnuté přiměřené lhůtě.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3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Odstoupení o</w:t>
      </w:r>
      <w:r>
        <w:rPr>
          <w:rFonts w:cstheme="minorHAnsi"/>
        </w:rPr>
        <w:t>d smlouvy kupujícím je možné v těchto případech:</w:t>
      </w:r>
    </w:p>
    <w:p w:rsidR="00822A3F" w:rsidRDefault="00822A3F">
      <w:pPr>
        <w:pStyle w:val="Odstavecseseznamem"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</w:p>
    <w:p w:rsidR="00822A3F" w:rsidRDefault="00AF7F9C">
      <w:pPr>
        <w:numPr>
          <w:ilvl w:val="0"/>
          <w:numId w:val="1"/>
        </w:numPr>
        <w:tabs>
          <w:tab w:val="left" w:pos="567"/>
        </w:tabs>
        <w:ind w:left="0"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bude v prodlení se splněním své povinnosti dle této smlouvy po dobu delší než 30 dnů, nestanoví-li tato smlouva pro možnost odstoupit od smlouvy lhůtu kratší </w:t>
      </w:r>
    </w:p>
    <w:p w:rsidR="00822A3F" w:rsidRDefault="00AF7F9C">
      <w:pPr>
        <w:numPr>
          <w:ilvl w:val="0"/>
          <w:numId w:val="1"/>
        </w:numPr>
        <w:tabs>
          <w:tab w:val="left" w:pos="567"/>
        </w:tabs>
        <w:ind w:left="0"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při plnění této smlouvy</w:t>
      </w:r>
      <w:r>
        <w:rPr>
          <w:rFonts w:asciiTheme="minorHAnsi" w:hAnsiTheme="minorHAnsi" w:cstheme="minorHAnsi"/>
          <w:sz w:val="22"/>
          <w:szCs w:val="22"/>
        </w:rPr>
        <w:t xml:space="preserve"> nedodrží závazné právní předpisy nebo technické normy;</w:t>
      </w:r>
    </w:p>
    <w:p w:rsidR="00822A3F" w:rsidRDefault="00822A3F">
      <w:pPr>
        <w:tabs>
          <w:tab w:val="left" w:pos="0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3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Odstoupení od smlouvy musí mít být učiněno písemnou formu, přičemž písemný projev vůle odstoupit od smlouvy musí být druhé smluvní straně doručen. Účinky každého odstoupení od smlouvy nastanou </w:t>
      </w:r>
      <w:r>
        <w:rPr>
          <w:rFonts w:cstheme="minorHAnsi"/>
        </w:rPr>
        <w:t>okamžikem doručení písemného projevu vůle odstoupit od smlouvy druhé smluvní straně. Odstoupení od smlouvy se nedotkne případného nároku na náhradu škody vzniklé porušením smlouvy nebo nároku na zaplacení smluvních pokut.</w:t>
      </w:r>
    </w:p>
    <w:p w:rsidR="00822A3F" w:rsidRDefault="00822A3F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:rsidR="00822A3F" w:rsidRDefault="00AF7F9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Doručování</w:t>
      </w:r>
    </w:p>
    <w:p w:rsidR="00822A3F" w:rsidRDefault="00822A3F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22A3F" w:rsidRDefault="00AF7F9C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Adresou pro </w:t>
      </w:r>
      <w:r>
        <w:rPr>
          <w:rFonts w:cstheme="minorHAnsi"/>
        </w:rPr>
        <w:t>doručování jsou u každé smluvní strany adresy sídel uvedené v záhlaví této smlouvy.</w:t>
      </w:r>
    </w:p>
    <w:p w:rsidR="00822A3F" w:rsidRDefault="00822A3F">
      <w:pPr>
        <w:pStyle w:val="Odstavecseseznamem"/>
        <w:widowControl w:val="0"/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Adresy shora uvedené jsou rozhodné pro právní účinek doručení.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Doručuje se zpravidla poštou. Každá smluvní strana je oprávněna doručit písemnosti také osobně, či prostřed</w:t>
      </w:r>
      <w:r>
        <w:rPr>
          <w:rFonts w:cstheme="minorHAnsi"/>
        </w:rPr>
        <w:t xml:space="preserve">nictvím písemně zmocněné osoby. Není-li adresát zastižen, doručí se jiné dospělé osobě nacházející se v místě adresy pro doručování. Není-li možno ani takto doručit, uloží se písemnost na poště nebo v místě sídla toho z účastníků, který doručuje a adresát </w:t>
      </w:r>
      <w:r>
        <w:rPr>
          <w:rFonts w:cstheme="minorHAnsi"/>
        </w:rPr>
        <w:t xml:space="preserve">se vhodným způsobem vyzve, aby si písemnost vyzvedl. Písemnost se považuje za doručenou dnem, kdy byla uložena, i když se adresát o uložení nedozvěděl. Pokud adresát odmítne převzetí doručované listiny, je listina doručena okamžikem odmítnutí. Zápis o tom </w:t>
      </w:r>
      <w:r>
        <w:rPr>
          <w:rFonts w:cstheme="minorHAnsi"/>
        </w:rPr>
        <w:t xml:space="preserve">vyznačí na listinu či její obal osoba provádějící doručení. </w:t>
      </w:r>
    </w:p>
    <w:p w:rsidR="00822A3F" w:rsidRDefault="00822A3F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XI. </w:t>
      </w:r>
    </w:p>
    <w:p w:rsidR="00822A3F" w:rsidRDefault="00AF7F9C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822A3F" w:rsidRDefault="00822A3F">
      <w:pPr>
        <w:pStyle w:val="Odstavecseseznamem"/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Veškerá vzájemná práva a povinnosti smluvních stran vyplývající z uzavřené smlouvy se řídí právem České republiky, zejména zákonem č. 89/2012 Sb., občanský zákoník. 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Nadpis2"/>
        <w:numPr>
          <w:ilvl w:val="0"/>
          <w:numId w:val="15"/>
        </w:numPr>
        <w:spacing w:before="0"/>
        <w:ind w:left="0" w:hanging="11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Žádná smluvní strana není oprávněna převést práva a povinnosti z této smlouvy vyplývající na třetí osobu bez předchozího písemného souhlasu druhé smluvní strany. </w:t>
      </w:r>
    </w:p>
    <w:p w:rsidR="00822A3F" w:rsidRDefault="00822A3F">
      <w:pPr>
        <w:ind w:hanging="11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Nadpis2"/>
        <w:numPr>
          <w:ilvl w:val="0"/>
          <w:numId w:val="15"/>
        </w:numPr>
        <w:spacing w:before="0"/>
        <w:ind w:left="0" w:hanging="11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Každá smluvní strana na sebe touto smlouvou přejímá nebezpečí změny okolností dle ust. § 176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5 zákona č. 89/2012 Sb., občanský zákoník. </w:t>
      </w:r>
    </w:p>
    <w:p w:rsidR="00822A3F" w:rsidRDefault="00822A3F">
      <w:pPr>
        <w:pStyle w:val="Nadpis2"/>
        <w:spacing w:before="0"/>
        <w:ind w:hanging="11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Smluvní strany se zavazují vzájemně respektovat své oprávněné zájmy související se smlouvou a poskytovat si veškerou nutnou součinnost, kterou lze spravedlivě požadovat k tomu, aby bylo dosaženo účelu smlouvy, z</w:t>
      </w:r>
      <w:r>
        <w:rPr>
          <w:rFonts w:cstheme="minorHAnsi"/>
        </w:rPr>
        <w:t>ejména učinit veškerá právní jednání k tomu nezbytná.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Tato smlouva nabývá platnosti a účinnosti dnem, kdy je podepsána oběma smluvními stranami. 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 xml:space="preserve">Tuto smlouvu je možné měnit pouze písemně, a to formou písemných číslovaných dodatků. 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5"/>
        </w:numPr>
        <w:spacing w:after="0" w:line="240" w:lineRule="auto"/>
        <w:ind w:left="0"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cstheme="minorHAnsi"/>
        </w:rPr>
        <w:t>Tato smlouva je seps</w:t>
      </w:r>
      <w:r>
        <w:rPr>
          <w:rFonts w:cstheme="minorHAnsi"/>
        </w:rPr>
        <w:t>ána ve dvou vyhotoveních, z nichž každá smluvní strana obdrží po jednom.</w:t>
      </w:r>
    </w:p>
    <w:p w:rsidR="00822A3F" w:rsidRDefault="00822A3F">
      <w:pPr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822A3F" w:rsidRDefault="00AF7F9C">
      <w:pPr>
        <w:pStyle w:val="Odstavecseseznamem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Smluvní strany prohlašují, že si tuto smlouvu přečetly, jejímu obsahu plně porozuměly, tento v nich nevyvolává žádné pochybnosti ani neumožňuje dvojí výklad. 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Tato smlouva nabývá pl</w:t>
      </w:r>
      <w:r>
        <w:rPr>
          <w:rFonts w:cstheme="minorHAnsi"/>
        </w:rPr>
        <w:t>atnosti dnem podpisu obou účastníků. Účinnosti nabude, v případě povinnosti ji zveřejnit dle Zákona č. 340/2015 Sb. Zákona o zvláštních podmínkách účinnosti některých smluv, uveřejňováním těchto smluv a o registru smluv v platném znění – dnem jejího zveřej</w:t>
      </w:r>
      <w:r>
        <w:rPr>
          <w:rFonts w:cstheme="minorHAnsi"/>
        </w:rPr>
        <w:t>nění v Registru smluv. V případě, že zveřejňována podle tohoto zákona být nemusí – dnes podpisu oběma smluvními stranami. Obě strany se zavazují v průběhu platnosti smlouvy spolupracovat při realizaci jejího předmětu plnění.</w:t>
      </w:r>
    </w:p>
    <w:p w:rsidR="00822A3F" w:rsidRDefault="00AF7F9C">
      <w:pPr>
        <w:pStyle w:val="Nadpis2"/>
        <w:numPr>
          <w:ilvl w:val="0"/>
          <w:numId w:val="15"/>
        </w:numPr>
        <w:ind w:left="0" w:hanging="11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Smluvní strany se dohodly, že k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naplnění zákonné povinnosti zveřejnit tuto smlouvu – dle Zákona č. 340/2015 Sb., Zákona o zvláštních podmínkách účinnosti některých smluv, uveřejňování těchto smluv a o registru smluv v platném znění - zveřejní  tuto smlouvu Technické muzeum v Brně. Zveře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jněním této smlouvy nejsou dotčena práva druhé smluvní strany ve smyslu Zákona č. 101/2000 Sb., o ochraně osobních údajů, v platném znění a oprávněná smluvní strana dává tímto souhlas Technickému muzeu v Brně ke zpracování a zveřejnění osobních údajů druhé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smluvní strany, dle § 5 Zákona č. 101/2000 Sb., o ochraně osobních údajů, v platném znění.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:rsidR="00822A3F" w:rsidRDefault="00822A3F">
      <w:pPr>
        <w:pStyle w:val="Odstavecseseznamem"/>
        <w:spacing w:after="0" w:line="240" w:lineRule="auto"/>
        <w:ind w:left="0" w:hanging="11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1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Účastníci této smlouvy výslovně prohlašují, každý za svoji osobu, že tato smlouva byla sepsána vážně a srozumitelně, je projevem jejich svobodné, vážné a pravé vů</w:t>
      </w:r>
      <w:r>
        <w:rPr>
          <w:rFonts w:cstheme="minorHAnsi"/>
        </w:rPr>
        <w:t>le prosté omylu, a nebyla uzavřena v tísni či za nápadně nevýhodných podmínek, což stvrzují svými podpisy.</w:t>
      </w:r>
    </w:p>
    <w:p w:rsidR="00822A3F" w:rsidRDefault="00822A3F">
      <w:pPr>
        <w:pStyle w:val="Odstavecseseznamem"/>
        <w:spacing w:after="0" w:line="240" w:lineRule="auto"/>
        <w:ind w:left="0" w:firstLine="11"/>
        <w:outlineLvl w:val="0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spacing w:after="0" w:line="240" w:lineRule="auto"/>
        <w:ind w:left="0"/>
        <w:outlineLvl w:val="0"/>
        <w:rPr>
          <w:rFonts w:asciiTheme="minorHAnsi" w:hAnsiTheme="minorHAnsi" w:cstheme="minorHAnsi"/>
        </w:rPr>
      </w:pPr>
      <w:r>
        <w:rPr>
          <w:rFonts w:cstheme="minorHAnsi"/>
        </w:rPr>
        <w:t xml:space="preserve">Přílohy: </w:t>
      </w:r>
      <w:r>
        <w:rPr>
          <w:rFonts w:cstheme="minorHAnsi"/>
        </w:rPr>
        <w:tab/>
      </w:r>
    </w:p>
    <w:p w:rsidR="00822A3F" w:rsidRDefault="00AF7F9C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cstheme="minorHAnsi"/>
          <w:u w:val="single"/>
        </w:rPr>
        <w:t>Příloha č. 1</w:t>
      </w:r>
      <w:r>
        <w:rPr>
          <w:rFonts w:cstheme="minorHAnsi"/>
        </w:rPr>
        <w:t xml:space="preserve"> –  technická specifikace SW včetně cenové nabídky</w:t>
      </w:r>
    </w:p>
    <w:p w:rsidR="00822A3F" w:rsidRDefault="00822A3F">
      <w:pPr>
        <w:pStyle w:val="Odstavecseseznamem"/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tabs>
          <w:tab w:val="left" w:pos="5529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  <w:r>
        <w:rPr>
          <w:rFonts w:cstheme="minorHAnsi"/>
        </w:rPr>
        <w:t>V Brně dne</w:t>
      </w:r>
      <w:r>
        <w:rPr>
          <w:rFonts w:cstheme="minorHAnsi"/>
        </w:rPr>
        <w:tab/>
        <w:t xml:space="preserve">Ve Brně dne </w:t>
      </w:r>
    </w:p>
    <w:p w:rsidR="00822A3F" w:rsidRDefault="00822A3F">
      <w:pPr>
        <w:pStyle w:val="Odstavecseseznamem"/>
        <w:tabs>
          <w:tab w:val="left" w:pos="6379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6096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tabs>
          <w:tab w:val="left" w:pos="5529"/>
        </w:tabs>
        <w:spacing w:after="0" w:line="240" w:lineRule="auto"/>
        <w:ind w:left="0"/>
        <w:outlineLvl w:val="0"/>
        <w:rPr>
          <w:rStyle w:val="preformatted"/>
          <w:rFonts w:asciiTheme="minorHAnsi" w:hAnsiTheme="minorHAnsi" w:cstheme="minorHAnsi"/>
          <w:b/>
          <w:bCs/>
        </w:rPr>
      </w:pPr>
      <w:r>
        <w:rPr>
          <w:rStyle w:val="preformatted"/>
          <w:rFonts w:cstheme="minorHAnsi"/>
          <w:b/>
          <w:bCs/>
        </w:rPr>
        <w:tab/>
      </w:r>
    </w:p>
    <w:p w:rsidR="00822A3F" w:rsidRDefault="00822A3F">
      <w:pPr>
        <w:pStyle w:val="Odstavecseseznamem"/>
        <w:tabs>
          <w:tab w:val="left" w:pos="5529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822A3F">
      <w:pPr>
        <w:pStyle w:val="Odstavecseseznamem"/>
        <w:tabs>
          <w:tab w:val="left" w:pos="6096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</w:p>
    <w:p w:rsidR="00822A3F" w:rsidRDefault="00AF7F9C">
      <w:pPr>
        <w:pStyle w:val="Odstavecseseznamem"/>
        <w:tabs>
          <w:tab w:val="left" w:pos="5529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  <w:r>
        <w:rPr>
          <w:rFonts w:cstheme="minorHAnsi"/>
        </w:rPr>
        <w:t>____________________</w:t>
      </w:r>
      <w:r>
        <w:rPr>
          <w:rFonts w:cstheme="minorHAnsi"/>
        </w:rPr>
        <w:tab/>
        <w:t>__________________</w:t>
      </w:r>
    </w:p>
    <w:p w:rsidR="00822A3F" w:rsidRDefault="00AF7F9C">
      <w:pPr>
        <w:pStyle w:val="Odstavecseseznamem"/>
        <w:tabs>
          <w:tab w:val="left" w:pos="709"/>
          <w:tab w:val="left" w:pos="5529"/>
        </w:tabs>
        <w:spacing w:after="0" w:line="240" w:lineRule="auto"/>
        <w:ind w:left="0"/>
        <w:outlineLvl w:val="0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 </w:t>
      </w:r>
    </w:p>
    <w:p w:rsidR="00822A3F" w:rsidRDefault="00AF7F9C">
      <w:r>
        <w:rPr>
          <w:rFonts w:asciiTheme="minorHAnsi" w:hAnsiTheme="minorHAnsi" w:cstheme="minorHAnsi"/>
          <w:sz w:val="22"/>
          <w:szCs w:val="22"/>
        </w:rPr>
        <w:t>Ing. Ivo Štěpánek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Dušan Homolka, jednatel</w:t>
      </w:r>
    </w:p>
    <w:p w:rsidR="00822A3F" w:rsidRDefault="00AF7F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kupujícího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prodávajícího</w:t>
      </w:r>
    </w:p>
    <w:p w:rsidR="00822A3F" w:rsidRDefault="00822A3F"/>
    <w:sectPr w:rsidR="00822A3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9C" w:rsidRDefault="00AF7F9C">
      <w:r>
        <w:separator/>
      </w:r>
    </w:p>
  </w:endnote>
  <w:endnote w:type="continuationSeparator" w:id="0">
    <w:p w:rsidR="00AF7F9C" w:rsidRDefault="00AF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3F" w:rsidRDefault="00AF7F9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26C25">
      <w:rPr>
        <w:noProof/>
      </w:rPr>
      <w:t>3</w:t>
    </w:r>
    <w:r>
      <w:fldChar w:fldCharType="end"/>
    </w:r>
  </w:p>
  <w:p w:rsidR="00822A3F" w:rsidRDefault="00822A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9C" w:rsidRDefault="00AF7F9C">
      <w:r>
        <w:separator/>
      </w:r>
    </w:p>
  </w:footnote>
  <w:footnote w:type="continuationSeparator" w:id="0">
    <w:p w:rsidR="00AF7F9C" w:rsidRDefault="00AF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DD"/>
    <w:multiLevelType w:val="multilevel"/>
    <w:tmpl w:val="13283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260"/>
    <w:multiLevelType w:val="multilevel"/>
    <w:tmpl w:val="E1B22F4A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lowerLetter"/>
      <w:lvlText w:val="%2."/>
      <w:lvlJc w:val="left"/>
      <w:pPr>
        <w:ind w:left="1418" w:hanging="360"/>
      </w:pPr>
    </w:lvl>
    <w:lvl w:ilvl="2">
      <w:start w:val="1"/>
      <w:numFmt w:val="lowerRoman"/>
      <w:lvlText w:val="%3."/>
      <w:lvlJc w:val="right"/>
      <w:pPr>
        <w:ind w:left="2138" w:hanging="180"/>
      </w:pPr>
    </w:lvl>
    <w:lvl w:ilvl="3">
      <w:start w:val="1"/>
      <w:numFmt w:val="decimal"/>
      <w:lvlText w:val="%4."/>
      <w:lvlJc w:val="left"/>
      <w:pPr>
        <w:ind w:left="2858" w:hanging="360"/>
      </w:pPr>
    </w:lvl>
    <w:lvl w:ilvl="4">
      <w:start w:val="1"/>
      <w:numFmt w:val="lowerLetter"/>
      <w:lvlText w:val="%5."/>
      <w:lvlJc w:val="left"/>
      <w:pPr>
        <w:ind w:left="3578" w:hanging="360"/>
      </w:pPr>
    </w:lvl>
    <w:lvl w:ilvl="5">
      <w:start w:val="1"/>
      <w:numFmt w:val="lowerRoman"/>
      <w:lvlText w:val="%6."/>
      <w:lvlJc w:val="right"/>
      <w:pPr>
        <w:ind w:left="4298" w:hanging="180"/>
      </w:pPr>
    </w:lvl>
    <w:lvl w:ilvl="6">
      <w:start w:val="1"/>
      <w:numFmt w:val="decimal"/>
      <w:lvlText w:val="%7."/>
      <w:lvlJc w:val="left"/>
      <w:pPr>
        <w:ind w:left="5018" w:hanging="360"/>
      </w:pPr>
    </w:lvl>
    <w:lvl w:ilvl="7">
      <w:start w:val="1"/>
      <w:numFmt w:val="lowerLetter"/>
      <w:lvlText w:val="%8."/>
      <w:lvlJc w:val="left"/>
      <w:pPr>
        <w:ind w:left="5738" w:hanging="360"/>
      </w:pPr>
    </w:lvl>
    <w:lvl w:ilvl="8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0CD16985"/>
    <w:multiLevelType w:val="multilevel"/>
    <w:tmpl w:val="A3068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7B59"/>
    <w:multiLevelType w:val="multilevel"/>
    <w:tmpl w:val="AC64015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A3EC3"/>
    <w:multiLevelType w:val="multilevel"/>
    <w:tmpl w:val="F10AD292"/>
    <w:lvl w:ilvl="0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>
    <w:nsid w:val="319B4FA0"/>
    <w:multiLevelType w:val="multilevel"/>
    <w:tmpl w:val="C30077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D720DF5"/>
    <w:multiLevelType w:val="multilevel"/>
    <w:tmpl w:val="584A7A9C"/>
    <w:lvl w:ilvl="0">
      <w:start w:val="2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1DA"/>
    <w:multiLevelType w:val="multilevel"/>
    <w:tmpl w:val="17DA7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6FAD"/>
    <w:multiLevelType w:val="multilevel"/>
    <w:tmpl w:val="0B26FC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E11E1"/>
    <w:multiLevelType w:val="multilevel"/>
    <w:tmpl w:val="0B2A9DDE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40"/>
      </w:pPr>
    </w:lvl>
    <w:lvl w:ilvl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0">
    <w:nsid w:val="5C736D22"/>
    <w:multiLevelType w:val="multilevel"/>
    <w:tmpl w:val="04BAB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997"/>
    <w:multiLevelType w:val="multilevel"/>
    <w:tmpl w:val="E6A04C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D0450"/>
    <w:multiLevelType w:val="multilevel"/>
    <w:tmpl w:val="29F86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45E71"/>
    <w:multiLevelType w:val="multilevel"/>
    <w:tmpl w:val="B77CBEDC"/>
    <w:lvl w:ilvl="0">
      <w:start w:val="2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63716"/>
    <w:multiLevelType w:val="multilevel"/>
    <w:tmpl w:val="E8FE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301CD"/>
    <w:multiLevelType w:val="multilevel"/>
    <w:tmpl w:val="898C4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3F"/>
    <w:rsid w:val="00822A3F"/>
    <w:rsid w:val="00A26C25"/>
    <w:rsid w:val="00A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5A"/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7135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qFormat/>
    <w:pPr>
      <w:ind w:left="51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07135A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qFormat/>
    <w:rsid w:val="0007135A"/>
  </w:style>
  <w:style w:type="character" w:customStyle="1" w:styleId="ZpatChar">
    <w:name w:val="Zápatí Char"/>
    <w:basedOn w:val="Standardnpsmoodstavce"/>
    <w:link w:val="Zpat"/>
    <w:uiPriority w:val="99"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bCs w:val="0"/>
      <w:color w:val="auto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b w:val="0"/>
      <w:bCs w:val="0"/>
      <w:sz w:val="22"/>
    </w:rPr>
  </w:style>
  <w:style w:type="character" w:customStyle="1" w:styleId="ListLabel6">
    <w:name w:val="ListLabel 6"/>
    <w:qFormat/>
    <w:rPr>
      <w:rFonts w:eastAsia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07135A"/>
    <w:pPr>
      <w:spacing w:after="12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135A"/>
    <w:pPr>
      <w:spacing w:before="60" w:after="120"/>
      <w:ind w:left="283"/>
      <w:jc w:val="both"/>
    </w:pPr>
  </w:style>
  <w:style w:type="paragraph" w:styleId="Odstavecseseznamem">
    <w:name w:val="List Paragraph"/>
    <w:basedOn w:val="Normln"/>
    <w:uiPriority w:val="99"/>
    <w:qFormat/>
    <w:rsid w:val="000713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atum1">
    <w:name w:val="Datum1"/>
    <w:basedOn w:val="Normln"/>
    <w:next w:val="Normln"/>
    <w:uiPriority w:val="99"/>
    <w:qFormat/>
    <w:rsid w:val="0007135A"/>
    <w:pPr>
      <w:ind w:firstLine="284"/>
    </w:pPr>
    <w:rPr>
      <w:lang w:eastAsia="ar-SA"/>
    </w:rPr>
  </w:style>
  <w:style w:type="paragraph" w:styleId="Zpat">
    <w:name w:val="footer"/>
    <w:basedOn w:val="Normln"/>
    <w:link w:val="ZpatChar"/>
    <w:uiPriority w:val="99"/>
    <w:rsid w:val="0007135A"/>
    <w:pPr>
      <w:tabs>
        <w:tab w:val="center" w:pos="4536"/>
        <w:tab w:val="right" w:pos="9072"/>
      </w:tabs>
    </w:pPr>
  </w:style>
  <w:style w:type="paragraph" w:customStyle="1" w:styleId="Styl">
    <w:name w:val="Styl"/>
    <w:qFormat/>
    <w:rsid w:val="0007135A"/>
    <w:pPr>
      <w:widowControl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5A"/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7135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qFormat/>
    <w:pPr>
      <w:ind w:left="51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07135A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qFormat/>
    <w:rsid w:val="0007135A"/>
  </w:style>
  <w:style w:type="character" w:customStyle="1" w:styleId="ZpatChar">
    <w:name w:val="Zápatí Char"/>
    <w:basedOn w:val="Standardnpsmoodstavce"/>
    <w:link w:val="Zpat"/>
    <w:uiPriority w:val="99"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0713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bCs w:val="0"/>
      <w:color w:val="auto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b w:val="0"/>
      <w:bCs w:val="0"/>
      <w:sz w:val="22"/>
    </w:rPr>
  </w:style>
  <w:style w:type="character" w:customStyle="1" w:styleId="ListLabel6">
    <w:name w:val="ListLabel 6"/>
    <w:qFormat/>
    <w:rPr>
      <w:rFonts w:eastAsia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07135A"/>
    <w:pPr>
      <w:spacing w:after="12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135A"/>
    <w:pPr>
      <w:spacing w:before="60" w:after="120"/>
      <w:ind w:left="283"/>
      <w:jc w:val="both"/>
    </w:pPr>
  </w:style>
  <w:style w:type="paragraph" w:styleId="Odstavecseseznamem">
    <w:name w:val="List Paragraph"/>
    <w:basedOn w:val="Normln"/>
    <w:uiPriority w:val="99"/>
    <w:qFormat/>
    <w:rsid w:val="000713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atum1">
    <w:name w:val="Datum1"/>
    <w:basedOn w:val="Normln"/>
    <w:next w:val="Normln"/>
    <w:uiPriority w:val="99"/>
    <w:qFormat/>
    <w:rsid w:val="0007135A"/>
    <w:pPr>
      <w:ind w:firstLine="284"/>
    </w:pPr>
    <w:rPr>
      <w:lang w:eastAsia="ar-SA"/>
    </w:rPr>
  </w:style>
  <w:style w:type="paragraph" w:styleId="Zpat">
    <w:name w:val="footer"/>
    <w:basedOn w:val="Normln"/>
    <w:link w:val="ZpatChar"/>
    <w:uiPriority w:val="99"/>
    <w:rsid w:val="0007135A"/>
    <w:pPr>
      <w:tabs>
        <w:tab w:val="center" w:pos="4536"/>
        <w:tab w:val="right" w:pos="9072"/>
      </w:tabs>
    </w:pPr>
  </w:style>
  <w:style w:type="paragraph" w:customStyle="1" w:styleId="Styl">
    <w:name w:val="Styl"/>
    <w:qFormat/>
    <w:rsid w:val="0007135A"/>
    <w:pPr>
      <w:widowControl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Žák</dc:creator>
  <cp:lastModifiedBy>Radek Žák</cp:lastModifiedBy>
  <cp:revision>2</cp:revision>
  <dcterms:created xsi:type="dcterms:W3CDTF">2020-12-30T08:05:00Z</dcterms:created>
  <dcterms:modified xsi:type="dcterms:W3CDTF">2020-12-30T08:05:00Z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