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30.15pt;margin-top:5.3pt;width:191.5pt;height:17.75pt;z-index:251657728;mso-wrap-distance-left:5.pt;mso-wrap-distance-right:5.pt;mso-position-horizontal-relative:margin" filled="f" stroked="f">
            <v:textbox style="mso-fit-shape-to-text:t" inset="0,0,0,0">
              <w:txbxContent>
                <w:p>
                  <w:pPr>
                    <w:pStyle w:val="Style3"/>
                    <w:widowControl w:val="0"/>
                    <w:keepNext/>
                    <w:keepLines/>
                    <w:shd w:val="clear" w:color="auto" w:fill="auto"/>
                    <w:bidi w:val="0"/>
                    <w:jc w:val="left"/>
                    <w:spacing w:before="0" w:after="0" w:line="240" w:lineRule="exact"/>
                    <w:ind w:left="0" w:right="0" w:firstLine="0"/>
                  </w:pPr>
                  <w:bookmarkStart w:id="0" w:name="bookmark0"/>
                  <w:r>
                    <w:rPr>
                      <w:rStyle w:val="CharStyle5"/>
                    </w:rPr>
                    <w:t>Making our world more productive</w:t>
                  </w:r>
                  <w:bookmarkEnd w:id="0"/>
                </w:p>
              </w:txbxContent>
            </v:textbox>
            <w10:wrap anchorx="margin"/>
          </v:shape>
        </w:pict>
      </w:r>
      <w:r>
        <w:pict>
          <v:shape id="_x0000_s1027" type="#_x0000_t202" style="position:absolute;margin-left:3.75pt;margin-top:65.3pt;width:57.6pt;height:10.05pt;z-index:251657729;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140" w:lineRule="exact"/>
                    <w:ind w:left="0" w:right="0" w:firstLine="0"/>
                  </w:pPr>
                  <w:r>
                    <w:rPr>
                      <w:lang w:val="en-US" w:eastAsia="en-US" w:bidi="en-US"/>
                      <w:w w:val="100"/>
                      <w:spacing w:val="0"/>
                      <w:color w:val="000000"/>
                      <w:position w:val="0"/>
                    </w:rPr>
                    <w:t>Linde Gas a.s.</w:t>
                  </w:r>
                </w:p>
              </w:txbxContent>
            </v:textbox>
            <w10:wrap anchorx="margin"/>
          </v:shape>
        </w:pict>
      </w:r>
      <w:r>
        <w:pict>
          <v:shape id="_x0000_s1028" type="#_x0000_t202" style="position:absolute;margin-left:3.75pt;margin-top:99.2pt;width:54.25pt;height:12.6pt;z-index:251657730;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90" w:lineRule="exact"/>
                    <w:ind w:left="0" w:right="0" w:firstLine="0"/>
                  </w:pPr>
                  <w:r>
                    <w:rPr>
                      <w:rStyle w:val="CharStyle10"/>
                    </w:rPr>
                    <w:t>a zákazník</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10.95pt;margin-top:0;width:215.5pt;height:110.9pt;z-index:-251658752;mso-wrap-distance-left:5.pt;mso-wrap-distance-right:5.pt;mso-position-horizontal-relative:margin" wrapcoords="0 0">
            <v:imagedata r:id="rId5" r:href="rId6"/>
            <w10:wrap anchorx="margin"/>
          </v:shape>
        </w:pict>
      </w:r>
      <w:r>
        <w:pict>
          <v:shape id="_x0000_s1030" type="#_x0000_t202" style="position:absolute;margin-left:257.7pt;margin-top:110.25pt;width:266.4pt;height:38.55pt;z-index:251657731;mso-wrap-distance-left:5.pt;mso-wrap-distance-right:5.pt;mso-position-horizontal-relative:margin" filled="f" stroked="f">
            <v:textbox style="mso-fit-shape-to-text:t" inset="0,0,0,0">
              <w:txbxContent>
                <w:p>
                  <w:pPr>
                    <w:pStyle w:val="Style11"/>
                    <w:widowControl w:val="0"/>
                    <w:keepNext/>
                    <w:keepLines/>
                    <w:shd w:val="clear" w:color="auto" w:fill="auto"/>
                    <w:bidi w:val="0"/>
                    <w:jc w:val="left"/>
                    <w:spacing w:before="0" w:after="0" w:line="280" w:lineRule="exact"/>
                    <w:ind w:left="0" w:right="0" w:firstLine="0"/>
                  </w:pPr>
                  <w:bookmarkStart w:id="1" w:name="bookmark1"/>
                  <w:r>
                    <w:rPr>
                      <w:lang w:val="cs-CZ" w:eastAsia="cs-CZ" w:bidi="cs-CZ"/>
                      <w:w w:val="100"/>
                      <w:spacing w:val="0"/>
                      <w:color w:val="000000"/>
                      <w:position w:val="0"/>
                    </w:rPr>
                    <w:t>Smlouvu o dlouhodobém pronájmu</w:t>
                  </w:r>
                  <w:bookmarkEnd w:id="1"/>
                </w:p>
              </w:txbxContent>
            </v:textbox>
            <w10:wrap anchorx="margin"/>
          </v:shape>
        </w:pict>
      </w:r>
      <w:r>
        <w:pict>
          <v:shape id="_x0000_s1031" type="#_x0000_t202" style="position:absolute;margin-left:3.3pt;margin-top:149.8pt;width:154.55pt;height:50.85pt;z-index:251657732;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40" w:lineRule="exact"/>
                    <w:ind w:left="0" w:right="0" w:firstLine="0"/>
                  </w:pPr>
                  <w:r>
                    <w:rPr>
                      <w:rStyle w:val="CharStyle10"/>
                    </w:rPr>
                    <w:t>Krajská správa a údržba silníc Vysočiny,příspěvková organizace Kosovská 16 586 01 Jihlava</w:t>
                  </w:r>
                </w:p>
              </w:txbxContent>
            </v:textbox>
            <w10:wrap anchorx="margin"/>
          </v:shape>
        </w:pict>
      </w:r>
      <w:r>
        <w:pict>
          <v:shape id="_x0000_s1032" type="#_x0000_t202" style="position:absolute;margin-left:257.2pt;margin-top:166.35pt;width:56.65pt;height:25.65pt;z-index:251657733;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240" w:lineRule="exact"/>
                    <w:ind w:left="0" w:right="0" w:firstLine="0"/>
                  </w:pPr>
                  <w:r>
                    <w:rPr>
                      <w:lang w:val="cs-CZ" w:eastAsia="cs-CZ" w:bidi="cs-CZ"/>
                      <w:w w:val="100"/>
                      <w:spacing w:val="0"/>
                      <w:color w:val="000000"/>
                      <w:position w:val="0"/>
                    </w:rPr>
                    <w:t xml:space="preserve">Číslo smlouvy </w:t>
                  </w:r>
                  <w:r>
                    <w:rPr>
                      <w:rStyle w:val="CharStyle13"/>
                      <w:b w:val="0"/>
                      <w:bCs w:val="0"/>
                    </w:rPr>
                    <w:t>362901624</w:t>
                  </w:r>
                </w:p>
              </w:txbxContent>
            </v:textbox>
            <w10:wrap anchorx="margin"/>
          </v:shape>
        </w:pict>
      </w:r>
      <w:r>
        <w:pict>
          <v:shape id="_x0000_s1033" type="#_x0000_t202" style="position:absolute;margin-left:349.35pt;margin-top:164.45pt;width:66.7pt;height:27.6pt;z-index:251657734;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left"/>
                    <w:spacing w:before="0" w:after="0" w:line="245" w:lineRule="exact"/>
                    <w:ind w:left="0" w:right="0" w:firstLine="0"/>
                  </w:pPr>
                  <w:r>
                    <w:rPr>
                      <w:lang w:val="cs-CZ" w:eastAsia="cs-CZ" w:bidi="cs-CZ"/>
                      <w:w w:val="100"/>
                      <w:spacing w:val="0"/>
                      <w:color w:val="000000"/>
                      <w:position w:val="0"/>
                    </w:rPr>
                    <w:t>Datum vystavení</w:t>
                  </w:r>
                </w:p>
                <w:p>
                  <w:pPr>
                    <w:pStyle w:val="Style14"/>
                    <w:widowControl w:val="0"/>
                    <w:keepNext w:val="0"/>
                    <w:keepLines w:val="0"/>
                    <w:shd w:val="clear" w:color="auto" w:fill="auto"/>
                    <w:bidi w:val="0"/>
                    <w:jc w:val="left"/>
                    <w:spacing w:before="0" w:after="0"/>
                    <w:ind w:left="160" w:right="0" w:firstLine="0"/>
                  </w:pPr>
                  <w:r>
                    <w:rPr>
                      <w:lang w:val="cs-CZ" w:eastAsia="cs-CZ" w:bidi="cs-CZ"/>
                      <w:w w:val="100"/>
                      <w:spacing w:val="0"/>
                      <w:color w:val="000000"/>
                      <w:position w:val="0"/>
                    </w:rPr>
                    <w:t>01</w:t>
                  </w:r>
                  <w:r>
                    <w:rPr>
                      <w:rStyle w:val="CharStyle16"/>
                    </w:rPr>
                    <w:t>.</w:t>
                  </w:r>
                  <w:r>
                    <w:rPr>
                      <w:lang w:val="cs-CZ" w:eastAsia="cs-CZ" w:bidi="cs-CZ"/>
                      <w:w w:val="100"/>
                      <w:spacing w:val="0"/>
                      <w:color w:val="000000"/>
                      <w:position w:val="0"/>
                    </w:rPr>
                    <w:t>12.2020</w:t>
                  </w:r>
                </w:p>
              </w:txbxContent>
            </v:textbox>
            <w10:wrap anchorx="margin"/>
          </v:shape>
        </w:pict>
      </w:r>
      <w:r>
        <w:pict>
          <v:shape id="_x0000_s1034" type="#_x0000_t202" style="position:absolute;margin-left:444.9pt;margin-top:165.35pt;width:62.9pt;height:26.65pt;z-index:251657735;mso-wrap-distance-left:5.pt;mso-wrap-distance-right:5.pt;mso-position-horizontal-relative:margin" filled="f" stroked="f">
            <v:textbox style="mso-fit-shape-to-text:t" inset="0,0,0,0">
              <w:txbxContent>
                <w:p>
                  <w:pPr>
                    <w:pStyle w:val="Style6"/>
                    <w:widowControl w:val="0"/>
                    <w:keepNext w:val="0"/>
                    <w:keepLines w:val="0"/>
                    <w:shd w:val="clear" w:color="auto" w:fill="auto"/>
                    <w:bidi w:val="0"/>
                    <w:jc w:val="right"/>
                    <w:spacing w:before="0" w:after="0" w:line="240" w:lineRule="exact"/>
                    <w:ind w:left="0" w:right="0" w:firstLine="0"/>
                  </w:pPr>
                  <w:r>
                    <w:rPr>
                      <w:lang w:val="cs-CZ" w:eastAsia="cs-CZ" w:bidi="cs-CZ"/>
                      <w:w w:val="100"/>
                      <w:spacing w:val="0"/>
                      <w:color w:val="000000"/>
                      <w:position w:val="0"/>
                    </w:rPr>
                    <w:t xml:space="preserve">Číslo zákazníka </w:t>
                  </w:r>
                  <w:r>
                    <w:rPr>
                      <w:rStyle w:val="CharStyle13"/>
                      <w:b w:val="0"/>
                      <w:bCs w:val="0"/>
                    </w:rPr>
                    <w:t>570705380</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713" w:lineRule="exact"/>
      </w:pPr>
    </w:p>
    <w:p>
      <w:pPr>
        <w:widowControl w:val="0"/>
        <w:rPr>
          <w:sz w:val="2"/>
          <w:szCs w:val="2"/>
        </w:rPr>
        <w:sectPr>
          <w:footnotePr>
            <w:pos w:val="pageBottom"/>
            <w:numFmt w:val="decimal"/>
            <w:numRestart w:val="continuous"/>
          </w:footnotePr>
          <w:type w:val="continuous"/>
          <w:pgSz w:w="11900" w:h="16840"/>
          <w:pgMar w:top="490" w:left="679" w:right="738" w:bottom="460"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56" w:after="56" w:line="240" w:lineRule="exact"/>
        <w:rPr>
          <w:sz w:val="19"/>
          <w:szCs w:val="19"/>
        </w:rPr>
      </w:pPr>
    </w:p>
    <w:p>
      <w:pPr>
        <w:widowControl w:val="0"/>
        <w:rPr>
          <w:sz w:val="2"/>
          <w:szCs w:val="2"/>
        </w:rPr>
        <w:sectPr>
          <w:type w:val="continuous"/>
          <w:pgSz w:w="11900" w:h="16840"/>
          <w:pgMar w:top="468" w:left="0" w:right="0" w:bottom="316" w:header="0" w:footer="3" w:gutter="0"/>
          <w:rtlGutter w:val="0"/>
          <w:cols w:space="720"/>
          <w:noEndnote/>
          <w:docGrid w:linePitch="360"/>
        </w:sectPr>
      </w:pPr>
    </w:p>
    <w:p>
      <w:pPr>
        <w:pStyle w:val="Style17"/>
        <w:widowControl w:val="0"/>
        <w:keepNext w:val="0"/>
        <w:keepLines w:val="0"/>
        <w:shd w:val="clear" w:color="auto" w:fill="auto"/>
        <w:bidi w:val="0"/>
        <w:spacing w:before="0" w:after="33" w:line="120" w:lineRule="exact"/>
        <w:ind w:left="540" w:right="0"/>
      </w:pPr>
      <w:r>
        <w:pict>
          <v:shape id="_x0000_s1035" type="#_x0000_t202" style="position:absolute;margin-left:150.25pt;margin-top:0.25pt;width:50.9pt;height:21.35pt;z-index:-125829376;mso-wrap-distance-left:72.7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33" w:line="120" w:lineRule="exact"/>
                    <w:ind w:left="0" w:right="0" w:firstLine="0"/>
                  </w:pPr>
                  <w:r>
                    <w:rPr>
                      <w:rStyle w:val="CharStyle18"/>
                    </w:rPr>
                    <w:t>IC zákazníka</w:t>
                  </w:r>
                </w:p>
                <w:p>
                  <w:pPr>
                    <w:pStyle w:val="Style8"/>
                    <w:widowControl w:val="0"/>
                    <w:keepNext w:val="0"/>
                    <w:keepLines w:val="0"/>
                    <w:shd w:val="clear" w:color="auto" w:fill="auto"/>
                    <w:bidi w:val="0"/>
                    <w:jc w:val="left"/>
                    <w:spacing w:before="0" w:after="0" w:line="190" w:lineRule="exact"/>
                    <w:ind w:left="0" w:right="0" w:firstLine="0"/>
                  </w:pPr>
                  <w:r>
                    <w:rPr>
                      <w:rStyle w:val="CharStyle10"/>
                    </w:rPr>
                    <w:t>00090450</w:t>
                  </w:r>
                </w:p>
              </w:txbxContent>
            </v:textbox>
            <w10:wrap type="square" side="left" anchorx="margin"/>
          </v:shape>
        </w:pict>
      </w:r>
      <w:r>
        <w:rPr>
          <w:lang w:val="cs-CZ" w:eastAsia="cs-CZ" w:bidi="cs-CZ"/>
          <w:w w:val="100"/>
          <w:spacing w:val="0"/>
          <w:color w:val="000000"/>
          <w:position w:val="0"/>
        </w:rPr>
        <w:t>DIČ zákazníka</w:t>
      </w:r>
    </w:p>
    <w:p>
      <w:pPr>
        <w:pStyle w:val="Style8"/>
        <w:widowControl w:val="0"/>
        <w:keepNext w:val="0"/>
        <w:keepLines w:val="0"/>
        <w:shd w:val="clear" w:color="auto" w:fill="auto"/>
        <w:bidi w:val="0"/>
        <w:jc w:val="both"/>
        <w:spacing w:before="0" w:after="288" w:line="190" w:lineRule="exact"/>
        <w:ind w:left="540" w:right="0" w:hanging="540"/>
      </w:pPr>
      <w:r>
        <w:rPr>
          <w:rStyle w:val="CharStyle27"/>
        </w:rPr>
        <w:t>CZ00090450</w:t>
      </w:r>
    </w:p>
    <w:p>
      <w:pPr>
        <w:pStyle w:val="Style19"/>
        <w:widowControl w:val="0"/>
        <w:keepNext w:val="0"/>
        <w:keepLines w:val="0"/>
        <w:shd w:val="clear" w:color="auto" w:fill="auto"/>
        <w:bidi w:val="0"/>
        <w:jc w:val="left"/>
        <w:spacing w:before="0" w:after="180"/>
        <w:ind w:left="0" w:right="0" w:firstLine="0"/>
      </w:pPr>
      <w:r>
        <w:rPr>
          <w:lang w:val="cs-CZ" w:eastAsia="cs-CZ" w:bidi="cs-CZ"/>
          <w:w w:val="100"/>
          <w:spacing w:val="0"/>
          <w:color w:val="000000"/>
          <w:position w:val="0"/>
        </w:rPr>
        <w:t>uzavírají tuto smlouvu o dlouhodobém pronájmu lahví a dalších distribučních prostředků na technické plyny:</w:t>
      </w:r>
    </w:p>
    <w:p>
      <w:pPr>
        <w:pStyle w:val="Style29"/>
        <w:numPr>
          <w:ilvl w:val="0"/>
          <w:numId w:val="1"/>
        </w:numPr>
        <w:tabs>
          <w:tab w:leader="none" w:pos="427" w:val="left"/>
        </w:tabs>
        <w:widowControl w:val="0"/>
        <w:keepNext w:val="0"/>
        <w:keepLines w:val="0"/>
        <w:shd w:val="clear" w:color="auto" w:fill="auto"/>
        <w:bidi w:val="0"/>
        <w:spacing w:before="0" w:after="0"/>
        <w:ind w:left="540" w:right="0"/>
      </w:pPr>
      <w:r>
        <w:pict>
          <v:shape id="_x0000_s1036" type="#_x0000_t202" style="position:absolute;margin-left:17.75pt;margin-top:45.05pt;width:48.95pt;height:25.35pt;z-index:-125829375;mso-wrap-distance-left:5.pt;mso-wrap-distance-right:6.7pt;mso-wrap-distance-bottom:10.25pt;mso-position-horizontal-relative:margin" filled="f" stroked="f">
            <v:textbox style="mso-fit-shape-to-text:t" inset="0,0,0,0">
              <w:txbxContent>
                <w:p>
                  <w:pPr>
                    <w:pStyle w:val="Style19"/>
                    <w:widowControl w:val="0"/>
                    <w:keepNext w:val="0"/>
                    <w:keepLines w:val="0"/>
                    <w:shd w:val="clear" w:color="auto" w:fill="auto"/>
                    <w:bidi w:val="0"/>
                    <w:jc w:val="left"/>
                    <w:spacing w:before="0" w:after="9" w:line="200" w:lineRule="exact"/>
                    <w:ind w:left="0" w:right="0" w:firstLine="0"/>
                  </w:pPr>
                  <w:r>
                    <w:rPr>
                      <w:rStyle w:val="CharStyle20"/>
                      <w:b/>
                      <w:bCs/>
                    </w:rPr>
                    <w:t>Číslo</w:t>
                  </w:r>
                </w:p>
                <w:p>
                  <w:pPr>
                    <w:pStyle w:val="Style19"/>
                    <w:widowControl w:val="0"/>
                    <w:keepNext w:val="0"/>
                    <w:keepLines w:val="0"/>
                    <w:shd w:val="clear" w:color="auto" w:fill="auto"/>
                    <w:bidi w:val="0"/>
                    <w:jc w:val="left"/>
                    <w:spacing w:before="0" w:after="0" w:line="200" w:lineRule="exact"/>
                    <w:ind w:left="0" w:right="0" w:firstLine="0"/>
                  </w:pPr>
                  <w:r>
                    <w:rPr>
                      <w:rStyle w:val="CharStyle20"/>
                      <w:b/>
                      <w:bCs/>
                    </w:rPr>
                    <w:t>produktu</w:t>
                  </w:r>
                </w:p>
              </w:txbxContent>
            </v:textbox>
            <w10:wrap type="topAndBottom" anchorx="margin"/>
          </v:shape>
        </w:pict>
      </w:r>
      <w:r>
        <w:pict>
          <v:shape id="_x0000_s1037" type="#_x0000_t202" style="position:absolute;margin-left:73.45pt;margin-top:43.45pt;width:85.45pt;height:26.85pt;z-index:-125829374;mso-wrap-distance-left:5.pt;mso-wrap-distance-right:78.7pt;mso-wrap-distance-bottom:10.35pt;mso-position-horizontal-relative:margin" filled="f" stroked="f">
            <v:textbox style="mso-fit-shape-to-text:t" inset="0,0,0,0">
              <w:txbxContent>
                <w:p>
                  <w:pPr>
                    <w:pStyle w:val="Style19"/>
                    <w:widowControl w:val="0"/>
                    <w:keepNext w:val="0"/>
                    <w:keepLines w:val="0"/>
                    <w:shd w:val="clear" w:color="auto" w:fill="auto"/>
                    <w:bidi w:val="0"/>
                    <w:jc w:val="both"/>
                    <w:spacing w:before="0" w:after="0" w:line="240" w:lineRule="exact"/>
                    <w:ind w:left="0" w:right="0" w:firstLine="0"/>
                  </w:pPr>
                  <w:r>
                    <w:rPr>
                      <w:rStyle w:val="CharStyle20"/>
                      <w:b/>
                      <w:bCs/>
                    </w:rPr>
                    <w:t>Název produktu/ SKP/Taric No.</w:t>
                  </w:r>
                </w:p>
              </w:txbxContent>
            </v:textbox>
            <w10:wrap type="topAndBottom" anchorx="margin"/>
          </v:shape>
        </w:pict>
      </w:r>
      <w:r>
        <w:pict>
          <v:shape id="_x0000_s1038" type="#_x0000_t202" style="position:absolute;margin-left:237.6pt;margin-top:43.95pt;width:168.pt;height:39.1pt;z-index:-125829373;mso-wrap-distance-left:5.pt;mso-wrap-distance-right:48.pt;mso-position-horizontal-relative:margin" filled="f" stroked="f">
            <v:textbox style="mso-fit-shape-to-text:t" inset="0,0,0,0">
              <w:txbxContent>
                <w:p>
                  <w:pPr>
                    <w:pStyle w:val="Style19"/>
                    <w:tabs>
                      <w:tab w:leader="none" w:pos="1450" w:val="left"/>
                      <w:tab w:leader="none" w:pos="2463" w:val="left"/>
                    </w:tabs>
                    <w:widowControl w:val="0"/>
                    <w:keepNext w:val="0"/>
                    <w:keepLines w:val="0"/>
                    <w:shd w:val="clear" w:color="auto" w:fill="auto"/>
                    <w:bidi w:val="0"/>
                    <w:jc w:val="both"/>
                    <w:spacing w:before="0" w:after="0" w:line="240" w:lineRule="exact"/>
                    <w:ind w:left="380" w:right="0" w:firstLine="0"/>
                  </w:pPr>
                  <w:r>
                    <w:rPr>
                      <w:rStyle w:val="CharStyle20"/>
                      <w:b/>
                      <w:bCs/>
                    </w:rPr>
                    <w:t>Počet</w:t>
                    <w:tab/>
                    <w:t>Počátek</w:t>
                    <w:tab/>
                    <w:t>Konec</w:t>
                  </w:r>
                </w:p>
                <w:p>
                  <w:pPr>
                    <w:pStyle w:val="Style19"/>
                    <w:widowControl w:val="0"/>
                    <w:keepNext w:val="0"/>
                    <w:keepLines w:val="0"/>
                    <w:shd w:val="clear" w:color="auto" w:fill="auto"/>
                    <w:bidi w:val="0"/>
                    <w:jc w:val="left"/>
                    <w:spacing w:before="0" w:after="0" w:line="240" w:lineRule="exact"/>
                    <w:ind w:left="380" w:right="0"/>
                  </w:pPr>
                  <w:r>
                    <w:rPr>
                      <w:rStyle w:val="CharStyle20"/>
                      <w:b/>
                      <w:bCs/>
                    </w:rPr>
                    <w:t>pronajatých smlouvy smlouvy kusů</w:t>
                  </w:r>
                </w:p>
              </w:txbxContent>
            </v:textbox>
            <w10:wrap type="topAndBottom" anchorx="margin"/>
          </v:shape>
        </w:pict>
      </w:r>
      <w:r>
        <w:pict>
          <v:shape id="_x0000_s1039" type="#_x0000_t202" style="position:absolute;margin-left:453.6pt;margin-top:45.8pt;width:68.15pt;height:12.9pt;z-index:-125829372;mso-wrap-distance-left:53.45pt;mso-wrap-distance-right:5.pt;mso-wrap-distance-bottom:22.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00" w:lineRule="exact"/>
                    <w:ind w:left="0" w:right="0" w:firstLine="0"/>
                  </w:pPr>
                  <w:r>
                    <w:rPr>
                      <w:rStyle w:val="CharStyle20"/>
                      <w:b/>
                      <w:bCs/>
                    </w:rPr>
                    <w:t>Nájemné/kus</w:t>
                  </w:r>
                </w:p>
              </w:txbxContent>
            </v:textbox>
            <w10:wrap type="topAndBottom" anchorx="margin"/>
          </v:shape>
        </w:pict>
      </w:r>
      <w:r>
        <w:rPr>
          <w:lang w:val="cs-CZ" w:eastAsia="cs-CZ" w:bidi="cs-CZ"/>
          <w:w w:val="100"/>
          <w:spacing w:val="0"/>
          <w:color w:val="000000"/>
          <w:position w:val="0"/>
        </w:rPr>
        <w:t>Zákazník získává jednorázovým zaplacením níže uvedeného dlouhodobého nájmu + DPH za každou láhev nebo distribuční prostředek na technické plyny Lindě Gas a.s. (dále jen Lindě) právo používat je v počtu a po dobu uvedenou níže.</w:t>
      </w:r>
    </w:p>
    <w:p>
      <w:pPr>
        <w:pStyle w:val="Style8"/>
        <w:tabs>
          <w:tab w:leader="none" w:pos="4901" w:val="left"/>
          <w:tab w:leader="none" w:pos="5587" w:val="left"/>
          <w:tab w:leader="none" w:pos="8822" w:val="left"/>
        </w:tabs>
        <w:widowControl w:val="0"/>
        <w:keepNext w:val="0"/>
        <w:keepLines w:val="0"/>
        <w:shd w:val="clear" w:color="auto" w:fill="auto"/>
        <w:bidi w:val="0"/>
        <w:jc w:val="both"/>
        <w:spacing w:before="0" w:after="0" w:line="190" w:lineRule="exact"/>
        <w:ind w:left="540" w:right="0" w:hanging="540"/>
      </w:pPr>
      <w:r>
        <w:rPr>
          <w:rStyle w:val="CharStyle27"/>
        </w:rPr>
        <w:t>7450200 NÁJEM LAHVE ACE-1 ROK</w:t>
        <w:tab/>
        <w:t>7</w:t>
        <w:tab/>
        <w:t>01.01.2021 31.12.2021</w:t>
        <w:tab/>
        <w:t>750,00 CZK</w:t>
      </w:r>
    </w:p>
    <w:p>
      <w:pPr>
        <w:pStyle w:val="Style29"/>
        <w:numPr>
          <w:ilvl w:val="0"/>
          <w:numId w:val="1"/>
        </w:numPr>
        <w:tabs>
          <w:tab w:leader="none" w:pos="449" w:val="left"/>
        </w:tabs>
        <w:widowControl w:val="0"/>
        <w:keepNext w:val="0"/>
        <w:keepLines w:val="0"/>
        <w:shd w:val="clear" w:color="auto" w:fill="auto"/>
        <w:bidi w:val="0"/>
        <w:spacing w:before="0" w:after="0" w:line="240" w:lineRule="exact"/>
        <w:ind w:left="540" w:right="0"/>
      </w:pPr>
      <w:r>
        <w:rPr>
          <w:lang w:val="cs-CZ" w:eastAsia="cs-CZ" w:bidi="cs-CZ"/>
          <w:w w:val="100"/>
          <w:spacing w:val="0"/>
          <w:color w:val="000000"/>
          <w:position w:val="0"/>
        </w:rPr>
        <w:t>Nájemné je zákazníkem hrazeno v hotovosti, resp. v den splatnosti uvedeném na účetním dokladu předem na celou dobu pronájmu.</w:t>
      </w:r>
    </w:p>
    <w:p>
      <w:pPr>
        <w:pStyle w:val="Style29"/>
        <w:numPr>
          <w:ilvl w:val="0"/>
          <w:numId w:val="1"/>
        </w:numPr>
        <w:tabs>
          <w:tab w:leader="none" w:pos="449" w:val="left"/>
        </w:tabs>
        <w:widowControl w:val="0"/>
        <w:keepNext w:val="0"/>
        <w:keepLines w:val="0"/>
        <w:shd w:val="clear" w:color="auto" w:fill="auto"/>
        <w:bidi w:val="0"/>
        <w:spacing w:before="0" w:after="0" w:line="240" w:lineRule="exact"/>
        <w:ind w:left="540" w:right="0"/>
      </w:pPr>
      <w:r>
        <w:rPr>
          <w:lang w:val="cs-CZ" w:eastAsia="cs-CZ" w:bidi="cs-CZ"/>
          <w:w w:val="100"/>
          <w:spacing w:val="0"/>
          <w:color w:val="000000"/>
          <w:position w:val="0"/>
        </w:rPr>
        <w:t>Lahve a distribuční prostředky na technické plyny poskytnuté k používání mohou být použity jen k odběru plynů od Lindě, popřípadě od dodavatele pověřeného společností Lindě.</w:t>
      </w:r>
    </w:p>
    <w:p>
      <w:pPr>
        <w:pStyle w:val="Style29"/>
        <w:numPr>
          <w:ilvl w:val="0"/>
          <w:numId w:val="1"/>
        </w:numPr>
        <w:tabs>
          <w:tab w:leader="none" w:pos="449" w:val="left"/>
        </w:tabs>
        <w:widowControl w:val="0"/>
        <w:keepNext w:val="0"/>
        <w:keepLines w:val="0"/>
        <w:shd w:val="clear" w:color="auto" w:fill="auto"/>
        <w:bidi w:val="0"/>
        <w:spacing w:before="0" w:after="0" w:line="240" w:lineRule="exact"/>
        <w:ind w:left="540" w:right="0"/>
      </w:pPr>
      <w:r>
        <w:rPr>
          <w:lang w:val="cs-CZ" w:eastAsia="cs-CZ" w:bidi="cs-CZ"/>
          <w:w w:val="100"/>
          <w:spacing w:val="0"/>
          <w:color w:val="000000"/>
          <w:position w:val="0"/>
        </w:rPr>
        <w:t>Náklady na obsluhu, údržbu, předepsané tlakové zkoušky spojené s běžným opotřebením nese Lindě.</w:t>
      </w:r>
    </w:p>
    <w:p>
      <w:pPr>
        <w:pStyle w:val="Style29"/>
        <w:widowControl w:val="0"/>
        <w:keepNext w:val="0"/>
        <w:keepLines w:val="0"/>
        <w:shd w:val="clear" w:color="auto" w:fill="auto"/>
        <w:bidi w:val="0"/>
        <w:spacing w:before="0" w:after="0" w:line="240" w:lineRule="exact"/>
        <w:ind w:left="540" w:right="0" w:firstLine="0"/>
      </w:pPr>
      <w:r>
        <w:rPr>
          <w:lang w:val="cs-CZ" w:eastAsia="cs-CZ" w:bidi="cs-CZ"/>
          <w:w w:val="100"/>
          <w:spacing w:val="0"/>
          <w:color w:val="000000"/>
          <w:position w:val="0"/>
        </w:rPr>
        <w:t>Za zcizení, ztrátu, poškození nebo zničení přenechaných lahví a distribučních prostředků na technické plyny odpovídá zákazník.</w:t>
      </w:r>
    </w:p>
    <w:p>
      <w:pPr>
        <w:pStyle w:val="Style29"/>
        <w:numPr>
          <w:ilvl w:val="0"/>
          <w:numId w:val="1"/>
        </w:numPr>
        <w:tabs>
          <w:tab w:leader="none" w:pos="449" w:val="left"/>
        </w:tabs>
        <w:widowControl w:val="0"/>
        <w:keepNext w:val="0"/>
        <w:keepLines w:val="0"/>
        <w:shd w:val="clear" w:color="auto" w:fill="auto"/>
        <w:bidi w:val="0"/>
        <w:spacing w:before="0" w:after="0" w:line="240" w:lineRule="exact"/>
        <w:ind w:left="540" w:right="0"/>
      </w:pPr>
      <w:r>
        <w:rPr>
          <w:lang w:val="cs-CZ" w:eastAsia="cs-CZ" w:bidi="cs-CZ"/>
          <w:w w:val="100"/>
          <w:spacing w:val="0"/>
          <w:color w:val="000000"/>
          <w:position w:val="0"/>
        </w:rPr>
        <w:t>Po skončení smlouvy (nebude-li uzavřena smlouva nová) bude účtováno nájemné a dodatkové nájemné podle právě platných sazeb, dokud lahve nebo distribuční prostředky na technické plyny nebudou vráceny příslušnému dodacímu místu Lindě. Období pro výpočet a vznik nároku a účtování dodatkového nájemného, tj. užívání lahví bez tzv. obrátky, počíná běžet 3 měsíce před skončením smlouvy.</w:t>
      </w:r>
    </w:p>
    <w:p>
      <w:pPr>
        <w:pStyle w:val="Style29"/>
        <w:numPr>
          <w:ilvl w:val="0"/>
          <w:numId w:val="1"/>
        </w:numPr>
        <w:tabs>
          <w:tab w:leader="none" w:pos="449" w:val="left"/>
        </w:tabs>
        <w:widowControl w:val="0"/>
        <w:keepNext w:val="0"/>
        <w:keepLines w:val="0"/>
        <w:shd w:val="clear" w:color="auto" w:fill="auto"/>
        <w:bidi w:val="0"/>
        <w:spacing w:before="0" w:after="0" w:line="240" w:lineRule="exact"/>
        <w:ind w:left="540" w:right="0"/>
      </w:pPr>
      <w:r>
        <w:rPr>
          <w:lang w:val="cs-CZ" w:eastAsia="cs-CZ" w:bidi="cs-CZ"/>
          <w:w w:val="100"/>
          <w:spacing w:val="0"/>
          <w:color w:val="000000"/>
          <w:position w:val="0"/>
        </w:rPr>
        <w:t>V případě ukončení výše uvedené smlouvy mezi Lindě a zákazníkem během doby, za kterou je uhrazeno dlouhodobé nájemné, Lindě není povinna uhradit zákazníkovi jakoukoliv částku ze zaplaceného dlouhodobého pronájmu.</w:t>
      </w:r>
    </w:p>
    <w:p>
      <w:pPr>
        <w:pStyle w:val="Style29"/>
        <w:numPr>
          <w:ilvl w:val="0"/>
          <w:numId w:val="1"/>
        </w:numPr>
        <w:tabs>
          <w:tab w:leader="none" w:pos="449" w:val="left"/>
        </w:tabs>
        <w:widowControl w:val="0"/>
        <w:keepNext w:val="0"/>
        <w:keepLines w:val="0"/>
        <w:shd w:val="clear" w:color="auto" w:fill="auto"/>
        <w:bidi w:val="0"/>
        <w:spacing w:before="0" w:after="68" w:line="240" w:lineRule="exact"/>
        <w:ind w:left="540" w:right="0"/>
      </w:pPr>
      <w:r>
        <w:rPr>
          <w:lang w:val="cs-CZ" w:eastAsia="cs-CZ" w:bidi="cs-CZ"/>
          <w:w w:val="100"/>
          <w:spacing w:val="0"/>
          <w:color w:val="000000"/>
          <w:position w:val="0"/>
        </w:rPr>
        <w:t>Součástí této smlouvy jsou na druhé straně uvedené "Všeobecné obchodní podmínky pro dodávky kapalných plynů, plynů v lahvích, palj^Scji^pevných svazcíctjí kontejnerech a trajlerech a ostatních produktů a služeb".</w:t>
      </w:r>
    </w:p>
    <w:p>
      <w:pPr>
        <w:pStyle w:val="Style31"/>
        <w:widowControl w:val="0"/>
        <w:keepNext w:val="0"/>
        <w:keepLines w:val="0"/>
        <w:shd w:val="clear" w:color="auto" w:fill="auto"/>
        <w:bidi w:val="0"/>
        <w:jc w:val="left"/>
        <w:spacing w:before="0" w:after="131" w:line="230" w:lineRule="exact"/>
        <w:ind w:left="6640" w:right="0" w:firstLine="0"/>
      </w:pPr>
      <w:r>
        <w:rPr>
          <w:rStyle w:val="CharStyle33"/>
        </w:rPr>
        <w:t>t1.</w:t>
      </w:r>
      <w:r>
        <w:rPr>
          <w:rStyle w:val="CharStyle34"/>
          <w:b w:val="0"/>
          <w:bCs w:val="0"/>
        </w:rPr>
        <w:t xml:space="preserve"> '/Ty ^ Ao</w:t>
      </w:r>
    </w:p>
    <w:p>
      <w:pPr>
        <w:pStyle w:val="Style8"/>
        <w:widowControl w:val="0"/>
        <w:keepNext w:val="0"/>
        <w:keepLines w:val="0"/>
        <w:shd w:val="clear" w:color="auto" w:fill="auto"/>
        <w:bidi w:val="0"/>
        <w:jc w:val="both"/>
        <w:spacing w:before="0" w:after="406" w:line="190" w:lineRule="exact"/>
        <w:ind w:left="540" w:right="0" w:hanging="540"/>
      </w:pPr>
      <w:r>
        <w:rPr>
          <w:rStyle w:val="CharStyle27"/>
        </w:rPr>
        <w:t>Datum 01.12.202</w:t>
      </w:r>
    </w:p>
    <w:p>
      <w:pPr>
        <w:pStyle w:val="Style31"/>
        <w:widowControl w:val="0"/>
        <w:keepNext w:val="0"/>
        <w:keepLines w:val="0"/>
        <w:shd w:val="clear" w:color="auto" w:fill="auto"/>
        <w:bidi w:val="0"/>
        <w:jc w:val="left"/>
        <w:spacing w:before="0" w:after="0" w:line="150" w:lineRule="exact"/>
        <w:ind w:left="7140" w:right="0" w:firstLine="0"/>
      </w:pPr>
      <w:r>
        <w:pict>
          <v:shape id="_x0000_s1040" type="#_x0000_t202" style="position:absolute;margin-left:16.8pt;margin-top:96.pt;width:61.45pt;height:20.15pt;z-index:-125829371;mso-wrap-distance-left:5.pt;mso-wrap-distance-right:103.2pt;mso-position-horizontal-relative:margin" filled="f" stroked="f">
            <v:textbox style="mso-fit-shape-to-text:t" inset="0,0,0,0">
              <w:txbxContent>
                <w:p>
                  <w:pPr>
                    <w:pStyle w:val="Style21"/>
                    <w:widowControl w:val="0"/>
                    <w:keepNext w:val="0"/>
                    <w:keepLines w:val="0"/>
                    <w:shd w:val="clear" w:color="auto" w:fill="auto"/>
                    <w:bidi w:val="0"/>
                    <w:spacing w:before="0" w:after="0"/>
                    <w:ind w:left="0" w:right="0" w:firstLine="0"/>
                  </w:pPr>
                  <w:r>
                    <w:rPr>
                      <w:lang w:val="es-ES" w:eastAsia="es-ES" w:bidi="es-ES"/>
                      <w:w w:val="100"/>
                      <w:spacing w:val="0"/>
                      <w:color w:val="000000"/>
                      <w:position w:val="0"/>
                    </w:rPr>
                    <w:t xml:space="preserve">Linde Gas </w:t>
                  </w:r>
                  <w:r>
                    <w:rPr>
                      <w:lang w:val="cs-CZ" w:eastAsia="cs-CZ" w:bidi="cs-CZ"/>
                      <w:w w:val="100"/>
                      <w:spacing w:val="0"/>
                      <w:color w:val="000000"/>
                      <w:position w:val="0"/>
                    </w:rPr>
                    <w:t>a.s.</w:t>
                  </w:r>
                </w:p>
                <w:p>
                  <w:pPr>
                    <w:pStyle w:val="Style21"/>
                    <w:widowControl w:val="0"/>
                    <w:keepNext w:val="0"/>
                    <w:keepLines w:val="0"/>
                    <w:shd w:val="clear" w:color="auto" w:fill="auto"/>
                    <w:bidi w:val="0"/>
                    <w:spacing w:before="0" w:after="0"/>
                    <w:ind w:left="0" w:right="0" w:firstLine="0"/>
                  </w:pPr>
                  <w:r>
                    <w:rPr>
                      <w:lang w:val="cs-CZ" w:eastAsia="cs-CZ" w:bidi="cs-CZ"/>
                      <w:w w:val="100"/>
                      <w:spacing w:val="0"/>
                      <w:color w:val="000000"/>
                      <w:position w:val="0"/>
                    </w:rPr>
                    <w:t>U Technoplynu 1324 198 00 Praha 9</w:t>
                  </w:r>
                </w:p>
              </w:txbxContent>
            </v:textbox>
            <w10:wrap type="topAndBottom" anchorx="margin"/>
          </v:shape>
        </w:pict>
      </w:r>
      <w:r>
        <w:pict>
          <v:shape id="_x0000_s1041" type="#_x0000_t202" style="position:absolute;margin-left:95.5pt;margin-top:94.8pt;width:55.2pt;height:15.6pt;z-index:-125829370;mso-wrap-distance-left:5.pt;mso-wrap-distance-right:103.2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ind w:left="0" w:right="0" w:firstLine="0"/>
                  </w:pPr>
                  <w:r>
                    <w:rPr>
                      <w:lang w:val="cs-CZ" w:eastAsia="cs-CZ" w:bidi="cs-CZ"/>
                      <w:w w:val="100"/>
                      <w:spacing w:val="0"/>
                      <w:color w:val="000000"/>
                      <w:position w:val="0"/>
                    </w:rPr>
                    <w:t>IČ: 00011754 DIČ: CZ00011754</w:t>
                  </w:r>
                </w:p>
              </w:txbxContent>
            </v:textbox>
            <w10:wrap type="topAndBottom" anchorx="margin"/>
          </v:shape>
        </w:pict>
      </w:r>
      <w:r>
        <w:pict>
          <v:shape id="_x0000_s1042" type="#_x0000_t75" style="position:absolute;margin-left:20.15pt;margin-top:17.3pt;width:235.7pt;height:72.5pt;z-index:-125829369;mso-wrap-distance-left:5.pt;mso-wrap-distance-right:103.2pt;mso-position-horizontal-relative:margin">
            <v:imagedata r:id="rId7" r:href="rId8"/>
            <w10:wrap type="topAndBottom" anchorx="margin"/>
          </v:shape>
        </w:pict>
      </w:r>
      <w:r>
        <w:pict>
          <v:shape id="_x0000_s1043" type="#_x0000_t202" style="position:absolute;margin-left:359.05pt;margin-top:20.55pt;width:53.3pt;height:21.6pt;z-index:-125829368;mso-wrap-distance-left:5.pt;mso-wrap-distance-right:109.9pt;mso-wrap-distance-bottom:72.85pt;mso-position-horizontal-relative:margin" filled="f" stroked="f">
            <v:textbox style="mso-fit-shape-to-text:t" inset="0,0,0,0">
              <w:txbxContent>
                <w:p>
                  <w:pPr>
                    <w:pStyle w:val="Style6"/>
                    <w:widowControl w:val="0"/>
                    <w:keepNext w:val="0"/>
                    <w:keepLines w:val="0"/>
                    <w:shd w:val="clear" w:color="auto" w:fill="auto"/>
                    <w:bidi w:val="0"/>
                    <w:jc w:val="both"/>
                    <w:spacing w:before="0" w:after="0" w:line="182" w:lineRule="exact"/>
                    <w:ind w:left="0" w:right="0" w:firstLine="0"/>
                  </w:pPr>
                  <w:r>
                    <w:rPr>
                      <w:lang w:val="cs-CZ" w:eastAsia="cs-CZ" w:bidi="cs-CZ"/>
                      <w:w w:val="100"/>
                      <w:spacing w:val="0"/>
                      <w:color w:val="000000"/>
                      <w:position w:val="0"/>
                    </w:rPr>
                    <w:t>za zákazníka (jméríb/podpii</w:t>
                  </w:r>
                </w:p>
              </w:txbxContent>
            </v:textbox>
            <w10:wrap type="topAndBottom" anchorx="margin"/>
          </v:shape>
        </w:pict>
      </w:r>
      <w:r>
        <w:pict>
          <v:shape id="_x0000_s1044" type="#_x0000_t202" style="position:absolute;margin-left:488.15pt;margin-top:78.7pt;width:33.1pt;height:8.4pt;z-index:-125829367;mso-wrap-distance-left:5.pt;mso-wrap-distance-right:5.pt;mso-wrap-distance-bottom:27.8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20" w:lineRule="exact"/>
                    <w:ind w:left="0" w:right="0" w:firstLine="0"/>
                  </w:pPr>
                  <w:r>
                    <w:rPr>
                      <w:rStyle w:val="CharStyle18"/>
                    </w:rPr>
                    <w:t>3 se s jejich</w:t>
                  </w:r>
                </w:p>
              </w:txbxContent>
            </v:textbox>
            <w10:wrap type="topAndBottom" anchorx="margin"/>
          </v:shape>
        </w:pict>
      </w:r>
      <w:r>
        <w:rPr>
          <w:lang w:val="cs-CZ" w:eastAsia="cs-CZ" w:bidi="cs-CZ"/>
          <w:spacing w:val="0"/>
          <w:color w:val="000000"/>
          <w:position w:val="0"/>
        </w:rPr>
        <w:t>f</w:t>
      </w:r>
      <w:r>
        <w:rPr>
          <w:rStyle w:val="CharStyle35"/>
          <w:b w:val="0"/>
          <w:bCs w:val="0"/>
        </w:rPr>
        <w:t>usi</w:t>
      </w:r>
    </w:p>
    <w:p>
      <w:pPr>
        <w:pStyle w:val="Style17"/>
        <w:widowControl w:val="0"/>
        <w:keepNext w:val="0"/>
        <w:keepLines w:val="0"/>
        <w:shd w:val="clear" w:color="auto" w:fill="auto"/>
        <w:bidi w:val="0"/>
        <w:jc w:val="left"/>
        <w:spacing w:before="0" w:after="0" w:line="120" w:lineRule="exact"/>
        <w:ind w:left="0" w:right="0" w:firstLine="0"/>
      </w:pPr>
      <w:r>
        <w:rPr>
          <w:lang w:val="cs-CZ" w:eastAsia="cs-CZ" w:bidi="cs-CZ"/>
          <w:w w:val="100"/>
          <w:spacing w:val="0"/>
          <w:color w:val="000000"/>
          <w:position w:val="0"/>
        </w:rPr>
        <w:t xml:space="preserve">Spol. je zapsaná u Městského soudu v Praze v Obchodním rejstříku oddíl B, vložka 411. Spol. je certlfikovaná dle ISO 9001, ISO 14001 a je držitelem osvědčeni </w:t>
      </w:r>
      <w:r>
        <w:rPr>
          <w:lang w:val="en-US" w:eastAsia="en-US" w:bidi="en-US"/>
          <w:w w:val="100"/>
          <w:spacing w:val="0"/>
          <w:color w:val="000000"/>
          <w:position w:val="0"/>
        </w:rPr>
        <w:t xml:space="preserve">Responsible </w:t>
      </w:r>
      <w:r>
        <w:rPr>
          <w:lang w:val="cs-CZ" w:eastAsia="cs-CZ" w:bidi="cs-CZ"/>
          <w:w w:val="100"/>
          <w:spacing w:val="0"/>
          <w:color w:val="000000"/>
          <w:position w:val="0"/>
        </w:rPr>
        <w:t>Care.</w:t>
      </w:r>
      <w:r>
        <w:br w:type="page"/>
      </w:r>
    </w:p>
    <w:p>
      <w:pPr>
        <w:pStyle w:val="Style36"/>
        <w:widowControl w:val="0"/>
        <w:keepNext/>
        <w:keepLines/>
        <w:shd w:val="clear" w:color="auto" w:fill="auto"/>
        <w:bidi w:val="0"/>
        <w:spacing w:before="0" w:after="0" w:line="150" w:lineRule="exact"/>
        <w:ind w:left="0" w:right="0" w:firstLine="0"/>
      </w:pPr>
      <w:bookmarkStart w:id="2" w:name="bookmark2"/>
      <w:r>
        <w:rPr>
          <w:lang w:val="cs-CZ" w:eastAsia="cs-CZ" w:bidi="cs-CZ"/>
          <w:spacing w:val="0"/>
          <w:color w:val="000000"/>
          <w:position w:val="0"/>
        </w:rPr>
        <w:t>VŠEOBECNÉ OBCHODNÍ PODMÍNKY LINDĚ PRO PRODEJ PLYNŮ A NÁJEM DISTRIBUČNÍCH PROSTŘEDKŮ</w:t>
      </w:r>
      <w:bookmarkEnd w:id="2"/>
    </w:p>
    <w:p>
      <w:pPr>
        <w:pStyle w:val="Style36"/>
        <w:widowControl w:val="0"/>
        <w:keepNext/>
        <w:keepLines/>
        <w:shd w:val="clear" w:color="auto" w:fill="auto"/>
        <w:bidi w:val="0"/>
        <w:spacing w:before="0" w:after="147" w:line="150" w:lineRule="exact"/>
        <w:ind w:left="0" w:right="0" w:firstLine="0"/>
      </w:pPr>
      <w:bookmarkStart w:id="3" w:name="bookmark3"/>
      <w:r>
        <w:rPr>
          <w:lang w:val="cs-CZ" w:eastAsia="cs-CZ" w:bidi="cs-CZ"/>
          <w:spacing w:val="0"/>
          <w:color w:val="000000"/>
          <w:position w:val="0"/>
        </w:rPr>
        <w:t>(dále jen „Podmínky")</w:t>
      </w:r>
      <w:bookmarkEnd w:id="3"/>
    </w:p>
    <w:p>
      <w:pPr>
        <w:pStyle w:val="Style38"/>
        <w:numPr>
          <w:ilvl w:val="0"/>
          <w:numId w:val="3"/>
        </w:numPr>
        <w:tabs>
          <w:tab w:leader="none" w:pos="217"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ZÁKLADNÍ USTANOVENÍ</w:t>
      </w:r>
    </w:p>
    <w:p>
      <w:pPr>
        <w:pStyle w:val="Style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Tyto Podmínky jsou součástí každé smlouvy, na základě které se Lindě zavazuje dodávat zákazníkovi technický, medicinální či speciální plyn/y v jakémkoliv skupenství v </w:t>
      </w:r>
      <w:r>
        <w:rPr>
          <w:rStyle w:val="CharStyle40"/>
          <w:b/>
          <w:bCs/>
        </w:rPr>
        <w:t xml:space="preserve">Distribučním </w:t>
      </w:r>
      <w:r>
        <w:rPr>
          <w:lang w:val="cs-CZ" w:eastAsia="cs-CZ" w:bidi="cs-CZ"/>
          <w:w w:val="100"/>
          <w:spacing w:val="0"/>
          <w:color w:val="000000"/>
          <w:position w:val="0"/>
        </w:rPr>
        <w:t>prostředku nebo do Zásobovacího zařízení (déle jen „Plyn/y") a/nebo mu pronajmout Distribuční prostředek Lindě.</w:t>
      </w:r>
    </w:p>
    <w:p>
      <w:pPr>
        <w:pStyle w:val="Style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Jednotlivé smlouvy vznikají akceptací nabídky Lindě (zástupce Lindě) zákazníkem, a to prostřednictvím smluv, objednávek zákazníka potvrzených ze strany Lindě, a/nebo pouhým převzetím Distri</w:t>
        <w:softHyphen/>
        <w:t>bučního prostředku zákazníkem (dále jen „Smlouva"). Právní úkony směrující ke změně čí ukončeni Smlouvy vyžaduji písemnou formu, která však není dodržena pří elektronické formě komunikace, elektronická forma písemnosti však postačuje pro změny cen ze strany Lindě. Změnu cen Plynů, dalších produktu či nájemného Lindě oznámí zákazníkovi min. 15 činí předem prostřednictvím zejm. e-mailu a/nebo zveřejněním nového ceníku v Prodejních místech Lindě. Zákazník souhlasí s lim, že Lindě může plnit své smluvní závazky prostřednictvím třetích osob, zejména „Partnerů Lindě", tj. osob které Lindě zmocnila k prodeji zboží, služeb a Distribučních prostředků s Plynem a jejich převozu k/od zákazníků a/nebo „Prodejních míst Lindě", což jsou prodejny provozované ze strany Lindě nebo Partnerů Lindě. Smluvní strany jsou povinny své identifikační a kontaktní údaje při uzavření Smlouvy uvádět správně a pravdivě a bez zbytečného odkladu informovat druhou smluvní stranu o změně těchto údajů.</w:t>
      </w:r>
    </w:p>
    <w:p>
      <w:pPr>
        <w:pStyle w:val="Style38"/>
        <w:numPr>
          <w:ilvl w:val="0"/>
          <w:numId w:val="3"/>
        </w:numPr>
        <w:tabs>
          <w:tab w:leader="none" w:pos="22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DODÁVKY PLYNŮ V DISTRIBUČNÍCH PROSTŘEDCÍCH</w:t>
      </w:r>
    </w:p>
    <w:p>
      <w:pPr>
        <w:pStyle w:val="Style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„Distribučním prostředkem" se rozumí přenosná tlaková nádoba k zásobování Plynem v podobě Lahvi, Palet, Pevných svazků lahvi, Kontejnerů a Trajlerů. „Lahví" se rozum! kovová tlaková nádoba pro přepravu Plynů do 90 I vodního objemu. „Paletou" se rozumí přepravní zařízení, uzpůsobené pro přepravu jednotlivých Lahví. „Pevným svazkem lahví" se rozumí několik vzájemně propojených lahvi na společném přepravním základě. „Kontejnerem" se rozumí mobilní nádoba pro přepravu Plynů o objemu větším než 90 I vodního objemu. „Trajlerem" se rozumí silniční vůz přepravující Pevné svazky lahvi, které jsou navzájem propojeny.</w:t>
      </w:r>
    </w:p>
    <w:p>
      <w:pPr>
        <w:pStyle w:val="Style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Objednávka zákazníka musí obsahovat alespoň druh Plynu, jeho množství a požadovaný termín a místo dodání a musí být doručena v dostatečném předstihu před požadovaným termínem dodáni. Pokud místo dodání nebylo ve Smlouvě sjednáno pak platí, že místem dodání Plynů je Prodejní místo Lindě. Pokud nebyl dohodnul termín dodání, bude dopravu Distribučního prostředku k zákaz</w:t>
        <w:softHyphen/>
        <w:t xml:space="preserve">níkovi provádět Partner Lindě, přičemž doručí Plyny v Lahvích, Paletách, Pevných svazcích lahvi či Kontejnerech do dvou pracovních dnů a Plyny v Trajlerech do tří pracovních dnů. Nepřevezme-ll zákazník Distribuční prostředek s Plynem ve sjednaném terminu, splni Lindě svou povinnost tím, že zákazníkovi umožní převzít </w:t>
      </w:r>
      <w:r>
        <w:rPr>
          <w:rStyle w:val="CharStyle40"/>
          <w:b/>
          <w:bCs/>
        </w:rPr>
        <w:t xml:space="preserve">sl </w:t>
      </w:r>
      <w:r>
        <w:rPr>
          <w:lang w:val="cs-CZ" w:eastAsia="cs-CZ" w:bidi="cs-CZ"/>
          <w:w w:val="100"/>
          <w:spacing w:val="0"/>
          <w:color w:val="000000"/>
          <w:position w:val="0"/>
        </w:rPr>
        <w:t xml:space="preserve">Distribuční prostředek s Plynem v Prodejním místě Lindě. Jestliže si zákazník či jím určený dopravce vyzvedává Distribuční prostředek v Prodejním místě Lindě, pak zákazník odpovídá za bezpečnou nakládku, převoz a vykládku Distribučního prostředku a je povinen dodržovat předpisy týkající se přepravy Plynu, zvláště pravidla bezpečnosti práce </w:t>
      </w:r>
      <w:r>
        <w:rPr>
          <w:rStyle w:val="CharStyle41"/>
        </w:rPr>
        <w:t>a</w:t>
      </w:r>
      <w:r>
        <w:rPr>
          <w:lang w:val="cs-CZ" w:eastAsia="cs-CZ" w:bidi="cs-CZ"/>
          <w:w w:val="100"/>
          <w:spacing w:val="0"/>
          <w:color w:val="000000"/>
          <w:position w:val="0"/>
        </w:rPr>
        <w:t xml:space="preserve"> provozní pravidla včetně ČSN 078304. Pii převzetí Distribučního prostředku (či jiného produktu Lindě) je zástupce zákazníka povinen se prokázat zákaznickou kartou Lindě, na které je uvedeno číslo zákazníka. U Plynu podléhajícího spotřební dani (např. LPG) je zákazník povinen sdělit Lindě účel jeho použití.</w:t>
      </w:r>
    </w:p>
    <w:p>
      <w:pPr>
        <w:pStyle w:val="Style38"/>
        <w:numPr>
          <w:ilvl w:val="0"/>
          <w:numId w:val="3"/>
        </w:numPr>
        <w:tabs>
          <w:tab w:leader="none" w:pos="22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DODÁVKY PLYNŮ DO ZÁSOBOVACÍCH ZAŘÍZENI</w:t>
      </w:r>
    </w:p>
    <w:p>
      <w:pPr>
        <w:pStyle w:val="Style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„Zásobovacím zařízeni" se rozum! velkoobjemový zásobník, do kterého Lindě dodává zpravidla kapalné Plyny. „Zásobovací zařízení Lindě", které Lindě na základě samostatné Smlouvy pronajalo zákazníkovi, se nestává součásti nemovitosti, na které je postaveno, i když je s nf pevně spojeno. Pokud je Zásobovací zařízení vybaveno funkčním zařízením na dálkové sledováni stavu a zákazník mé s Lindě uzavřenu smlouvu na loto dálkové sledování, Lindě dodává Plyn do Zásobovacího zařízeni průběžně tak, aby měl zákazník v Zásobovacím zařízení dostatečnou zásobu Plynu, s přihléd</w:t>
        <w:softHyphen/>
        <w:t>nutím k jeho obvyklé spotřebě. I v případě instalace zařízení na dálkové sledováni je zákazník povinen provádět kontrolu stavu manometru ukazujícího stav náplně Zásobovacího zařízení, zapisovat stavy manometru do provozního deníku a oznámit Lindě nenadálý pokles náplně či její pokles pod 15 »/o kapacity Zásobovacího zařízení. V ostatních případech dodává Lindě Plyn do Zásobovacího zařízení na základě dílčích objednávek zákazníka, kdy každá objednávka specifikuje jednu dodávku Plynu. Objednávka musf obsahovat alespoň druh Plynu, jeho množství, požadovaný termín a místo dodání a je třeba ji zaslat Lindě nejméně tři pracovní dny před požadovaným dnem dodáni.</w:t>
      </w:r>
    </w:p>
    <w:p>
      <w:pPr>
        <w:pStyle w:val="Style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Zákazník zajistí bezplatně vhodný a bezpečný přístup Lindě k Zásobovacímu zařízení 24 hod. denně a umožní Lindě užívat příjezdovou cestu k Zásobovacímu zařízení pro vozidla do 48 tun. Zákazník se zavazuje umožnit Lindě řádné a včasné plněni Zásobovacího zařízení Plynem, zejména udržovat Zásobovací zařízení v řádném a provozuschopném stavu, bez vnitřních nečistot, a neprodleně hlásit Lindě skutečnosti, které mohou mít vliv na plnění závazků Lindě ze Smlouvy. Pokud Lindě nemůže provést dodávku Plynu do Zásobovacího zařízení kvůli nesoučinnosti zákazníka, může vyúčtovat zákazníkovi neúspěšnou jízdu a náklady na uskladnění Plynu až do okamžiku jeho dodáni. Zákazník je povinen v případě plánovaného přerušeni odběrů Plynu ze Zásobovacího zařízení z důvodu krátkodobé odstávky zařízeni zákazníka spotřebovávajícího Plyn nebo v případě plánovaného zvýšeni spotřeby o více než 30 % oproti předchozí průměrné denní spotřebě, takovouto skutečnost Lindě písemně sdělit, nejpozději 24 hodin předem s uvedením důvodu a doby trváni takové situace.</w:t>
      </w:r>
    </w:p>
    <w:p>
      <w:pPr>
        <w:pStyle w:val="Style38"/>
        <w:numPr>
          <w:ilvl w:val="0"/>
          <w:numId w:val="3"/>
        </w:numPr>
        <w:tabs>
          <w:tab w:leader="none" w:pos="22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PRONÁJEM DISTRIBUČNÍCH PROSTŘEDKŮ</w:t>
      </w:r>
    </w:p>
    <w:p>
      <w:pPr>
        <w:pStyle w:val="Style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Nájemní vztah mezí Lindě a zákazníkem vzniká podpisem Smlouvy, dodacího či přepravního listu k Distribučnímu prostředku zákazníkem čí jeho zástupcem.</w:t>
      </w:r>
    </w:p>
    <w:p>
      <w:pPr>
        <w:pStyle w:val="Style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Za užívání Distribučních prostředků Lindě je zákazník povinen platit denní nájemné, které bude účtováno ze strany Lindě při převzetí Distribučního prostředku a/nebo nejméně jednou měsíčně. U dlouhodobého </w:t>
      </w:r>
      <w:r>
        <w:rPr>
          <w:rStyle w:val="CharStyle41"/>
        </w:rPr>
        <w:t>nájmu</w:t>
      </w:r>
      <w:r>
        <w:rPr>
          <w:lang w:val="cs-CZ" w:eastAsia="cs-CZ" w:bidi="cs-CZ"/>
          <w:w w:val="100"/>
          <w:spacing w:val="0"/>
          <w:color w:val="000000"/>
          <w:position w:val="0"/>
        </w:rPr>
        <w:t xml:space="preserve"> Distribučního prostředku </w:t>
      </w:r>
      <w:r>
        <w:rPr>
          <w:rStyle w:val="CharStyle41"/>
        </w:rPr>
        <w:t>je</w:t>
      </w:r>
      <w:r>
        <w:rPr>
          <w:lang w:val="cs-CZ" w:eastAsia="cs-CZ" w:bidi="cs-CZ"/>
          <w:w w:val="100"/>
          <w:spacing w:val="0"/>
          <w:color w:val="000000"/>
          <w:position w:val="0"/>
        </w:rPr>
        <w:t xml:space="preserve"> nájemné za celou dobu nájmu vyúčtováno ihned po uzavření Smlouvy. U Distribučních prostředků Lindě, které rná zákazník v drženi déle než tři měsíce bez obrátky (tzn. výměny prázdných za plné), je Lindě oprávněna účtovat zákazníkovi dodatkové nájemné. Výše denního nájemného a dodatkového nájemného se řidl dle ceníku Lindě zveřejněného v Prodejních místech Lindě. Lindě je oprávněna sazby nájemného upravoval I v průběhu nájemního vztahu, a to doručením oznámení o zvýšeni nájemného zákazníkovi, a to alespoň 15 dní před jeho účinností. Lindě je oprávněna požadovat po zákazníkovi neúročenou kauci až do výše pořizovací ceny Distribučního prostředku. Lindě vrátí kauci zákazníkovi po předání Distri</w:t>
        <w:softHyphen/>
        <w:t>bučního prostředku a kaučního lístku Prodejnímu místu Lindě, přičemž je oprávněna započíst si proti kaucí své pohledávky za zákazníkem, zejména náklady na odstraňování škod na Distribučním prostředku vč. vnitřního znečištění.</w:t>
      </w:r>
    </w:p>
    <w:p>
      <w:pPr>
        <w:pStyle w:val="Style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Distribuční prostředky zákazník vrací na své náklady v Prodejním místě Lindě v jeho prodejní době; při vrácení nevzniká zákazníkovi nárok na úhradu za Plyny obsažené ve vráceném Distribučním prostředku ani na vracení nevyčerpaného nájemného. Zadržovací právo na pronajaté Distribuční prostředky se po dobu trvání Smlouvy vylučuje. Zákazník odpovídá Lindě za zcizení, ztrátu, poškoze</w:t>
        <w:softHyphen/>
        <w:t xml:space="preserve">ní, zničenf nebo včasné nevrácení Distribučního prostředku, jeho příslušenství čí čárového kódu a jiných </w:t>
      </w:r>
      <w:r>
        <w:rPr>
          <w:rStyle w:val="CharStyle41"/>
        </w:rPr>
        <w:t>označeni na něm umístěných.</w:t>
      </w:r>
      <w:r>
        <w:rPr>
          <w:lang w:val="cs-CZ" w:eastAsia="cs-CZ" w:bidi="cs-CZ"/>
          <w:w w:val="100"/>
          <w:spacing w:val="0"/>
          <w:color w:val="000000"/>
          <w:position w:val="0"/>
        </w:rPr>
        <w:t xml:space="preserve"> Přenechání Distribučních prostředků třetí osobě není dovoleno. Distribuční prostředky Lindě se mohou používat pouze pro Plyn dodaný Lindě. Zákazník se zavazuje poučil své pracovníky o správné manipulaci s Distribučními prostředky. Správnost výpisu z konta pronajatých Distributnícb prostředků, který je součástí vyúčtování nájemného, musí být zákazníkem bez prodleni přezkoumána. Námitky jsou možné do 30 dnů po obdržení vyúčtování nájemného, jinak se má za to, že vyúčtování vč. výpisu z konta bylo zákazníkem uznáno za správné a počet Distribučních prostředků zde uvedených je podkladem pro vyúčtování nájemného v následujícím zúčtovacím období.</w:t>
      </w:r>
    </w:p>
    <w:p>
      <w:pPr>
        <w:pStyle w:val="Style38"/>
        <w:numPr>
          <w:ilvl w:val="0"/>
          <w:numId w:val="3"/>
        </w:numPr>
        <w:tabs>
          <w:tab w:leader="none" w:pos="226"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DISTRIBUČNÍ PROSTŘEDKY ZÁKAZNÍKŮ</w:t>
      </w:r>
    </w:p>
    <w:p>
      <w:pPr>
        <w:pStyle w:val="Style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V případě dohody bude Lindě plnit Plynem i Distribuční prostředky zákazníků, které jsou svým označením odíišilelné od Distribučních prostředků Lindě. Zákazník souhlasí s tím, že součástí plnění Lindě bude i přezkoušení Distribučního prostředku podle platných předpisů před jeho naplněním, a zavazuje se uhradit Lindě cenu tohoto přezkoušení.</w:t>
      </w:r>
    </w:p>
    <w:p>
      <w:pPr>
        <w:pStyle w:val="Style38"/>
        <w:numPr>
          <w:ilvl w:val="0"/>
          <w:numId w:val="3"/>
        </w:numPr>
        <w:tabs>
          <w:tab w:leader="none" w:pos="23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CENY A PLATEBNÍ PODMÍNKY</w:t>
      </w:r>
    </w:p>
    <w:p>
      <w:pPr>
        <w:pStyle w:val="Style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Pokud není cena Plynů či ostatních plnění uvedena ve Smlouvě, řídl se dle aktuálního ceníku Lindě, který je k dispozici v Prodejních místech Lindě. Pokud dojde k zavedení nové daně, poplatku či obdobné povinnosti (daň na skleníkové plyny </w:t>
      </w:r>
      <w:r>
        <w:rPr>
          <w:rStyle w:val="CharStyle40"/>
          <w:b/>
          <w:bCs/>
        </w:rPr>
        <w:t xml:space="preserve">aj.) </w:t>
      </w:r>
      <w:r>
        <w:rPr>
          <w:lang w:val="cs-CZ" w:eastAsia="cs-CZ" w:bidi="cs-CZ"/>
          <w:w w:val="100"/>
          <w:spacing w:val="0"/>
          <w:color w:val="000000"/>
          <w:position w:val="0"/>
        </w:rPr>
        <w:t xml:space="preserve">nebo dojde ke změně stávající daně čí poplatku (mýto, recyklační poplatek, environmentální či </w:t>
      </w:r>
      <w:r>
        <w:rPr>
          <w:rStyle w:val="CharStyle40"/>
          <w:b/>
          <w:bCs/>
        </w:rPr>
        <w:t xml:space="preserve">ínfrastiukturáinf </w:t>
      </w:r>
      <w:r>
        <w:rPr>
          <w:lang w:val="cs-CZ" w:eastAsia="cs-CZ" w:bidi="cs-CZ"/>
          <w:w w:val="100"/>
          <w:spacing w:val="0"/>
          <w:color w:val="000000"/>
          <w:position w:val="0"/>
        </w:rPr>
        <w:t xml:space="preserve">poplatek aj.), v jehož důsledku dojde ke zvýšeni ceny Plynu nebo nákladů Lindě na výrobu čl distribuci Plynů, je Lindě oprávněna promítnout toto zvýšení do ceny dodávaných Plynů, jakož i dalších plnění. Při nedostatku Plynu způsobeného zejm. poruchami či odstávkami výrobních zdrojů, je </w:t>
      </w:r>
      <w:r>
        <w:rPr>
          <w:rStyle w:val="CharStyle40"/>
          <w:b/>
          <w:bCs/>
        </w:rPr>
        <w:t xml:space="preserve">Lindě </w:t>
      </w:r>
      <w:r>
        <w:rPr>
          <w:lang w:val="cs-CZ" w:eastAsia="cs-CZ" w:bidi="cs-CZ"/>
          <w:w w:val="100"/>
          <w:spacing w:val="0"/>
          <w:color w:val="000000"/>
          <w:position w:val="0"/>
        </w:rPr>
        <w:t>oprávněna aplikovat měsíční limit dodávek Plynu odvozený od smluveného množství dodávek Plynu s tím, že pokud zákazník odebere Plyn nad určený měsíční limit, je Lindě oprávněna mu vyúčtovat poplatek určený Lindě pro tuto situaci. Společně s cenou dodaného Plynu je tinde oprávněna zákazníkovi účtovat poplatky ve výší dle platného ceníku Lindě zveřejněného v Prodejních místech Lindě, zejména poplatek ADR, silniční a energetický poplatek za každý Distribuční prostředek a dodávku kapalných Plynů do Zásobovacího zařízení, sezónní příplatek za kapalný oxid uhličitý a poplatek za příslušný atest.</w:t>
      </w:r>
    </w:p>
    <w:p>
      <w:pPr>
        <w:pStyle w:val="Style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Je-li lak stanoveno Smlouvou či právními předpisy, bude Lindě vystavoval zákazníkovi po dodání produktu (Plyn, zboží, služba) vyúčtování s náležitostmi daňového dokladu, které obsahuje cenu produktů, poplatky a jiné částky, na které má Lindě nárok (napí, nájemné za Distribuční prostředky či smluvní pokuty), Splatnost daňových dokladů je čtrnáct dnů od data vystavení, není-li na daňovém dokladu uvedena Ihúta delší. Má se za to, že daňový doklad je doručený do dvou dnů od odesláni. Případné námitky proti ceně vyúčtované ze strany Lindě je zákazník oprávněn vznést pouze do 30 </w:t>
      </w:r>
      <w:r>
        <w:rPr>
          <w:rStyle w:val="CharStyle41"/>
        </w:rPr>
        <w:t>dnů od doručení</w:t>
      </w:r>
      <w:r>
        <w:rPr>
          <w:lang w:val="cs-CZ" w:eastAsia="cs-CZ" w:bidi="cs-CZ"/>
          <w:w w:val="100"/>
          <w:spacing w:val="0"/>
          <w:color w:val="000000"/>
          <w:position w:val="0"/>
        </w:rPr>
        <w:t xml:space="preserve"> vyúčtování. </w:t>
      </w:r>
      <w:r>
        <w:rPr>
          <w:rStyle w:val="CharStyle41"/>
        </w:rPr>
        <w:t>Sdělením své</w:t>
      </w:r>
      <w:r>
        <w:rPr>
          <w:lang w:val="cs-CZ" w:eastAsia="cs-CZ" w:bidi="cs-CZ"/>
          <w:w w:val="100"/>
          <w:spacing w:val="0"/>
          <w:color w:val="000000"/>
          <w:position w:val="0"/>
        </w:rPr>
        <w:t xml:space="preserve"> e-mailové adresy zákazník uděluje tinde právo zasílat zákazníkovi faktury za dodané produkty e-mailem. V případě prodlení zákazníka se zaplacením splatné platby vyúčtované mu ze strany Lindě, je Lindě oprávněna požadovat smluvní pokutu ve výši 0,03 </w:t>
      </w:r>
      <w:r>
        <w:rPr>
          <w:rStyle w:val="CharStyle42"/>
        </w:rPr>
        <w:t>«,ii</w:t>
      </w:r>
      <w:r>
        <w:rPr>
          <w:lang w:val="cs-CZ" w:eastAsia="cs-CZ" w:bidi="cs-CZ"/>
          <w:w w:val="100"/>
          <w:spacing w:val="0"/>
          <w:color w:val="000000"/>
          <w:position w:val="0"/>
        </w:rPr>
        <w:t xml:space="preserve"> z dlužné částky za každý den prodlení a dále náhradu způsobené škody. U zákazníků, kteři Lindě neprokáží spolehlivě svou platební schopnost nebo platební morálku, může tinde požadovat zálohovou platbu s tím, že tuto zálohovou platbu je Lindě oprávněna vyúčtovat proti svým pohledávkám za zákazníkem.</w:t>
      </w:r>
    </w:p>
    <w:p>
      <w:pPr>
        <w:pStyle w:val="Style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 xml:space="preserve">Až do úplného uhrazení plateb za Plyn či jiný produkt </w:t>
      </w:r>
      <w:r>
        <w:rPr>
          <w:rStyle w:val="CharStyle41"/>
        </w:rPr>
        <w:t>dodaný ze</w:t>
      </w:r>
      <w:r>
        <w:rPr>
          <w:lang w:val="cs-CZ" w:eastAsia="cs-CZ" w:bidi="cs-CZ"/>
          <w:w w:val="100"/>
          <w:spacing w:val="0"/>
          <w:color w:val="000000"/>
          <w:position w:val="0"/>
        </w:rPr>
        <w:t xml:space="preserve"> strany tinde zákazníkovi, zůstává dodaný produkt ve vlastnictví Lindě.</w:t>
      </w:r>
    </w:p>
    <w:p>
      <w:pPr>
        <w:pStyle w:val="Style38"/>
        <w:numPr>
          <w:ilvl w:val="0"/>
          <w:numId w:val="3"/>
        </w:numPr>
        <w:tabs>
          <w:tab w:leader="none" w:pos="23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ODPOVĚDNOST ZA VADY A ŠKODY</w:t>
      </w:r>
    </w:p>
    <w:p>
      <w:pPr>
        <w:pStyle w:val="Style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Lindě dodává zákazníkovi Plyny v množství a kvalitě určené ve Smlouvě, jinak v kvalitě a množství odpovídající podobným dodávkám. Jestliže je ve Smlouvě na dodávku Plynu v Distribučních prostředcích smluvené množství Plynu určeno v "m</w:t>
      </w:r>
      <w:r>
        <w:rPr>
          <w:lang w:val="cs-CZ" w:eastAsia="cs-CZ" w:bidi="cs-CZ"/>
          <w:vertAlign w:val="superscript"/>
          <w:w w:val="100"/>
          <w:spacing w:val="0"/>
          <w:color w:val="000000"/>
          <w:position w:val="0"/>
        </w:rPr>
        <w:t>!</w:t>
      </w:r>
      <w:r>
        <w:rPr>
          <w:lang w:val="cs-CZ" w:eastAsia="cs-CZ" w:bidi="cs-CZ"/>
          <w:w w:val="100"/>
          <w:spacing w:val="0"/>
          <w:color w:val="000000"/>
          <w:position w:val="0"/>
        </w:rPr>
        <w:t xml:space="preserve">", pak se vztahuje na stav Plynu při 15 °C a tlaku 0,1 MPa. Pokud je Plyn dodaný zákazníkovi vadný nebo neodpovídá množství dodaného Plynu, má zákazník právo uplatnit reklamací, které se řídí reklamačním řádem Lindě, který je k dispozici na webových stránkách Lindě. </w:t>
      </w:r>
      <w:r>
        <w:rPr>
          <w:rStyle w:val="CharStyle41"/>
        </w:rPr>
        <w:t>Pro</w:t>
      </w:r>
      <w:r>
        <w:rPr>
          <w:lang w:val="cs-CZ" w:eastAsia="cs-CZ" w:bidi="cs-CZ"/>
          <w:w w:val="100"/>
          <w:spacing w:val="0"/>
          <w:color w:val="000000"/>
          <w:position w:val="0"/>
        </w:rPr>
        <w:t xml:space="preserve"> reklamaci kvality Plynů nesmi být spotřebováno více než SO % náplně, a to z důvodu možného provedení řádných kontrolních analýz. Distribuční prostředky s vadným Plynem nesměji být déle používány a po nápadném označeni musí být vraceny Prodejnímu místu Lindě. V případě opožděných dodávek nebo výpadku v dodávkách Plynu může zákazník, pokud Lindě nesplní dodávku v dodatečné </w:t>
      </w:r>
      <w:r>
        <w:rPr>
          <w:rStyle w:val="CharStyle40"/>
          <w:b/>
          <w:bCs/>
        </w:rPr>
        <w:t xml:space="preserve">lhůté </w:t>
      </w:r>
      <w:r>
        <w:rPr>
          <w:lang w:val="cs-CZ" w:eastAsia="cs-CZ" w:bidi="cs-CZ"/>
          <w:w w:val="100"/>
          <w:spacing w:val="0"/>
          <w:color w:val="000000"/>
          <w:position w:val="0"/>
        </w:rPr>
        <w:t xml:space="preserve">po výzvě zákazníka, odstoupil od Smlouvy. V případe, že je zákazník spotřebitelem, je subjektem příslušným pro mimosoudní řešení sporu zákazníka s Lindě Česká obchodní inspekce, bližší informace na </w:t>
      </w:r>
      <w:r>
        <w:fldChar w:fldCharType="begin"/>
      </w:r>
      <w:r>
        <w:rPr>
          <w:color w:val="000000"/>
        </w:rPr>
        <w:instrText> HYPERLINK "http://www.coi.cz" </w:instrText>
      </w:r>
      <w:r>
        <w:fldChar w:fldCharType="separate"/>
      </w:r>
      <w:r>
        <w:rPr>
          <w:rStyle w:val="Hyperlink"/>
          <w:lang w:val="en-US" w:eastAsia="en-US" w:bidi="en-US"/>
          <w:w w:val="100"/>
          <w:spacing w:val="0"/>
          <w:position w:val="0"/>
        </w:rPr>
        <w:t>www.coi.cz</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 xml:space="preserve">je-li zákazník v prodleni s úhradou jakékoli platby vyúčtované mu ze strany Lindě, je Lindě oprávněna zastavit dodávky Plynu, další nájem Distribučních prostředků či prodej jiných produktů (zboží, služeb) zákazníkovi, a </w:t>
      </w:r>
      <w:r>
        <w:rPr>
          <w:rStyle w:val="CharStyle41"/>
        </w:rPr>
        <w:t>to</w:t>
      </w:r>
      <w:r>
        <w:rPr>
          <w:lang w:val="cs-CZ" w:eastAsia="cs-CZ" w:bidi="cs-CZ"/>
          <w:w w:val="100"/>
          <w:spacing w:val="0"/>
          <w:color w:val="000000"/>
          <w:position w:val="0"/>
        </w:rPr>
        <w:t xml:space="preserve"> až do úplného zaplacení dlužné částky. Pří zcizení, poškození, nebo nevrácení Distribučního prostředku je zákazník povinen uhradit Lindě smluvní pokutu za každou Láhev 4.000,- Kč, za každou Paletu 5.000,- Kč, za každý Pevný svazek 80,000,- Kč a za každý Kontejner či Trajlei 100.000,- Kč, a vedle toho je Lindě oprávněna požadovat po zákazníkovi způsobenou škodu.</w:t>
      </w:r>
    </w:p>
    <w:p>
      <w:pPr>
        <w:pStyle w:val="Style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Pokud v souvislosti s plněním Smlouvy vznikne jedné smluvní straně povinnost nahradit újmu druhé smluvní straně, která nebude způsobena úmyslně, z hrubé nedbalosti či na přirozených právech člověka, pak si smluvní strany navzájem odpovídají za újmu pouze v podobě přímé škody s tím, že nepřímé, následné škody čí ušlý zisk jsou vyloučeny. Celková újma vzniklá ze všech dílčích škod</w:t>
        <w:softHyphen/>
        <w:t>ných událostí v průběhu trvání Smlouvy je omezena na dvacet milionů Kč a celková újma vzniklé z jedné škodné události je omezena na částku deset milionů Kč. Právo na náhradu újmy a vydáni bezdůvodného obohaceni se promlčuje v tříleté promlčecí době, která běží od okamžiku vzniku škody.</w:t>
      </w:r>
    </w:p>
    <w:p>
      <w:pPr>
        <w:pStyle w:val="Style38"/>
        <w:widowControl w:val="0"/>
        <w:keepNext w:val="0"/>
        <w:keepLines w:val="0"/>
        <w:shd w:val="clear" w:color="auto" w:fill="auto"/>
        <w:bidi w:val="0"/>
        <w:spacing w:before="0" w:after="0"/>
        <w:ind w:left="0" w:right="0" w:firstLine="0"/>
      </w:pPr>
      <w:r>
        <w:rPr>
          <w:lang w:val="cs-CZ" w:eastAsia="cs-CZ" w:bidi="cs-CZ"/>
          <w:w w:val="100"/>
          <w:spacing w:val="0"/>
          <w:color w:val="000000"/>
          <w:position w:val="0"/>
        </w:rPr>
        <w:t>Všechny případy vyšší mocí, jakož i provozní, dopravní a energetické poruchy, stávky, výluky, osvobozují toho, kdo je jimi postižen, od smluvních povinnosti po dobu a v rozsahu účinnosti těchto událostí, lo platí také tehdy, když uvedené okolnosti nastanou u subdodavatelů smluvních síran.</w:t>
      </w:r>
    </w:p>
    <w:p>
      <w:pPr>
        <w:pStyle w:val="Style38"/>
        <w:numPr>
          <w:ilvl w:val="0"/>
          <w:numId w:val="3"/>
        </w:numPr>
        <w:tabs>
          <w:tab w:leader="none" w:pos="23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ZPRACOVÁNÍ OSOBNÍCH ÚDAJŮ</w:t>
      </w:r>
    </w:p>
    <w:p>
      <w:pPr>
        <w:pStyle w:val="Style38"/>
        <w:widowControl w:val="0"/>
        <w:keepNext w:val="0"/>
        <w:keepLines w:val="0"/>
        <w:shd w:val="clear" w:color="auto" w:fill="auto"/>
        <w:bidi w:val="0"/>
        <w:spacing w:before="0" w:after="0"/>
        <w:ind w:left="0" w:right="0" w:firstLine="0"/>
      </w:pPr>
      <w:r>
        <w:pict>
          <v:shape id="_x0000_s1045" type="#_x0000_t202" style="position:absolute;margin-left:547.4pt;margin-top:3.1pt;width:8.9pt;height:47.05pt;z-index:-125829366;mso-wrap-distance-left:8.15pt;mso-wrap-distance-right:5.pt;mso-position-horizontal-relative:margin" filled="f" stroked="f">
            <v:textbox style="layout-flow:vertical;mso-layout-flow-alt:bottom-to-top" inset="0,0,0,0">
              <w:txbxContent>
                <w:p>
                  <w:pPr>
                    <w:pStyle w:val="Style23"/>
                    <w:widowControl w:val="0"/>
                    <w:keepNext w:val="0"/>
                    <w:keepLines w:val="0"/>
                    <w:shd w:val="clear" w:color="auto" w:fill="auto"/>
                    <w:bidi w:val="0"/>
                    <w:jc w:val="left"/>
                    <w:spacing w:before="0" w:after="0" w:line="110" w:lineRule="exact"/>
                    <w:ind w:left="0" w:right="0" w:firstLine="0"/>
                  </w:pPr>
                  <w:r>
                    <w:rPr>
                      <w:lang w:val="cs-CZ" w:eastAsia="cs-CZ" w:bidi="cs-CZ"/>
                      <w:w w:val="100"/>
                      <w:spacing w:val="0"/>
                      <w:color w:val="000000"/>
                      <w:position w:val="0"/>
                    </w:rPr>
                    <w:t>1211/26 2020.02</w:t>
                  </w:r>
                </w:p>
              </w:txbxContent>
            </v:textbox>
            <w10:wrap type="square" side="left" anchorx="margin"/>
          </v:shape>
        </w:pict>
      </w:r>
      <w:r>
        <w:rPr>
          <w:lang w:val="cs-CZ" w:eastAsia="cs-CZ" w:bidi="cs-CZ"/>
          <w:w w:val="100"/>
          <w:spacing w:val="0"/>
          <w:color w:val="000000"/>
          <w:position w:val="0"/>
        </w:rPr>
        <w:t xml:space="preserve">Každá ze smluvních stran se zavazuje informovat všechny své zástupce a jiné fyzické osoby, jejichž osobni údaje zpřístupňuje druhé smluvní straně (dále jen „Subjekty údajů"), o zpracovávání jejich osobních údajů ze strany druhé smluvní strany, a lo v rozsahu vyžadovaném čl. 13 obecného nařízení o ochraně osobních údajů </w:t>
      </w:r>
      <w:r>
        <w:rPr>
          <w:rStyle w:val="CharStyle40"/>
          <w:b/>
          <w:bCs/>
        </w:rPr>
        <w:t>EU/201</w:t>
      </w:r>
      <w:r>
        <w:rPr>
          <w:lang w:val="cs-CZ" w:eastAsia="cs-CZ" w:bidi="cs-CZ"/>
          <w:w w:val="100"/>
          <w:spacing w:val="0"/>
          <w:color w:val="000000"/>
          <w:position w:val="0"/>
        </w:rPr>
        <w:t>6/679 („GDPR").</w:t>
      </w:r>
    </w:p>
    <w:p>
      <w:pPr>
        <w:pStyle w:val="Style38"/>
        <w:numPr>
          <w:ilvl w:val="0"/>
          <w:numId w:val="3"/>
        </w:numPr>
        <w:tabs>
          <w:tab w:leader="none" w:pos="231" w:val="left"/>
        </w:tabs>
        <w:widowControl w:val="0"/>
        <w:keepNext w:val="0"/>
        <w:keepLines w:val="0"/>
        <w:shd w:val="clear" w:color="auto" w:fill="auto"/>
        <w:bidi w:val="0"/>
        <w:spacing w:before="0" w:after="0"/>
        <w:ind w:left="0" w:right="0" w:firstLine="0"/>
      </w:pPr>
      <w:r>
        <w:rPr>
          <w:lang w:val="cs-CZ" w:eastAsia="cs-CZ" w:bidi="cs-CZ"/>
          <w:w w:val="100"/>
          <w:spacing w:val="0"/>
          <w:color w:val="000000"/>
          <w:position w:val="0"/>
        </w:rPr>
        <w:t>ZMĚNY PODMÍNEK</w:t>
      </w:r>
    </w:p>
    <w:p>
      <w:pPr>
        <w:pStyle w:val="Style38"/>
        <w:widowControl w:val="0"/>
        <w:keepNext w:val="0"/>
        <w:keepLines w:val="0"/>
        <w:shd w:val="clear" w:color="auto" w:fill="auto"/>
        <w:bidi w:val="0"/>
        <w:spacing w:before="0" w:after="207"/>
        <w:ind w:left="0" w:right="0" w:firstLine="0"/>
      </w:pPr>
      <w:r>
        <w:rPr>
          <w:lang w:val="cs-CZ" w:eastAsia="cs-CZ" w:bidi="cs-CZ"/>
          <w:w w:val="100"/>
          <w:spacing w:val="0"/>
          <w:color w:val="000000"/>
          <w:position w:val="0"/>
        </w:rPr>
        <w:t xml:space="preserve">Tyto Podmínky jsou účinné od 1.2.2020 a jsou k dispozici v Prodejních místech t inde a na webových stránkách </w:t>
      </w:r>
      <w:r>
        <w:fldChar w:fldCharType="begin"/>
      </w:r>
      <w:r>
        <w:rPr>
          <w:color w:val="000000"/>
        </w:rPr>
        <w:instrText> HYPERLINK "https://www.linde-gas.cz/cs/iooter/legalnotlce.htnil" </w:instrText>
      </w:r>
      <w:r>
        <w:fldChar w:fldCharType="separate"/>
      </w:r>
      <w:r>
        <w:rPr>
          <w:rStyle w:val="Hyperlink"/>
          <w:lang w:val="en-US" w:eastAsia="en-US" w:bidi="en-US"/>
          <w:w w:val="100"/>
          <w:spacing w:val="0"/>
          <w:position w:val="0"/>
        </w:rPr>
        <w:t>https://www.linde-gas.cz/cs/iooter/legalnotlce.htnil</w:t>
      </w:r>
      <w:r>
        <w:fldChar w:fldCharType="end"/>
      </w:r>
      <w:r>
        <w:rPr>
          <w:lang w:val="en-US" w:eastAsia="en-US" w:bidi="en-US"/>
          <w:w w:val="100"/>
          <w:spacing w:val="0"/>
          <w:color w:val="000000"/>
          <w:position w:val="0"/>
        </w:rPr>
        <w:t xml:space="preserve">. </w:t>
      </w:r>
      <w:r>
        <w:rPr>
          <w:lang w:val="cs-CZ" w:eastAsia="cs-CZ" w:bidi="cs-CZ"/>
          <w:w w:val="100"/>
          <w:spacing w:val="0"/>
          <w:color w:val="000000"/>
          <w:position w:val="0"/>
        </w:rPr>
        <w:t xml:space="preserve">Lindě je oprávněna změnit čí doplnil tyto Podmínky, je však povinna seznámit zákazníka s novým zněním Podmínek alespoň 15 dni předem, například jejich vyvěšením na webových stránkách Lindě či zasláním nového znění Podmínek e-mailem, na dodacím listu čí na íaktu/e. jestliže zákazník nové znění Podmínek do 30 dnů písemné odmítne, </w:t>
      </w:r>
      <w:r>
        <w:rPr>
          <w:rStyle w:val="CharStyle41"/>
        </w:rPr>
        <w:t>nové znění se</w:t>
      </w:r>
      <w:r>
        <w:rPr>
          <w:lang w:val="cs-CZ" w:eastAsia="cs-CZ" w:bidi="cs-CZ"/>
          <w:w w:val="100"/>
          <w:spacing w:val="0"/>
          <w:color w:val="000000"/>
          <w:position w:val="0"/>
        </w:rPr>
        <w:t xml:space="preserve"> u něj neuplatní.</w:t>
      </w:r>
    </w:p>
    <w:p>
      <w:pPr>
        <w:pStyle w:val="Style38"/>
        <w:widowControl w:val="0"/>
        <w:keepNext w:val="0"/>
        <w:keepLines w:val="0"/>
        <w:shd w:val="clear" w:color="auto" w:fill="auto"/>
        <w:bidi w:val="0"/>
        <w:spacing w:before="0" w:after="0" w:line="120" w:lineRule="exact"/>
        <w:ind w:left="0" w:right="0" w:firstLine="0"/>
      </w:pPr>
      <w:r>
        <w:rPr>
          <w:lang w:val="cs-CZ" w:eastAsia="cs-CZ" w:bidi="cs-CZ"/>
          <w:w w:val="100"/>
          <w:spacing w:val="0"/>
          <w:color w:val="000000"/>
          <w:position w:val="0"/>
        </w:rPr>
        <w:t>Lindě Gas a.s., sídlo: U Technoplynu 1324, 198 00 Praha 9 -- Kyje, IČO: 00011754, zapsaná v obchodním rejstříku vedeném Městským soudem v Praze oddíl 8, vložka 411 (dále lež „Linde")</w:t>
      </w:r>
    </w:p>
    <w:sectPr>
      <w:type w:val="continuous"/>
      <w:pgSz w:w="11900" w:h="16840"/>
      <w:pgMar w:top="468" w:left="399" w:right="730" w:bottom="31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18"/>
        <w:szCs w:val="18"/>
        <w:rFonts w:ascii="Arial" w:eastAsia="Arial" w:hAnsi="Arial" w:cs="Arial"/>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12"/>
        <w:szCs w:val="12"/>
        <w:rFonts w:ascii="Segoe UI" w:eastAsia="Segoe UI" w:hAnsi="Segoe UI" w:cs="Segoe UI"/>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2 (2) Exact"/>
    <w:basedOn w:val="DefaultParagraphFont"/>
    <w:link w:val="Style3"/>
    <w:rPr>
      <w:lang w:val="en-US" w:eastAsia="en-US" w:bidi="en-US"/>
      <w:b w:val="0"/>
      <w:bCs w:val="0"/>
      <w:i w:val="0"/>
      <w:iCs w:val="0"/>
      <w:u w:val="none"/>
      <w:strike w:val="0"/>
      <w:smallCaps w:val="0"/>
      <w:rFonts w:ascii="Arial" w:eastAsia="Arial" w:hAnsi="Arial" w:cs="Arial"/>
    </w:rPr>
  </w:style>
  <w:style w:type="character" w:customStyle="1" w:styleId="CharStyle5">
    <w:name w:val="Nadpis #2 (2) Exact"/>
    <w:basedOn w:val="CharStyle4"/>
    <w:rPr>
      <w:sz w:val="24"/>
      <w:szCs w:val="24"/>
      <w:w w:val="100"/>
      <w:spacing w:val="0"/>
      <w:color w:val="000000"/>
      <w:position w:val="0"/>
    </w:rPr>
  </w:style>
  <w:style w:type="character" w:customStyle="1" w:styleId="CharStyle7">
    <w:name w:val="Základní text (3) Exact"/>
    <w:basedOn w:val="DefaultParagraphFont"/>
    <w:link w:val="Style6"/>
    <w:rPr>
      <w:b/>
      <w:bCs/>
      <w:i w:val="0"/>
      <w:iCs w:val="0"/>
      <w:u w:val="none"/>
      <w:strike w:val="0"/>
      <w:smallCaps w:val="0"/>
      <w:sz w:val="14"/>
      <w:szCs w:val="14"/>
      <w:rFonts w:ascii="Arial" w:eastAsia="Arial" w:hAnsi="Arial" w:cs="Arial"/>
    </w:rPr>
  </w:style>
  <w:style w:type="character" w:customStyle="1" w:styleId="CharStyle9">
    <w:name w:val="Základní text (5) Exact"/>
    <w:basedOn w:val="DefaultParagraphFont"/>
    <w:rPr>
      <w:b w:val="0"/>
      <w:bCs w:val="0"/>
      <w:i w:val="0"/>
      <w:iCs w:val="0"/>
      <w:u w:val="none"/>
      <w:strike w:val="0"/>
      <w:smallCaps w:val="0"/>
      <w:sz w:val="19"/>
      <w:szCs w:val="19"/>
      <w:rFonts w:ascii="Arial" w:eastAsia="Arial" w:hAnsi="Arial" w:cs="Arial"/>
    </w:rPr>
  </w:style>
  <w:style w:type="character" w:customStyle="1" w:styleId="CharStyle10">
    <w:name w:val="Základní text (5) Exact"/>
    <w:basedOn w:val="CharStyle26"/>
    <w:rPr>
      <w:sz w:val="19"/>
      <w:szCs w:val="19"/>
    </w:rPr>
  </w:style>
  <w:style w:type="character" w:customStyle="1" w:styleId="CharStyle12">
    <w:name w:val="Nadpis #1 Exact"/>
    <w:basedOn w:val="DefaultParagraphFont"/>
    <w:link w:val="Style11"/>
    <w:rPr>
      <w:b w:val="0"/>
      <w:bCs w:val="0"/>
      <w:i w:val="0"/>
      <w:iCs w:val="0"/>
      <w:u w:val="none"/>
      <w:strike w:val="0"/>
      <w:smallCaps w:val="0"/>
      <w:sz w:val="28"/>
      <w:szCs w:val="28"/>
      <w:rFonts w:ascii="Arial" w:eastAsia="Arial" w:hAnsi="Arial" w:cs="Arial"/>
    </w:rPr>
  </w:style>
  <w:style w:type="character" w:customStyle="1" w:styleId="CharStyle13">
    <w:name w:val="Základní text (3) + 9,5 pt,Ne tučné Exact"/>
    <w:basedOn w:val="CharStyle7"/>
    <w:rPr>
      <w:lang w:val="cs-CZ" w:eastAsia="cs-CZ" w:bidi="cs-CZ"/>
      <w:b/>
      <w:bCs/>
      <w:sz w:val="19"/>
      <w:szCs w:val="19"/>
      <w:w w:val="100"/>
      <w:spacing w:val="0"/>
      <w:color w:val="000000"/>
      <w:position w:val="0"/>
    </w:rPr>
  </w:style>
  <w:style w:type="character" w:customStyle="1" w:styleId="CharStyle15">
    <w:name w:val="Základní text (12) Exact"/>
    <w:basedOn w:val="DefaultParagraphFont"/>
    <w:link w:val="Style14"/>
    <w:rPr>
      <w:b w:val="0"/>
      <w:bCs w:val="0"/>
      <w:i w:val="0"/>
      <w:iCs w:val="0"/>
      <w:u w:val="none"/>
      <w:strike w:val="0"/>
      <w:smallCaps w:val="0"/>
      <w:sz w:val="19"/>
      <w:szCs w:val="19"/>
      <w:rFonts w:ascii="Arial" w:eastAsia="Arial" w:hAnsi="Arial" w:cs="Arial"/>
    </w:rPr>
  </w:style>
  <w:style w:type="character" w:customStyle="1" w:styleId="CharStyle16">
    <w:name w:val="Základní text (12) + 7 pt,Tučné Exact"/>
    <w:basedOn w:val="CharStyle15"/>
    <w:rPr>
      <w:lang w:val="cs-CZ" w:eastAsia="cs-CZ" w:bidi="cs-CZ"/>
      <w:b/>
      <w:bCs/>
      <w:sz w:val="14"/>
      <w:szCs w:val="14"/>
      <w:w w:val="100"/>
      <w:spacing w:val="0"/>
      <w:color w:val="000000"/>
      <w:position w:val="0"/>
    </w:rPr>
  </w:style>
  <w:style w:type="character" w:customStyle="1" w:styleId="CharStyle18">
    <w:name w:val="Základní text (6) Exact"/>
    <w:basedOn w:val="DefaultParagraphFont"/>
    <w:rPr>
      <w:b w:val="0"/>
      <w:bCs w:val="0"/>
      <w:i w:val="0"/>
      <w:iCs w:val="0"/>
      <w:u w:val="none"/>
      <w:strike w:val="0"/>
      <w:smallCaps w:val="0"/>
      <w:sz w:val="12"/>
      <w:szCs w:val="12"/>
      <w:rFonts w:ascii="Arial" w:eastAsia="Arial" w:hAnsi="Arial" w:cs="Arial"/>
    </w:rPr>
  </w:style>
  <w:style w:type="character" w:customStyle="1" w:styleId="CharStyle20">
    <w:name w:val="Základní text (7) Exact"/>
    <w:basedOn w:val="DefaultParagraphFont"/>
    <w:rPr>
      <w:b/>
      <w:bCs/>
      <w:i w:val="0"/>
      <w:iCs w:val="0"/>
      <w:u w:val="none"/>
      <w:strike w:val="0"/>
      <w:smallCaps w:val="0"/>
      <w:sz w:val="20"/>
      <w:szCs w:val="20"/>
      <w:rFonts w:ascii="Arial" w:eastAsia="Arial" w:hAnsi="Arial" w:cs="Arial"/>
    </w:rPr>
  </w:style>
  <w:style w:type="character" w:customStyle="1" w:styleId="CharStyle22">
    <w:name w:val="Titulek obrázku Exact"/>
    <w:basedOn w:val="DefaultParagraphFont"/>
    <w:link w:val="Style21"/>
    <w:rPr>
      <w:b w:val="0"/>
      <w:bCs w:val="0"/>
      <w:i w:val="0"/>
      <w:iCs w:val="0"/>
      <w:u w:val="none"/>
      <w:strike w:val="0"/>
      <w:smallCaps w:val="0"/>
      <w:sz w:val="12"/>
      <w:szCs w:val="12"/>
      <w:rFonts w:ascii="Arial" w:eastAsia="Arial" w:hAnsi="Arial" w:cs="Arial"/>
    </w:rPr>
  </w:style>
  <w:style w:type="character" w:customStyle="1" w:styleId="CharStyle24">
    <w:name w:val="Základní text (11) Exact"/>
    <w:basedOn w:val="DefaultParagraphFont"/>
    <w:link w:val="Style23"/>
    <w:rPr>
      <w:b w:val="0"/>
      <w:bCs w:val="0"/>
      <w:i w:val="0"/>
      <w:iCs w:val="0"/>
      <w:u w:val="none"/>
      <w:strike w:val="0"/>
      <w:smallCaps w:val="0"/>
      <w:sz w:val="11"/>
      <w:szCs w:val="11"/>
      <w:rFonts w:ascii="Segoe UI" w:eastAsia="Segoe UI" w:hAnsi="Segoe UI" w:cs="Segoe UI"/>
    </w:rPr>
  </w:style>
  <w:style w:type="character" w:customStyle="1" w:styleId="CharStyle25">
    <w:name w:val="Základní text (6)_"/>
    <w:basedOn w:val="DefaultParagraphFont"/>
    <w:link w:val="Style17"/>
    <w:rPr>
      <w:b w:val="0"/>
      <w:bCs w:val="0"/>
      <w:i w:val="0"/>
      <w:iCs w:val="0"/>
      <w:u w:val="none"/>
      <w:strike w:val="0"/>
      <w:smallCaps w:val="0"/>
      <w:sz w:val="12"/>
      <w:szCs w:val="12"/>
      <w:rFonts w:ascii="Arial" w:eastAsia="Arial" w:hAnsi="Arial" w:cs="Arial"/>
    </w:rPr>
  </w:style>
  <w:style w:type="character" w:customStyle="1" w:styleId="CharStyle26">
    <w:name w:val="Základní text (5)_"/>
    <w:basedOn w:val="DefaultParagraphFont"/>
    <w:link w:val="Style8"/>
    <w:rPr>
      <w:b w:val="0"/>
      <w:bCs w:val="0"/>
      <w:i w:val="0"/>
      <w:iCs w:val="0"/>
      <w:u w:val="none"/>
      <w:strike w:val="0"/>
      <w:smallCaps w:val="0"/>
      <w:sz w:val="19"/>
      <w:szCs w:val="19"/>
      <w:rFonts w:ascii="Arial" w:eastAsia="Arial" w:hAnsi="Arial" w:cs="Arial"/>
    </w:rPr>
  </w:style>
  <w:style w:type="character" w:customStyle="1" w:styleId="CharStyle27">
    <w:name w:val="Základní text (5)"/>
    <w:basedOn w:val="CharStyle26"/>
    <w:rPr>
      <w:lang w:val="cs-CZ" w:eastAsia="cs-CZ" w:bidi="cs-CZ"/>
      <w:sz w:val="19"/>
      <w:szCs w:val="19"/>
      <w:w w:val="100"/>
      <w:spacing w:val="0"/>
      <w:color w:val="000000"/>
      <w:position w:val="0"/>
    </w:rPr>
  </w:style>
  <w:style w:type="character" w:customStyle="1" w:styleId="CharStyle28">
    <w:name w:val="Základní text (7)_"/>
    <w:basedOn w:val="DefaultParagraphFont"/>
    <w:link w:val="Style19"/>
    <w:rPr>
      <w:b/>
      <w:bCs/>
      <w:i w:val="0"/>
      <w:iCs w:val="0"/>
      <w:u w:val="none"/>
      <w:strike w:val="0"/>
      <w:smallCaps w:val="0"/>
      <w:sz w:val="20"/>
      <w:szCs w:val="20"/>
      <w:rFonts w:ascii="Arial" w:eastAsia="Arial" w:hAnsi="Arial" w:cs="Arial"/>
    </w:rPr>
  </w:style>
  <w:style w:type="character" w:customStyle="1" w:styleId="CharStyle30">
    <w:name w:val="Základní text (13)_"/>
    <w:basedOn w:val="DefaultParagraphFont"/>
    <w:link w:val="Style29"/>
    <w:rPr>
      <w:b w:val="0"/>
      <w:bCs w:val="0"/>
      <w:i w:val="0"/>
      <w:iCs w:val="0"/>
      <w:u w:val="none"/>
      <w:strike w:val="0"/>
      <w:smallCaps w:val="0"/>
      <w:sz w:val="18"/>
      <w:szCs w:val="18"/>
      <w:rFonts w:ascii="Arial" w:eastAsia="Arial" w:hAnsi="Arial" w:cs="Arial"/>
    </w:rPr>
  </w:style>
  <w:style w:type="character" w:customStyle="1" w:styleId="CharStyle32">
    <w:name w:val="Základní text (14)_"/>
    <w:basedOn w:val="DefaultParagraphFont"/>
    <w:link w:val="Style31"/>
    <w:rPr>
      <w:b w:val="0"/>
      <w:bCs w:val="0"/>
      <w:i w:val="0"/>
      <w:iCs w:val="0"/>
      <w:u w:val="none"/>
      <w:strike w:val="0"/>
      <w:smallCaps w:val="0"/>
      <w:sz w:val="15"/>
      <w:szCs w:val="15"/>
      <w:rFonts w:ascii="Segoe UI" w:eastAsia="Segoe UI" w:hAnsi="Segoe UI" w:cs="Segoe UI"/>
      <w:w w:val="100"/>
    </w:rPr>
  </w:style>
  <w:style w:type="character" w:customStyle="1" w:styleId="CharStyle33">
    <w:name w:val="Základní text (14) + 11,5 pt,Tučné,Kurzíva,Řádkování 1 pt,Měřítko 120%"/>
    <w:basedOn w:val="CharStyle32"/>
    <w:rPr>
      <w:lang w:val="cs-CZ" w:eastAsia="cs-CZ" w:bidi="cs-CZ"/>
      <w:b/>
      <w:bCs/>
      <w:i/>
      <w:iCs/>
      <w:sz w:val="23"/>
      <w:szCs w:val="23"/>
      <w:w w:val="120"/>
      <w:spacing w:val="20"/>
      <w:color w:val="000000"/>
      <w:position w:val="0"/>
    </w:rPr>
  </w:style>
  <w:style w:type="character" w:customStyle="1" w:styleId="CharStyle34">
    <w:name w:val="Základní text (14)"/>
    <w:basedOn w:val="CharStyle32"/>
    <w:rPr>
      <w:lang w:val="cs-CZ" w:eastAsia="cs-CZ" w:bidi="cs-CZ"/>
      <w:spacing w:val="0"/>
      <w:color w:val="000000"/>
      <w:position w:val="0"/>
    </w:rPr>
  </w:style>
  <w:style w:type="character" w:customStyle="1" w:styleId="CharStyle35">
    <w:name w:val="Základní text (14)"/>
    <w:basedOn w:val="CharStyle32"/>
    <w:rPr>
      <w:lang w:val="cs-CZ" w:eastAsia="cs-CZ" w:bidi="cs-CZ"/>
      <w:u w:val="single"/>
      <w:spacing w:val="0"/>
      <w:color w:val="000000"/>
      <w:position w:val="0"/>
    </w:rPr>
  </w:style>
  <w:style w:type="character" w:customStyle="1" w:styleId="CharStyle37">
    <w:name w:val="Nadpis #3_"/>
    <w:basedOn w:val="DefaultParagraphFont"/>
    <w:link w:val="Style36"/>
    <w:rPr>
      <w:b w:val="0"/>
      <w:bCs w:val="0"/>
      <w:i w:val="0"/>
      <w:iCs w:val="0"/>
      <w:u w:val="none"/>
      <w:strike w:val="0"/>
      <w:smallCaps w:val="0"/>
      <w:sz w:val="15"/>
      <w:szCs w:val="15"/>
      <w:rFonts w:ascii="Segoe UI" w:eastAsia="Segoe UI" w:hAnsi="Segoe UI" w:cs="Segoe UI"/>
      <w:w w:val="100"/>
    </w:rPr>
  </w:style>
  <w:style w:type="character" w:customStyle="1" w:styleId="CharStyle39">
    <w:name w:val="Základní text (2)_"/>
    <w:basedOn w:val="DefaultParagraphFont"/>
    <w:link w:val="Style38"/>
    <w:rPr>
      <w:b w:val="0"/>
      <w:bCs w:val="0"/>
      <w:i w:val="0"/>
      <w:iCs w:val="0"/>
      <w:u w:val="none"/>
      <w:strike w:val="0"/>
      <w:smallCaps w:val="0"/>
      <w:sz w:val="12"/>
      <w:szCs w:val="12"/>
      <w:rFonts w:ascii="Segoe UI" w:eastAsia="Segoe UI" w:hAnsi="Segoe UI" w:cs="Segoe UI"/>
    </w:rPr>
  </w:style>
  <w:style w:type="character" w:customStyle="1" w:styleId="CharStyle40">
    <w:name w:val="Základní text (2) + Arial Narrow,6,5 pt,Tučné"/>
    <w:basedOn w:val="CharStyle39"/>
    <w:rPr>
      <w:lang w:val="cs-CZ" w:eastAsia="cs-CZ" w:bidi="cs-CZ"/>
      <w:b/>
      <w:bCs/>
      <w:sz w:val="13"/>
      <w:szCs w:val="13"/>
      <w:rFonts w:ascii="Arial Narrow" w:eastAsia="Arial Narrow" w:hAnsi="Arial Narrow" w:cs="Arial Narrow"/>
      <w:w w:val="100"/>
      <w:spacing w:val="0"/>
      <w:color w:val="000000"/>
      <w:position w:val="0"/>
    </w:rPr>
  </w:style>
  <w:style w:type="character" w:customStyle="1" w:styleId="CharStyle41">
    <w:name w:val="Základní text (2) + Kurzíva"/>
    <w:basedOn w:val="CharStyle39"/>
    <w:rPr>
      <w:lang w:val="cs-CZ" w:eastAsia="cs-CZ" w:bidi="cs-CZ"/>
      <w:i/>
      <w:iCs/>
      <w:w w:val="100"/>
      <w:spacing w:val="0"/>
      <w:color w:val="000000"/>
      <w:position w:val="0"/>
    </w:rPr>
  </w:style>
  <w:style w:type="character" w:customStyle="1" w:styleId="CharStyle42">
    <w:name w:val="Základní text (2)"/>
    <w:basedOn w:val="CharStyle39"/>
    <w:rPr>
      <w:lang w:val="cs-CZ" w:eastAsia="cs-CZ" w:bidi="cs-CZ"/>
      <w:w w:val="100"/>
      <w:spacing w:val="0"/>
      <w:color w:val="000000"/>
      <w:position w:val="0"/>
    </w:rPr>
  </w:style>
  <w:style w:type="paragraph" w:customStyle="1" w:styleId="Style3">
    <w:name w:val="Nadpis #2 (2)"/>
    <w:basedOn w:val="Normal"/>
    <w:link w:val="CharStyle4"/>
    <w:pPr>
      <w:widowControl w:val="0"/>
      <w:shd w:val="clear" w:color="auto" w:fill="FFFFFF"/>
      <w:outlineLvl w:val="1"/>
      <w:spacing w:line="0" w:lineRule="exact"/>
    </w:pPr>
    <w:rPr>
      <w:lang w:val="en-US" w:eastAsia="en-US" w:bidi="en-US"/>
      <w:b w:val="0"/>
      <w:bCs w:val="0"/>
      <w:i w:val="0"/>
      <w:iCs w:val="0"/>
      <w:u w:val="none"/>
      <w:strike w:val="0"/>
      <w:smallCaps w:val="0"/>
      <w:rFonts w:ascii="Arial" w:eastAsia="Arial" w:hAnsi="Arial" w:cs="Arial"/>
    </w:rPr>
  </w:style>
  <w:style w:type="paragraph" w:customStyle="1" w:styleId="Style6">
    <w:name w:val="Základní text (3)"/>
    <w:basedOn w:val="Normal"/>
    <w:link w:val="CharStyle7"/>
    <w:pPr>
      <w:widowControl w:val="0"/>
      <w:shd w:val="clear" w:color="auto" w:fill="FFFFFF"/>
      <w:spacing w:line="0" w:lineRule="exact"/>
    </w:pPr>
    <w:rPr>
      <w:b/>
      <w:bCs/>
      <w:i w:val="0"/>
      <w:iCs w:val="0"/>
      <w:u w:val="none"/>
      <w:strike w:val="0"/>
      <w:smallCaps w:val="0"/>
      <w:sz w:val="14"/>
      <w:szCs w:val="14"/>
      <w:rFonts w:ascii="Arial" w:eastAsia="Arial" w:hAnsi="Arial" w:cs="Arial"/>
    </w:rPr>
  </w:style>
  <w:style w:type="paragraph" w:customStyle="1" w:styleId="Style8">
    <w:name w:val="Základní text (5)"/>
    <w:basedOn w:val="Normal"/>
    <w:link w:val="CharStyle26"/>
    <w:pPr>
      <w:widowControl w:val="0"/>
      <w:shd w:val="clear" w:color="auto" w:fill="FFFFFF"/>
      <w:spacing w:line="245" w:lineRule="exact"/>
    </w:pPr>
    <w:rPr>
      <w:b w:val="0"/>
      <w:bCs w:val="0"/>
      <w:i w:val="0"/>
      <w:iCs w:val="0"/>
      <w:u w:val="none"/>
      <w:strike w:val="0"/>
      <w:smallCaps w:val="0"/>
      <w:sz w:val="19"/>
      <w:szCs w:val="19"/>
      <w:rFonts w:ascii="Arial" w:eastAsia="Arial" w:hAnsi="Arial" w:cs="Arial"/>
    </w:rPr>
  </w:style>
  <w:style w:type="paragraph" w:customStyle="1" w:styleId="Style11">
    <w:name w:val="Nadpis #1"/>
    <w:basedOn w:val="Normal"/>
    <w:link w:val="CharStyle12"/>
    <w:pPr>
      <w:widowControl w:val="0"/>
      <w:shd w:val="clear" w:color="auto" w:fill="FFFFFF"/>
      <w:outlineLvl w:val="0"/>
      <w:spacing w:line="0" w:lineRule="exact"/>
    </w:pPr>
    <w:rPr>
      <w:b w:val="0"/>
      <w:bCs w:val="0"/>
      <w:i w:val="0"/>
      <w:iCs w:val="0"/>
      <w:u w:val="none"/>
      <w:strike w:val="0"/>
      <w:smallCaps w:val="0"/>
      <w:sz w:val="28"/>
      <w:szCs w:val="28"/>
      <w:rFonts w:ascii="Arial" w:eastAsia="Arial" w:hAnsi="Arial" w:cs="Arial"/>
    </w:rPr>
  </w:style>
  <w:style w:type="paragraph" w:customStyle="1" w:styleId="Style14">
    <w:name w:val="Základní text (12)"/>
    <w:basedOn w:val="Normal"/>
    <w:link w:val="CharStyle15"/>
    <w:pPr>
      <w:widowControl w:val="0"/>
      <w:shd w:val="clear" w:color="auto" w:fill="FFFFFF"/>
      <w:spacing w:line="245" w:lineRule="exact"/>
    </w:pPr>
    <w:rPr>
      <w:b w:val="0"/>
      <w:bCs w:val="0"/>
      <w:i w:val="0"/>
      <w:iCs w:val="0"/>
      <w:u w:val="none"/>
      <w:strike w:val="0"/>
      <w:smallCaps w:val="0"/>
      <w:sz w:val="19"/>
      <w:szCs w:val="19"/>
      <w:rFonts w:ascii="Arial" w:eastAsia="Arial" w:hAnsi="Arial" w:cs="Arial"/>
    </w:rPr>
  </w:style>
  <w:style w:type="paragraph" w:customStyle="1" w:styleId="Style17">
    <w:name w:val="Základní text (6)"/>
    <w:basedOn w:val="Normal"/>
    <w:link w:val="CharStyle25"/>
    <w:pPr>
      <w:widowControl w:val="0"/>
      <w:shd w:val="clear" w:color="auto" w:fill="FFFFFF"/>
      <w:jc w:val="both"/>
      <w:spacing w:after="60" w:line="0" w:lineRule="exact"/>
      <w:ind w:hanging="540"/>
    </w:pPr>
    <w:rPr>
      <w:b w:val="0"/>
      <w:bCs w:val="0"/>
      <w:i w:val="0"/>
      <w:iCs w:val="0"/>
      <w:u w:val="none"/>
      <w:strike w:val="0"/>
      <w:smallCaps w:val="0"/>
      <w:sz w:val="12"/>
      <w:szCs w:val="12"/>
      <w:rFonts w:ascii="Arial" w:eastAsia="Arial" w:hAnsi="Arial" w:cs="Arial"/>
    </w:rPr>
  </w:style>
  <w:style w:type="paragraph" w:customStyle="1" w:styleId="Style19">
    <w:name w:val="Základní text (7)"/>
    <w:basedOn w:val="Normal"/>
    <w:link w:val="CharStyle28"/>
    <w:pPr>
      <w:widowControl w:val="0"/>
      <w:shd w:val="clear" w:color="auto" w:fill="FFFFFF"/>
      <w:spacing w:before="360" w:after="180" w:line="235" w:lineRule="exact"/>
      <w:ind w:hanging="380"/>
    </w:pPr>
    <w:rPr>
      <w:b/>
      <w:bCs/>
      <w:i w:val="0"/>
      <w:iCs w:val="0"/>
      <w:u w:val="none"/>
      <w:strike w:val="0"/>
      <w:smallCaps w:val="0"/>
      <w:sz w:val="20"/>
      <w:szCs w:val="20"/>
      <w:rFonts w:ascii="Arial" w:eastAsia="Arial" w:hAnsi="Arial" w:cs="Arial"/>
    </w:rPr>
  </w:style>
  <w:style w:type="paragraph" w:customStyle="1" w:styleId="Style21">
    <w:name w:val="Titulek obrázku"/>
    <w:basedOn w:val="Normal"/>
    <w:link w:val="CharStyle22"/>
    <w:pPr>
      <w:widowControl w:val="0"/>
      <w:shd w:val="clear" w:color="auto" w:fill="FFFFFF"/>
      <w:jc w:val="both"/>
      <w:spacing w:line="120" w:lineRule="exact"/>
    </w:pPr>
    <w:rPr>
      <w:b w:val="0"/>
      <w:bCs w:val="0"/>
      <w:i w:val="0"/>
      <w:iCs w:val="0"/>
      <w:u w:val="none"/>
      <w:strike w:val="0"/>
      <w:smallCaps w:val="0"/>
      <w:sz w:val="12"/>
      <w:szCs w:val="12"/>
      <w:rFonts w:ascii="Arial" w:eastAsia="Arial" w:hAnsi="Arial" w:cs="Arial"/>
    </w:rPr>
  </w:style>
  <w:style w:type="paragraph" w:customStyle="1" w:styleId="Style23">
    <w:name w:val="Základní text (11)"/>
    <w:basedOn w:val="Normal"/>
    <w:link w:val="CharStyle24"/>
    <w:pPr>
      <w:widowControl w:val="0"/>
      <w:shd w:val="clear" w:color="auto" w:fill="FFFFFF"/>
      <w:spacing w:line="0" w:lineRule="exact"/>
    </w:pPr>
    <w:rPr>
      <w:b w:val="0"/>
      <w:bCs w:val="0"/>
      <w:i w:val="0"/>
      <w:iCs w:val="0"/>
      <w:u w:val="none"/>
      <w:strike w:val="0"/>
      <w:smallCaps w:val="0"/>
      <w:sz w:val="11"/>
      <w:szCs w:val="11"/>
      <w:rFonts w:ascii="Segoe UI" w:eastAsia="Segoe UI" w:hAnsi="Segoe UI" w:cs="Segoe UI"/>
    </w:rPr>
  </w:style>
  <w:style w:type="paragraph" w:customStyle="1" w:styleId="Style29">
    <w:name w:val="Základní text (13)"/>
    <w:basedOn w:val="Normal"/>
    <w:link w:val="CharStyle30"/>
    <w:pPr>
      <w:widowControl w:val="0"/>
      <w:shd w:val="clear" w:color="auto" w:fill="FFFFFF"/>
      <w:jc w:val="both"/>
      <w:spacing w:before="180" w:line="235" w:lineRule="exact"/>
      <w:ind w:hanging="540"/>
    </w:pPr>
    <w:rPr>
      <w:b w:val="0"/>
      <w:bCs w:val="0"/>
      <w:i w:val="0"/>
      <w:iCs w:val="0"/>
      <w:u w:val="none"/>
      <w:strike w:val="0"/>
      <w:smallCaps w:val="0"/>
      <w:sz w:val="18"/>
      <w:szCs w:val="18"/>
      <w:rFonts w:ascii="Arial" w:eastAsia="Arial" w:hAnsi="Arial" w:cs="Arial"/>
    </w:rPr>
  </w:style>
  <w:style w:type="paragraph" w:customStyle="1" w:styleId="Style31">
    <w:name w:val="Základní text (14)"/>
    <w:basedOn w:val="Normal"/>
    <w:link w:val="CharStyle32"/>
    <w:pPr>
      <w:widowControl w:val="0"/>
      <w:shd w:val="clear" w:color="auto" w:fill="FFFFFF"/>
      <w:spacing w:before="60" w:after="180" w:line="0" w:lineRule="exact"/>
    </w:pPr>
    <w:rPr>
      <w:b w:val="0"/>
      <w:bCs w:val="0"/>
      <w:i w:val="0"/>
      <w:iCs w:val="0"/>
      <w:u w:val="none"/>
      <w:strike w:val="0"/>
      <w:smallCaps w:val="0"/>
      <w:sz w:val="15"/>
      <w:szCs w:val="15"/>
      <w:rFonts w:ascii="Segoe UI" w:eastAsia="Segoe UI" w:hAnsi="Segoe UI" w:cs="Segoe UI"/>
      <w:w w:val="100"/>
    </w:rPr>
  </w:style>
  <w:style w:type="paragraph" w:customStyle="1" w:styleId="Style36">
    <w:name w:val="Nadpis #3"/>
    <w:basedOn w:val="Normal"/>
    <w:link w:val="CharStyle37"/>
    <w:pPr>
      <w:widowControl w:val="0"/>
      <w:shd w:val="clear" w:color="auto" w:fill="FFFFFF"/>
      <w:jc w:val="center"/>
      <w:outlineLvl w:val="2"/>
      <w:spacing w:line="0" w:lineRule="exact"/>
    </w:pPr>
    <w:rPr>
      <w:b w:val="0"/>
      <w:bCs w:val="0"/>
      <w:i w:val="0"/>
      <w:iCs w:val="0"/>
      <w:u w:val="none"/>
      <w:strike w:val="0"/>
      <w:smallCaps w:val="0"/>
      <w:sz w:val="15"/>
      <w:szCs w:val="15"/>
      <w:rFonts w:ascii="Segoe UI" w:eastAsia="Segoe UI" w:hAnsi="Segoe UI" w:cs="Segoe UI"/>
      <w:w w:val="100"/>
    </w:rPr>
  </w:style>
  <w:style w:type="paragraph" w:customStyle="1" w:styleId="Style38">
    <w:name w:val="Základní text (2)"/>
    <w:basedOn w:val="Normal"/>
    <w:link w:val="CharStyle39"/>
    <w:pPr>
      <w:widowControl w:val="0"/>
      <w:shd w:val="clear" w:color="auto" w:fill="FFFFFF"/>
      <w:jc w:val="both"/>
      <w:spacing w:before="180" w:line="154" w:lineRule="exact"/>
    </w:pPr>
    <w:rPr>
      <w:b w:val="0"/>
      <w:bCs w:val="0"/>
      <w:i w:val="0"/>
      <w:iCs w:val="0"/>
      <w:u w:val="none"/>
      <w:strike w:val="0"/>
      <w:smallCaps w:val="0"/>
      <w:sz w:val="12"/>
      <w:szCs w:val="12"/>
      <w:rFonts w:ascii="Segoe UI" w:eastAsia="Segoe UI" w:hAnsi="Segoe UI" w:cs="Segoe U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