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CD06" w14:textId="0BFE432B" w:rsidR="00790E6D" w:rsidRPr="00E554D7" w:rsidRDefault="00790E6D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bookmarkStart w:id="0" w:name="_Toc153783678"/>
      <w:bookmarkStart w:id="1" w:name="_Toc153867814"/>
      <w:bookmarkStart w:id="2" w:name="_Toc153867844"/>
      <w:bookmarkStart w:id="3" w:name="_Toc153869027"/>
      <w:bookmarkStart w:id="4" w:name="_Toc153945212"/>
      <w:bookmarkStart w:id="5" w:name="_Ref177183230"/>
      <w:bookmarkStart w:id="6" w:name="_Ref177183233"/>
      <w:bookmarkStart w:id="7" w:name="_Ref177183261"/>
      <w:bookmarkStart w:id="8" w:name="_Toc226779404"/>
      <w:bookmarkStart w:id="9" w:name="_Toc519243687"/>
      <w:bookmarkStart w:id="10" w:name="_GoBack"/>
      <w:bookmarkEnd w:id="10"/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 xml:space="preserve">Příloha č. </w:t>
      </w:r>
      <w:r w:rsidR="00261304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>2</w:t>
      </w:r>
    </w:p>
    <w:p w14:paraId="74D2DE0A" w14:textId="4C9F1F44" w:rsidR="008B75E7" w:rsidRPr="00E554D7" w:rsidRDefault="008B75E7" w:rsidP="00790E6D">
      <w:pPr>
        <w:keepNext/>
        <w:keepLines/>
        <w:spacing w:before="40" w:line="259" w:lineRule="auto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>Dohod</w:t>
      </w:r>
      <w:r w:rsidR="00790E6D"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>y</w:t>
      </w:r>
      <w:r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o vypořádání</w:t>
      </w:r>
      <w:r w:rsidR="00790E6D" w:rsidRPr="00E554D7">
        <w:rPr>
          <w:rFonts w:asciiTheme="minorHAnsi" w:hAnsiTheme="minorHAnsi" w:cstheme="minorHAnsi"/>
          <w:sz w:val="26"/>
          <w:szCs w:val="26"/>
        </w:rPr>
        <w:t xml:space="preserve"> vzájemných vztahů mezi VZP ČR a ICZ a.s. </w:t>
      </w:r>
      <w:bookmarkStart w:id="11" w:name="_Hlk54870890"/>
      <w:r w:rsidR="00790E6D" w:rsidRPr="00E554D7">
        <w:rPr>
          <w:rFonts w:asciiTheme="minorHAnsi" w:hAnsiTheme="minorHAnsi" w:cstheme="minorHAnsi"/>
          <w:sz w:val="26"/>
          <w:szCs w:val="26"/>
        </w:rPr>
        <w:t xml:space="preserve">ze </w:t>
      </w:r>
      <w:bookmarkStart w:id="12" w:name="_Hlk54871035"/>
      <w:r w:rsidR="00790E6D" w:rsidRPr="00E554D7">
        <w:rPr>
          <w:rFonts w:asciiTheme="minorHAnsi" w:hAnsiTheme="minorHAnsi" w:cstheme="minorHAnsi"/>
          <w:sz w:val="26"/>
          <w:szCs w:val="26"/>
        </w:rPr>
        <w:t xml:space="preserve">Smlouvy </w:t>
      </w:r>
      <w:r w:rsidR="0083300A" w:rsidRPr="0051772C">
        <w:rPr>
          <w:rFonts w:asciiTheme="minorHAnsi" w:hAnsiTheme="minorHAnsi" w:cstheme="minorHAnsi"/>
          <w:sz w:val="26"/>
          <w:szCs w:val="26"/>
        </w:rPr>
        <w:t>na dodání, rozvoj a podporu ECM systému č.</w:t>
      </w:r>
      <w:r w:rsidR="0051772C">
        <w:rPr>
          <w:rFonts w:asciiTheme="minorHAnsi" w:hAnsiTheme="minorHAnsi" w:cstheme="minorHAnsi"/>
          <w:sz w:val="26"/>
          <w:szCs w:val="26"/>
        </w:rPr>
        <w:t xml:space="preserve"> </w:t>
      </w:r>
      <w:r w:rsidR="0083300A" w:rsidRPr="0051772C">
        <w:rPr>
          <w:rFonts w:asciiTheme="minorHAnsi" w:hAnsiTheme="minorHAnsi" w:cstheme="minorHAnsi"/>
          <w:sz w:val="26"/>
          <w:szCs w:val="26"/>
        </w:rPr>
        <w:t>1700716/4100051547</w:t>
      </w:r>
      <w:r w:rsidR="0051772C">
        <w:rPr>
          <w:rFonts w:asciiTheme="minorHAnsi" w:hAnsiTheme="minorHAnsi" w:cstheme="minorHAnsi"/>
          <w:sz w:val="26"/>
          <w:szCs w:val="26"/>
        </w:rPr>
        <w:t>,</w:t>
      </w:r>
      <w:r w:rsidR="00E554D7"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</w:t>
      </w:r>
      <w:bookmarkEnd w:id="11"/>
      <w:r w:rsidR="00E554D7"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uzavřené dne </w:t>
      </w:r>
      <w:r w:rsidR="00790E6D"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>11. 9. 2018</w:t>
      </w:r>
      <w:r w:rsidR="0051772C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</w:t>
      </w:r>
      <w:bookmarkEnd w:id="12"/>
      <w:r w:rsidR="0051772C">
        <w:rPr>
          <w:rFonts w:asciiTheme="minorHAnsi" w:eastAsiaTheme="majorEastAsia" w:hAnsiTheme="minorHAnsi" w:cstheme="minorHAnsi"/>
          <w:sz w:val="26"/>
          <w:szCs w:val="26"/>
          <w:lang w:eastAsia="en-US"/>
        </w:rPr>
        <w:t>(dále jen „Smlouva“)</w:t>
      </w:r>
      <w:r w:rsidR="0000355F">
        <w:rPr>
          <w:rFonts w:asciiTheme="minorHAnsi" w:eastAsiaTheme="majorEastAsia" w:hAnsiTheme="minorHAnsi" w:cstheme="minorHAnsi"/>
          <w:sz w:val="26"/>
          <w:szCs w:val="26"/>
          <w:lang w:eastAsia="en-US"/>
        </w:rPr>
        <w:t>.</w:t>
      </w:r>
    </w:p>
    <w:p w14:paraId="5B087CEB" w14:textId="77777777" w:rsidR="00261304" w:rsidRDefault="00261304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</w:p>
    <w:p w14:paraId="1C6E7AC6" w14:textId="04164903" w:rsidR="008B75E7" w:rsidRDefault="00261304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>Tato příloha v</w:t>
      </w:r>
      <w:r w:rsidRPr="00261304">
        <w:rPr>
          <w:rFonts w:asciiTheme="minorHAnsi" w:eastAsiaTheme="majorEastAsia" w:hAnsiTheme="minorHAnsi" w:cstheme="minorHAnsi"/>
          <w:sz w:val="26"/>
          <w:szCs w:val="26"/>
          <w:lang w:eastAsia="en-US"/>
        </w:rPr>
        <w:t> souladu s článkem XXI</w:t>
      </w:r>
      <w:r w:rsidR="0000355F">
        <w:rPr>
          <w:rFonts w:asciiTheme="minorHAnsi" w:eastAsiaTheme="majorEastAsia" w:hAnsiTheme="minorHAnsi" w:cstheme="minorHAnsi"/>
          <w:sz w:val="26"/>
          <w:szCs w:val="26"/>
          <w:lang w:eastAsia="en-US"/>
        </w:rPr>
        <w:t>.</w:t>
      </w:r>
      <w:r w:rsidRPr="00261304">
        <w:rPr>
          <w:rFonts w:asciiTheme="minorHAnsi" w:eastAsiaTheme="majorEastAsia" w:hAnsiTheme="minorHAnsi" w:cstheme="minorHAnsi"/>
          <w:sz w:val="26"/>
          <w:szCs w:val="26"/>
          <w:lang w:eastAsia="en-US"/>
        </w:rPr>
        <w:t>, odst. 7</w:t>
      </w:r>
      <w:r w:rsidR="0000355F">
        <w:rPr>
          <w:rFonts w:asciiTheme="minorHAnsi" w:eastAsiaTheme="majorEastAsia" w:hAnsiTheme="minorHAnsi" w:cstheme="minorHAnsi"/>
          <w:sz w:val="26"/>
          <w:szCs w:val="26"/>
          <w:lang w:eastAsia="en-US"/>
        </w:rPr>
        <w:t>.</w:t>
      </w:r>
      <w:r w:rsidRPr="00261304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</w:t>
      </w: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>Smlouvy vymezuje veškeré plnění dle Smlouvy, které je pro Objednatele</w:t>
      </w:r>
      <w:r w:rsidRPr="00261304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beze všech pochybností použitelné a využitelné</w:t>
      </w: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a dále zda </w:t>
      </w:r>
      <w:r w:rsidR="0099510C">
        <w:rPr>
          <w:rFonts w:asciiTheme="minorHAnsi" w:eastAsiaTheme="majorEastAsia" w:hAnsiTheme="minorHAnsi" w:cstheme="minorHAnsi"/>
          <w:sz w:val="26"/>
          <w:szCs w:val="26"/>
          <w:lang w:eastAsia="en-US"/>
        </w:rPr>
        <w:t>b</w:t>
      </w: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ylo toto plnění již Objednatelem </w:t>
      </w:r>
      <w:r w:rsidR="00444F62">
        <w:rPr>
          <w:rFonts w:asciiTheme="minorHAnsi" w:eastAsiaTheme="majorEastAsia" w:hAnsiTheme="minorHAnsi" w:cstheme="minorHAnsi"/>
          <w:sz w:val="26"/>
          <w:szCs w:val="26"/>
          <w:lang w:eastAsia="en-US"/>
        </w:rPr>
        <w:t>uhrazeno,</w:t>
      </w: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kdy a v rámci jaké platby.</w:t>
      </w:r>
    </w:p>
    <w:p w14:paraId="4E1CAF8B" w14:textId="77777777" w:rsidR="00261304" w:rsidRPr="00E554D7" w:rsidRDefault="00261304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</w:p>
    <w:p w14:paraId="2C39D6A7" w14:textId="5B7D7857" w:rsidR="008B75E7" w:rsidRPr="00E554D7" w:rsidRDefault="00E554D7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Tabulka </w:t>
      </w:r>
      <w:r w:rsidR="000F692B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č. </w:t>
      </w: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1</w:t>
      </w:r>
    </w:p>
    <w:p w14:paraId="6C27617C" w14:textId="5568B021" w:rsidR="001A3590" w:rsidRPr="00E554D7" w:rsidRDefault="001A3590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>Implementační krok 0</w:t>
      </w:r>
    </w:p>
    <w:p w14:paraId="3DD3C1C4" w14:textId="388D16EE" w:rsidR="001A3590" w:rsidRDefault="001A3590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3" w:name="_Hlk54762836"/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 dodaná v rámci Implementačního kroku IK</w:t>
      </w:r>
      <w:r w:rsidR="0072483E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0 byly akceptovány akceptační procedurou dle čl</w:t>
      </w:r>
      <w:r w:rsidR="009B68D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D3BED" w:rsidRP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>III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.,</w:t>
      </w:r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odst. 8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9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D3BED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 </w:t>
      </w:r>
      <w:r w:rsidR="0072483E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a stvrzeny Akceptačním protokolem ze dne</w:t>
      </w:r>
      <w:bookmarkEnd w:id="13"/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21. 12. 2018.</w:t>
      </w:r>
    </w:p>
    <w:tbl>
      <w:tblPr>
        <w:tblStyle w:val="Mkatabulky1"/>
        <w:tblW w:w="4911" w:type="pct"/>
        <w:tblLook w:val="04A0" w:firstRow="1" w:lastRow="0" w:firstColumn="1" w:lastColumn="0" w:noHBand="0" w:noVBand="1"/>
      </w:tblPr>
      <w:tblGrid>
        <w:gridCol w:w="3114"/>
        <w:gridCol w:w="9355"/>
        <w:gridCol w:w="1276"/>
      </w:tblGrid>
      <w:tr w:rsidR="004A32F9" w:rsidRPr="00E554D7" w14:paraId="5C47D49E" w14:textId="77777777" w:rsidTr="00D23BDE">
        <w:tc>
          <w:tcPr>
            <w:tcW w:w="1133" w:type="pct"/>
          </w:tcPr>
          <w:p w14:paraId="4ABB44E4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Označení plnění, odkaz na ustanovení Smlouvy</w:t>
            </w:r>
          </w:p>
        </w:tc>
        <w:tc>
          <w:tcPr>
            <w:tcW w:w="3403" w:type="pct"/>
          </w:tcPr>
          <w:p w14:paraId="0D4EB599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Popis zadání IK0 dle smlouvy</w:t>
            </w:r>
          </w:p>
        </w:tc>
        <w:tc>
          <w:tcPr>
            <w:tcW w:w="464" w:type="pct"/>
          </w:tcPr>
          <w:p w14:paraId="1F996F19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dodáno</w:t>
            </w:r>
          </w:p>
        </w:tc>
      </w:tr>
      <w:tr w:rsidR="004A32F9" w:rsidRPr="00E554D7" w14:paraId="6D123A9C" w14:textId="77777777" w:rsidTr="00D23BDE">
        <w:trPr>
          <w:trHeight w:val="86"/>
        </w:trPr>
        <w:tc>
          <w:tcPr>
            <w:tcW w:w="1133" w:type="pct"/>
          </w:tcPr>
          <w:p w14:paraId="4AB496A0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Analytický projekt ECM viz čl. II odst. 3 bod 3.1.0</w:t>
            </w:r>
          </w:p>
        </w:tc>
        <w:tc>
          <w:tcPr>
            <w:tcW w:w="3403" w:type="pct"/>
          </w:tcPr>
          <w:p w14:paraId="0D03612E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 implementačním kroku bude zpracován a akceptován dokument „Analytický projekt ECM“ v rozsahu nutném pro provedení implementačního kroku 1. Akceptace dokumentu zadavatelem je podmínkou nutnou pro zahájení implementačního kroku 1.</w:t>
            </w:r>
          </w:p>
        </w:tc>
        <w:tc>
          <w:tcPr>
            <w:tcW w:w="464" w:type="pct"/>
          </w:tcPr>
          <w:p w14:paraId="55B3C826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</w:tbl>
    <w:p w14:paraId="39EF6255" w14:textId="77777777" w:rsidR="004A32F9" w:rsidRDefault="004A32F9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</w:p>
    <w:p w14:paraId="0024B549" w14:textId="3F38CC1C" w:rsidR="00E554D7" w:rsidRPr="00E554D7" w:rsidRDefault="00E554D7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Tabulka </w:t>
      </w:r>
      <w:r w:rsidR="000F692B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č. </w:t>
      </w: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2</w:t>
      </w:r>
    </w:p>
    <w:p w14:paraId="4CA1A1D3" w14:textId="2C4C2498" w:rsidR="001A3590" w:rsidRPr="00E554D7" w:rsidRDefault="001A3590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>Implementační krok 1</w:t>
      </w:r>
    </w:p>
    <w:p w14:paraId="6FC9E800" w14:textId="346E240C" w:rsidR="001A3590" w:rsidRPr="00E554D7" w:rsidRDefault="00747849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 dodaná v rámci Implementačního kroku IK1 byly akceptovány akceptační procedurou dle čl</w:t>
      </w:r>
      <w:r w:rsidR="009B68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>III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.,</w:t>
      </w:r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odst. 8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9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Smlouvy a stvrzeny </w:t>
      </w:r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>Akceptačním protokolem ze dne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D3BED">
        <w:rPr>
          <w:rFonts w:asciiTheme="minorHAnsi" w:eastAsiaTheme="minorHAnsi" w:hAnsiTheme="minorHAnsi" w:cstheme="minorHAnsi"/>
          <w:sz w:val="22"/>
          <w:szCs w:val="22"/>
          <w:lang w:eastAsia="en-US"/>
        </w:rPr>
        <w:t>3. 9. 2019.</w:t>
      </w:r>
    </w:p>
    <w:tbl>
      <w:tblPr>
        <w:tblStyle w:val="Mkatabulky1"/>
        <w:tblW w:w="4911" w:type="pct"/>
        <w:tblLook w:val="04A0" w:firstRow="1" w:lastRow="0" w:firstColumn="1" w:lastColumn="0" w:noHBand="0" w:noVBand="1"/>
      </w:tblPr>
      <w:tblGrid>
        <w:gridCol w:w="3114"/>
        <w:gridCol w:w="9355"/>
        <w:gridCol w:w="1276"/>
      </w:tblGrid>
      <w:tr w:rsidR="004A32F9" w:rsidRPr="00E554D7" w14:paraId="6F7CF3EF" w14:textId="77777777" w:rsidTr="00D23BDE">
        <w:tc>
          <w:tcPr>
            <w:tcW w:w="1133" w:type="pct"/>
          </w:tcPr>
          <w:p w14:paraId="552F84B6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Označení plnění, odkaz na ustanovení Smlouvy</w:t>
            </w: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403" w:type="pct"/>
          </w:tcPr>
          <w:p w14:paraId="1B03280A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Popis zadání IK1 dle Smlouvy</w:t>
            </w:r>
          </w:p>
        </w:tc>
        <w:tc>
          <w:tcPr>
            <w:tcW w:w="464" w:type="pct"/>
          </w:tcPr>
          <w:p w14:paraId="6323CD04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Dodáno</w:t>
            </w:r>
          </w:p>
        </w:tc>
      </w:tr>
      <w:tr w:rsidR="004A32F9" w:rsidRPr="00E554D7" w14:paraId="43593491" w14:textId="77777777" w:rsidTr="00D23BDE">
        <w:tc>
          <w:tcPr>
            <w:tcW w:w="1133" w:type="pct"/>
          </w:tcPr>
          <w:p w14:paraId="27A6FDBA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Analytický projekt ECM, dodávka HW a SW viz čl. II odst. 3 bod 3.1.1</w:t>
            </w:r>
          </w:p>
        </w:tc>
        <w:tc>
          <w:tcPr>
            <w:tcW w:w="3403" w:type="pct"/>
          </w:tcPr>
          <w:p w14:paraId="4C60A39C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 tomto kroku bude provedena dodávka a technologická instalace komponent ECM, do produkčních, vývojových a testovacích prostředí dle požadavků uvedených v odstavci 1.4:</w:t>
            </w:r>
          </w:p>
        </w:tc>
        <w:tc>
          <w:tcPr>
            <w:tcW w:w="464" w:type="pct"/>
          </w:tcPr>
          <w:p w14:paraId="327165C0" w14:textId="77777777" w:rsidR="004A32F9" w:rsidRPr="003471B1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631136F8" w14:textId="77777777" w:rsidTr="00D23BDE">
        <w:tc>
          <w:tcPr>
            <w:tcW w:w="1133" w:type="pct"/>
          </w:tcPr>
          <w:p w14:paraId="504272E5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Dodaný HW, Příloha č. 3 Smlouvy</w:t>
            </w:r>
          </w:p>
        </w:tc>
        <w:tc>
          <w:tcPr>
            <w:tcW w:w="3403" w:type="pct"/>
          </w:tcPr>
          <w:p w14:paraId="203E9B54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Dodaný HW, blíže viz tabulka č. </w:t>
            </w:r>
            <w:r w:rsidRPr="00F60C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4" w:type="pct"/>
          </w:tcPr>
          <w:p w14:paraId="1CD99AB8" w14:textId="77777777" w:rsidR="004A32F9" w:rsidRPr="003471B1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5AFD2300" w14:textId="77777777" w:rsidTr="00D23BDE">
        <w:tc>
          <w:tcPr>
            <w:tcW w:w="1133" w:type="pct"/>
          </w:tcPr>
          <w:p w14:paraId="2676B5CA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Poskytnutý SW, Příloha č. 3 Smlouvy</w:t>
            </w:r>
          </w:p>
        </w:tc>
        <w:tc>
          <w:tcPr>
            <w:tcW w:w="3403" w:type="pct"/>
          </w:tcPr>
          <w:p w14:paraId="3328DD3A" w14:textId="77777777" w:rsidR="004A32F9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Poskytnutý SW, blíže viz tabulka č. </w:t>
            </w:r>
            <w:r w:rsidRPr="00F60C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" w:type="pct"/>
          </w:tcPr>
          <w:p w14:paraId="41BBC18D" w14:textId="77777777" w:rsidR="004A32F9" w:rsidRPr="003471B1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0F5E37A3" w14:textId="77777777" w:rsidTr="00D23BDE">
        <w:tc>
          <w:tcPr>
            <w:tcW w:w="1133" w:type="pct"/>
          </w:tcPr>
          <w:p w14:paraId="3C349C9A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Instalace HW a SW, Příloha č. 1 Smlouvy viz čl. 1.3 odstavec 1.3.3 bod a)</w:t>
            </w:r>
          </w:p>
        </w:tc>
        <w:tc>
          <w:tcPr>
            <w:tcW w:w="3403" w:type="pct"/>
          </w:tcPr>
          <w:p w14:paraId="4968A579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Instalace jednotlivých instancí požadovaných HW a SW komponent ECM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do produkčních, vývojových a testovacích prostředí VZP dle Standardů VZP. V produkčním prostředí budou komunikační služby vypnuty. Služby budou postupně zapínány v dalších implementačních krocích</w:t>
            </w:r>
          </w:p>
        </w:tc>
        <w:tc>
          <w:tcPr>
            <w:tcW w:w="464" w:type="pct"/>
          </w:tcPr>
          <w:p w14:paraId="4EA0F184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660F74F8" w14:textId="77777777" w:rsidTr="00D23BDE">
        <w:tc>
          <w:tcPr>
            <w:tcW w:w="1133" w:type="pct"/>
          </w:tcPr>
          <w:p w14:paraId="2C892429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Konektivita ECM, Příloha č. 1 Smlouvy viz čl. 1.3 odstavec 1.3.3 bod b)</w:t>
            </w:r>
          </w:p>
        </w:tc>
        <w:tc>
          <w:tcPr>
            <w:tcW w:w="3403" w:type="pct"/>
          </w:tcPr>
          <w:p w14:paraId="243CF85C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ECM bude mít konektivitu na vstupní a výstupní komunikační kanály VZP: Hybridní pošta, SMS brány, Exchange – email, ISDS -, Portál VZP, a el. úřední deska</w:t>
            </w:r>
          </w:p>
        </w:tc>
        <w:tc>
          <w:tcPr>
            <w:tcW w:w="464" w:type="pct"/>
          </w:tcPr>
          <w:p w14:paraId="5210B57E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2429461C" w14:textId="77777777" w:rsidTr="00D23BDE">
        <w:tc>
          <w:tcPr>
            <w:tcW w:w="1133" w:type="pct"/>
          </w:tcPr>
          <w:p w14:paraId="7A0731E5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BRM, Příloha č. 1 Smlouvy viz čl. 1.3 odstavec 1.3.3 bod c)</w:t>
            </w:r>
          </w:p>
        </w:tc>
        <w:tc>
          <w:tcPr>
            <w:tcW w:w="3403" w:type="pct"/>
          </w:tcPr>
          <w:p w14:paraId="01121C4D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implementován konfigurovatelný business rule modul (BRM), komponenta ECM systému pro směrování výstupní komunikace, tj. volbu a prioritu výstupního kanálu komunikace podle business pravidel: pravidla budou asociována se šablonou komunikace</w:t>
            </w:r>
          </w:p>
        </w:tc>
        <w:tc>
          <w:tcPr>
            <w:tcW w:w="464" w:type="pct"/>
          </w:tcPr>
          <w:p w14:paraId="2ED45E10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5224F5E1" w14:textId="77777777" w:rsidTr="00D23BDE">
        <w:tc>
          <w:tcPr>
            <w:tcW w:w="1133" w:type="pct"/>
          </w:tcPr>
          <w:p w14:paraId="5E736B49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Konfigurace ECM, Příloha č. 1 Smlouvy viz čl. 1.3 odstavec 1.3.3 bod d)</w:t>
            </w:r>
          </w:p>
        </w:tc>
        <w:tc>
          <w:tcPr>
            <w:tcW w:w="3403" w:type="pct"/>
          </w:tcPr>
          <w:p w14:paraId="0CE7C02D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Komunikační pravidla bude možno konfigurovat oprávněným uživatelem, bez nutnosti programování</w:t>
            </w:r>
          </w:p>
        </w:tc>
        <w:tc>
          <w:tcPr>
            <w:tcW w:w="464" w:type="pct"/>
          </w:tcPr>
          <w:p w14:paraId="31C448AD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36D79FC1" w14:textId="77777777" w:rsidTr="00D23BDE">
        <w:tc>
          <w:tcPr>
            <w:tcW w:w="1133" w:type="pct"/>
          </w:tcPr>
          <w:p w14:paraId="6EF99B31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PKI služby, Instalace HW a SW, Příloha č. 1 Smlouvy viz čl. 1.3 odstavec 1.3.3 bod e)</w:t>
            </w:r>
          </w:p>
        </w:tc>
        <w:tc>
          <w:tcPr>
            <w:tcW w:w="3403" w:type="pct"/>
          </w:tcPr>
          <w:p w14:paraId="78C39A90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implementovány komplexní služby PKI</w:t>
            </w:r>
          </w:p>
        </w:tc>
        <w:tc>
          <w:tcPr>
            <w:tcW w:w="464" w:type="pct"/>
          </w:tcPr>
          <w:p w14:paraId="030D7895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3C27A46A" w14:textId="77777777" w:rsidTr="00D23BDE">
        <w:tc>
          <w:tcPr>
            <w:tcW w:w="1133" w:type="pct"/>
          </w:tcPr>
          <w:p w14:paraId="09188EBA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ECM, Instalace HW a SW, Příloha č. 1 Smlouvy viz čl. 1.3 odstavec 1.3.3 bod f)</w:t>
            </w:r>
          </w:p>
        </w:tc>
        <w:tc>
          <w:tcPr>
            <w:tcW w:w="3403" w:type="pct"/>
          </w:tcPr>
          <w:p w14:paraId="0E28375C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vystaveny služby platformy ECM na ECM-ESB odpovídající ostatním požadavkům v tomto odstavci 1.3.3</w:t>
            </w:r>
          </w:p>
        </w:tc>
        <w:tc>
          <w:tcPr>
            <w:tcW w:w="464" w:type="pct"/>
          </w:tcPr>
          <w:p w14:paraId="37E08A55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66D027EB" w14:textId="77777777" w:rsidTr="00D23BDE">
        <w:tc>
          <w:tcPr>
            <w:tcW w:w="1133" w:type="pct"/>
          </w:tcPr>
          <w:p w14:paraId="57DB3F90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ECM dokumentace, Instalace HW a SW, Příloha č. 1 Smlouvy viz čl. 1.3 odstavec 1.3.3 bod g)</w:t>
            </w:r>
          </w:p>
        </w:tc>
        <w:tc>
          <w:tcPr>
            <w:tcW w:w="3403" w:type="pct"/>
          </w:tcPr>
          <w:p w14:paraId="112254FA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Všechny služby vystavené na ECM-ESB včetně podkladových budou zdokumentovány</w:t>
            </w:r>
          </w:p>
        </w:tc>
        <w:tc>
          <w:tcPr>
            <w:tcW w:w="464" w:type="pct"/>
          </w:tcPr>
          <w:p w14:paraId="6D22B03E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7C81ECEE" w14:textId="77777777" w:rsidTr="00D23BDE">
        <w:tc>
          <w:tcPr>
            <w:tcW w:w="1133" w:type="pct"/>
          </w:tcPr>
          <w:p w14:paraId="5A9843B4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Dokumentace záloh, Instalace HW a SW, Příloha č. 1 Smlouvy viz čl. 1.3 odstavec 1.3.3 bod h)</w:t>
            </w:r>
          </w:p>
        </w:tc>
        <w:tc>
          <w:tcPr>
            <w:tcW w:w="3403" w:type="pct"/>
          </w:tcPr>
          <w:p w14:paraId="1E6A285C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Bude zpracována detailní provozní dokumentace pro provádění záloh a </w:t>
            </w:r>
            <w:proofErr w:type="spellStart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recovery</w:t>
            </w:r>
            <w:proofErr w:type="spellEnd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(full </w:t>
            </w:r>
            <w:proofErr w:type="spellStart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recovery</w:t>
            </w:r>
            <w:proofErr w:type="spellEnd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4" w:type="pct"/>
          </w:tcPr>
          <w:p w14:paraId="699B0E56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4467BE30" w14:textId="77777777" w:rsidTr="00D23BDE">
        <w:tc>
          <w:tcPr>
            <w:tcW w:w="1133" w:type="pct"/>
          </w:tcPr>
          <w:p w14:paraId="1F6B51B0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Testovací scénáře, Instalace HW a SW, Příloha č. 1 Smlouvy viz čl. 1.3 odstavec 1.3.3 bod i)</w:t>
            </w:r>
          </w:p>
        </w:tc>
        <w:tc>
          <w:tcPr>
            <w:tcW w:w="3403" w:type="pct"/>
          </w:tcPr>
          <w:p w14:paraId="73297DB7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vytvořeny testovací scénáře pro požadované testy dle standardů VZP</w:t>
            </w:r>
          </w:p>
        </w:tc>
        <w:tc>
          <w:tcPr>
            <w:tcW w:w="464" w:type="pct"/>
          </w:tcPr>
          <w:p w14:paraId="19C8B8D7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109F5BC7" w14:textId="77777777" w:rsidTr="00D23BDE">
        <w:tc>
          <w:tcPr>
            <w:tcW w:w="1133" w:type="pct"/>
          </w:tcPr>
          <w:p w14:paraId="5AF8061C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Funkční testy, Instalace HW a SW, Příloha č. 1 Smlouvy viz čl. 1.3 odstavec 1.3.3 bod j)</w:t>
            </w:r>
          </w:p>
        </w:tc>
        <w:tc>
          <w:tcPr>
            <w:tcW w:w="3403" w:type="pct"/>
          </w:tcPr>
          <w:p w14:paraId="780F55BB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provedeny základní funkční a stress testy řešení ECM v produkčním prostředí</w:t>
            </w:r>
          </w:p>
        </w:tc>
        <w:tc>
          <w:tcPr>
            <w:tcW w:w="464" w:type="pct"/>
          </w:tcPr>
          <w:p w14:paraId="7F58E6E8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65DFA191" w14:textId="77777777" w:rsidTr="00D23BDE">
        <w:tc>
          <w:tcPr>
            <w:tcW w:w="1133" w:type="pct"/>
          </w:tcPr>
          <w:p w14:paraId="4C90A0C2" w14:textId="77777777" w:rsidR="004A32F9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Testovací makety, Instalace HW a SW, Příloha č. 1 Smlouvy viz čl. 1.3 odstavec 1.3.3 bod k)</w:t>
            </w:r>
          </w:p>
          <w:p w14:paraId="6374068B" w14:textId="77777777" w:rsidR="004A32F9" w:rsidRPr="00E554D7" w:rsidRDefault="004A32F9" w:rsidP="00D23BDE">
            <w:pPr>
              <w:spacing w:before="0" w:line="240" w:lineRule="auto"/>
              <w:ind w:left="72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3" w:type="pct"/>
          </w:tcPr>
          <w:p w14:paraId="752BFB0E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 účel testování implementace ECM v tomto kroku dodavatel připraví vhodnou sadu testovacích přípravků – maket (testovacích aplikací s podvrhem dat) a odpovídající testovací data</w:t>
            </w:r>
          </w:p>
        </w:tc>
        <w:tc>
          <w:tcPr>
            <w:tcW w:w="464" w:type="pct"/>
          </w:tcPr>
          <w:p w14:paraId="334B2BE4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600B2BF8" w14:textId="77777777" w:rsidTr="00D23BDE">
        <w:tc>
          <w:tcPr>
            <w:tcW w:w="1133" w:type="pct"/>
          </w:tcPr>
          <w:p w14:paraId="4F462C6A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Dokumentace, Instalace HW a SW, Příloha č. 1 Smlouvy viz čl. 1.3 odstavec 1.3.3 bod l)</w:t>
            </w:r>
          </w:p>
        </w:tc>
        <w:tc>
          <w:tcPr>
            <w:tcW w:w="3403" w:type="pct"/>
          </w:tcPr>
          <w:p w14:paraId="5222B832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předána první verze dokumentace dle Standardů VZP</w:t>
            </w:r>
          </w:p>
        </w:tc>
        <w:tc>
          <w:tcPr>
            <w:tcW w:w="464" w:type="pct"/>
          </w:tcPr>
          <w:p w14:paraId="19014044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2312D8A1" w14:textId="77777777" w:rsidTr="00D23BDE">
        <w:tc>
          <w:tcPr>
            <w:tcW w:w="1133" w:type="pct"/>
          </w:tcPr>
          <w:p w14:paraId="27A2BCEF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Instalace, Instalace HW a SW, Příloha č. 1 Smlouvy viz čl. 1.3 odstavec 1.3.3 bod m)</w:t>
            </w:r>
          </w:p>
        </w:tc>
        <w:tc>
          <w:tcPr>
            <w:tcW w:w="3403" w:type="pct"/>
          </w:tcPr>
          <w:p w14:paraId="2936EF9F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Dodavatel v součinnosti s VZP ČR provede instalace v testovacím a produkčním prostředí v souladu se standardy VZP</w:t>
            </w:r>
          </w:p>
        </w:tc>
        <w:tc>
          <w:tcPr>
            <w:tcW w:w="464" w:type="pct"/>
          </w:tcPr>
          <w:p w14:paraId="3B937596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066725FD" w14:textId="77777777" w:rsidTr="00D23BDE">
        <w:tc>
          <w:tcPr>
            <w:tcW w:w="1133" w:type="pct"/>
          </w:tcPr>
          <w:p w14:paraId="250D69DD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Školení, Instalace HW a SW, Příloha č. 1 Smlouvy viz čl. 1.3 odstavec 1.3.3 bod n)</w:t>
            </w:r>
          </w:p>
        </w:tc>
        <w:tc>
          <w:tcPr>
            <w:tcW w:w="3403" w:type="pct"/>
          </w:tcPr>
          <w:p w14:paraId="0EA300CE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Dodavatel provede zaškolení</w:t>
            </w:r>
          </w:p>
          <w:p w14:paraId="1E62972F" w14:textId="77777777" w:rsidR="004A32F9" w:rsidRPr="00E554D7" w:rsidRDefault="004A32F9" w:rsidP="00D23BDE">
            <w:pPr>
              <w:numPr>
                <w:ilvl w:val="0"/>
                <w:numId w:val="8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Uživatelů</w:t>
            </w:r>
          </w:p>
          <w:p w14:paraId="474EB054" w14:textId="77777777" w:rsidR="004A32F9" w:rsidRPr="00E554D7" w:rsidRDefault="004A32F9" w:rsidP="00D23BDE">
            <w:pPr>
              <w:numPr>
                <w:ilvl w:val="0"/>
                <w:numId w:val="8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Privilegovaných uživatelů konfigurujících systém</w:t>
            </w:r>
          </w:p>
          <w:p w14:paraId="30CF6095" w14:textId="77777777" w:rsidR="004A32F9" w:rsidRPr="00E554D7" w:rsidRDefault="004A32F9" w:rsidP="00D23BDE">
            <w:pPr>
              <w:numPr>
                <w:ilvl w:val="0"/>
                <w:numId w:val="8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IT administrátorů</w:t>
            </w:r>
          </w:p>
          <w:p w14:paraId="1EB8F458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 testovacím prostředí ECM VZP podle odpovídajících rolí definovaných v Analytickém projektu</w:t>
            </w:r>
          </w:p>
        </w:tc>
        <w:tc>
          <w:tcPr>
            <w:tcW w:w="464" w:type="pct"/>
          </w:tcPr>
          <w:p w14:paraId="3882A0FF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7B5E30A3" w14:textId="77777777" w:rsidTr="00D23BDE">
        <w:tc>
          <w:tcPr>
            <w:tcW w:w="1133" w:type="pct"/>
          </w:tcPr>
          <w:p w14:paraId="3E291C19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AP pro další krok, Instalace HW a SW, Příloha č. 1 Smlouvy viz čl. 1.3 odstavec 1.3.3 bod o)</w:t>
            </w:r>
          </w:p>
        </w:tc>
        <w:tc>
          <w:tcPr>
            <w:tcW w:w="3403" w:type="pct"/>
          </w:tcPr>
          <w:p w14:paraId="4A27C5F8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zpracována a akceptována rozšiřující verze analytického projektu pro implementační krok 2</w:t>
            </w:r>
          </w:p>
        </w:tc>
        <w:tc>
          <w:tcPr>
            <w:tcW w:w="464" w:type="pct"/>
          </w:tcPr>
          <w:p w14:paraId="72E2A198" w14:textId="77777777" w:rsidR="004A32F9" w:rsidRPr="003471B1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4A32F9" w:rsidRPr="00E554D7" w14:paraId="45063F8C" w14:textId="77777777" w:rsidTr="00D23BDE">
        <w:tc>
          <w:tcPr>
            <w:tcW w:w="1133" w:type="pct"/>
          </w:tcPr>
          <w:p w14:paraId="677CD71F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Migrační plán, Smlouva čl. IV.</w:t>
            </w:r>
          </w:p>
        </w:tc>
        <w:tc>
          <w:tcPr>
            <w:tcW w:w="3403" w:type="pct"/>
          </w:tcPr>
          <w:p w14:paraId="3B55AE7B" w14:textId="77777777" w:rsidR="004A32F9" w:rsidRPr="00E554D7" w:rsidRDefault="004A32F9" w:rsidP="00D23BD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Migrační plán</w:t>
            </w:r>
          </w:p>
        </w:tc>
        <w:tc>
          <w:tcPr>
            <w:tcW w:w="464" w:type="pct"/>
          </w:tcPr>
          <w:p w14:paraId="611385F0" w14:textId="77777777" w:rsidR="004A32F9" w:rsidRPr="003471B1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</w:tbl>
    <w:p w14:paraId="31973CA7" w14:textId="77777777" w:rsidR="00C84BF4" w:rsidRDefault="00C84BF4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</w:p>
    <w:p w14:paraId="57FE14D7" w14:textId="5F649AE5" w:rsidR="00E554D7" w:rsidRPr="00E554D7" w:rsidRDefault="00E554D7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Tabulka </w:t>
      </w:r>
      <w:r w:rsidR="000F692B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č. </w:t>
      </w: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3</w:t>
      </w:r>
    </w:p>
    <w:p w14:paraId="1A0E1C01" w14:textId="48EA1A41" w:rsidR="001A3590" w:rsidRPr="00E554D7" w:rsidRDefault="001A3590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 xml:space="preserve">Termínované úkoly </w:t>
      </w:r>
    </w:p>
    <w:p w14:paraId="2A5524A3" w14:textId="65502699" w:rsidR="001A3590" w:rsidRDefault="001A3590" w:rsidP="001A3590">
      <w:pPr>
        <w:spacing w:before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Součástí </w:t>
      </w:r>
      <w:r w:rsidR="00F77733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realizace etapy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IK2</w:t>
      </w:r>
      <w:r w:rsidR="00F77733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případně i etapy IK3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jsou „Termínované úkoly“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činnosti, které </w:t>
      </w:r>
      <w:r w:rsidR="00F77733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vyplynuly z Akceptačního protokolu etapy IK1 a které měly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do požadovaného detailu rozpracov</w:t>
      </w:r>
      <w:r w:rsidR="00F77733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at plnění dodané v rámci etapy IK1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spolu s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požadavky v základním rozsahu splněn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ými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 IK1:</w:t>
      </w:r>
    </w:p>
    <w:p w14:paraId="105DB320" w14:textId="77777777" w:rsidR="004A32F9" w:rsidRPr="00E554D7" w:rsidRDefault="004A32F9" w:rsidP="001A3590">
      <w:pPr>
        <w:spacing w:before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Mkatabulky1"/>
        <w:tblW w:w="4911" w:type="pct"/>
        <w:tblLook w:val="04A0" w:firstRow="1" w:lastRow="0" w:firstColumn="1" w:lastColumn="0" w:noHBand="0" w:noVBand="1"/>
      </w:tblPr>
      <w:tblGrid>
        <w:gridCol w:w="3398"/>
        <w:gridCol w:w="4396"/>
        <w:gridCol w:w="3403"/>
        <w:gridCol w:w="2548"/>
      </w:tblGrid>
      <w:tr w:rsidR="004A32F9" w:rsidRPr="00E554D7" w14:paraId="5CE6EFA8" w14:textId="77777777" w:rsidTr="004A32F9">
        <w:tc>
          <w:tcPr>
            <w:tcW w:w="1236" w:type="pct"/>
            <w:vAlign w:val="center"/>
          </w:tcPr>
          <w:p w14:paraId="5EC42495" w14:textId="77777777" w:rsidR="004A32F9" w:rsidRPr="00E554D7" w:rsidRDefault="004A32F9" w:rsidP="00D23BD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14" w:name="_Hlk54769547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Označení plnění </w:t>
            </w: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odkaz na ustanovení Smlouvy</w:t>
            </w:r>
          </w:p>
        </w:tc>
        <w:tc>
          <w:tcPr>
            <w:tcW w:w="1599" w:type="pct"/>
            <w:vAlign w:val="center"/>
          </w:tcPr>
          <w:p w14:paraId="25BC5D65" w14:textId="77777777" w:rsidR="004A32F9" w:rsidRPr="00E554D7" w:rsidRDefault="004A32F9" w:rsidP="00D23BD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Zadání termínovaného úkolu z akceptačního protokolu k IK1</w:t>
            </w:r>
          </w:p>
        </w:tc>
        <w:tc>
          <w:tcPr>
            <w:tcW w:w="1238" w:type="pct"/>
            <w:vAlign w:val="center"/>
          </w:tcPr>
          <w:p w14:paraId="4657A96F" w14:textId="77777777" w:rsidR="004A32F9" w:rsidRPr="00E554D7" w:rsidRDefault="004A32F9" w:rsidP="00D23BD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Splněno/Nesplněno</w:t>
            </w:r>
          </w:p>
        </w:tc>
        <w:tc>
          <w:tcPr>
            <w:tcW w:w="927" w:type="pct"/>
            <w:vAlign w:val="center"/>
          </w:tcPr>
          <w:p w14:paraId="2C0BD494" w14:textId="77777777" w:rsidR="004A32F9" w:rsidRPr="00E554D7" w:rsidRDefault="004A32F9" w:rsidP="00D23BD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Dodáno, dne</w:t>
            </w:r>
          </w:p>
        </w:tc>
      </w:tr>
      <w:bookmarkEnd w:id="14"/>
      <w:tr w:rsidR="004A32F9" w:rsidRPr="00E554D7" w14:paraId="4D220B66" w14:textId="77777777" w:rsidTr="004A32F9">
        <w:tc>
          <w:tcPr>
            <w:tcW w:w="1236" w:type="pct"/>
          </w:tcPr>
          <w:p w14:paraId="2284DB39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Sloučení AP, Příloha č. 1 Smlouvy viz čl. 1.3 odstavec 1.3.3 bod o)</w:t>
            </w:r>
          </w:p>
        </w:tc>
        <w:tc>
          <w:tcPr>
            <w:tcW w:w="1599" w:type="pct"/>
          </w:tcPr>
          <w:p w14:paraId="5DDACF5B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Sloučení analytických dokumentů IK0 a IK1 do konce IK2</w:t>
            </w:r>
          </w:p>
        </w:tc>
        <w:tc>
          <w:tcPr>
            <w:tcW w:w="1238" w:type="pct"/>
          </w:tcPr>
          <w:p w14:paraId="2E51B1FF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splněn</w:t>
            </w:r>
          </w:p>
        </w:tc>
        <w:tc>
          <w:tcPr>
            <w:tcW w:w="927" w:type="pct"/>
          </w:tcPr>
          <w:p w14:paraId="0F26589C" w14:textId="39F77048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26F3966A" w14:textId="77777777" w:rsidTr="004A32F9">
        <w:tc>
          <w:tcPr>
            <w:tcW w:w="1236" w:type="pct"/>
          </w:tcPr>
          <w:p w14:paraId="2E1C20C5" w14:textId="77777777" w:rsidR="004A32F9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Specifikace orchestrace, viz. Příloha č. </w:t>
            </w: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1b</w:t>
            </w:r>
            <w:proofErr w:type="gram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Smlouvy – Výchozí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customizace</w:t>
            </w:r>
            <w:proofErr w:type="spellEnd"/>
          </w:p>
          <w:p w14:paraId="082201CF" w14:textId="77777777" w:rsidR="004A32F9" w:rsidRPr="00D47B2E" w:rsidRDefault="004A32F9" w:rsidP="00D23BDE">
            <w:pPr>
              <w:ind w:firstLine="70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pct"/>
          </w:tcPr>
          <w:p w14:paraId="1BAC0651" w14:textId="34B428F6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Specifikace orchestrace předávání dokumentu bude zahájena nejpozději do 30.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38" w:type="pct"/>
          </w:tcPr>
          <w:p w14:paraId="317B1A08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částečně splněn</w:t>
            </w:r>
          </w:p>
        </w:tc>
        <w:tc>
          <w:tcPr>
            <w:tcW w:w="927" w:type="pct"/>
          </w:tcPr>
          <w:p w14:paraId="5AA27F1E" w14:textId="347C801F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5C2FE4B0" w14:textId="77777777" w:rsidTr="004A32F9">
        <w:tc>
          <w:tcPr>
            <w:tcW w:w="1236" w:type="pct"/>
          </w:tcPr>
          <w:p w14:paraId="69DE254A" w14:textId="77777777" w:rsidR="004A32F9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Zálohování,</w:t>
            </w:r>
          </w:p>
          <w:p w14:paraId="0A497E59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Příloha č. 1 Smlouvy, čl. 1.9</w:t>
            </w:r>
          </w:p>
        </w:tc>
        <w:tc>
          <w:tcPr>
            <w:tcW w:w="1599" w:type="pct"/>
          </w:tcPr>
          <w:p w14:paraId="4080D67A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Dokončení řešení zálohování – dle harmonogramu</w:t>
            </w:r>
          </w:p>
        </w:tc>
        <w:tc>
          <w:tcPr>
            <w:tcW w:w="1238" w:type="pct"/>
          </w:tcPr>
          <w:p w14:paraId="29B0DE5D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částečně splněn</w:t>
            </w:r>
          </w:p>
        </w:tc>
        <w:tc>
          <w:tcPr>
            <w:tcW w:w="927" w:type="pct"/>
          </w:tcPr>
          <w:p w14:paraId="014F59AD" w14:textId="29415D39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589CD1EA" w14:textId="77777777" w:rsidTr="004A32F9">
        <w:tc>
          <w:tcPr>
            <w:tcW w:w="1236" w:type="pct"/>
          </w:tcPr>
          <w:p w14:paraId="34651F89" w14:textId="77777777" w:rsidR="004A32F9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IBM WAS, viz. Smlouva, čl. II, odstavec 3, bod 3.3.1</w:t>
            </w:r>
          </w:p>
          <w:p w14:paraId="2677A9C8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pct"/>
          </w:tcPr>
          <w:p w14:paraId="57B91D6B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Přiměřená konzultační součinnost dodavatele při implementaci a dodání skriptů, kterými bude možné sledovat IBM WAS do konce IK2</w:t>
            </w:r>
          </w:p>
          <w:p w14:paraId="73AA81D0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</w:tcPr>
          <w:p w14:paraId="6F42F0A3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splněn</w:t>
            </w:r>
          </w:p>
        </w:tc>
        <w:tc>
          <w:tcPr>
            <w:tcW w:w="927" w:type="pct"/>
          </w:tcPr>
          <w:p w14:paraId="76168297" w14:textId="253C023E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5088BAAD" w14:textId="77777777" w:rsidTr="004A32F9">
        <w:tc>
          <w:tcPr>
            <w:tcW w:w="1236" w:type="pct"/>
          </w:tcPr>
          <w:p w14:paraId="132DEFFA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Manuál pro dodavatele, Příloha č. 1 Smlouvy, čl. 1.11 odstavec 1.11.2)</w:t>
            </w:r>
          </w:p>
        </w:tc>
        <w:tc>
          <w:tcPr>
            <w:tcW w:w="1599" w:type="pct"/>
          </w:tcPr>
          <w:p w14:paraId="645C07DC" w14:textId="18C2607F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Manuál pro dodavatele – pouze část Popis služeb HSM 15.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38" w:type="pct"/>
          </w:tcPr>
          <w:p w14:paraId="39A66C0C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částečně splněn</w:t>
            </w:r>
          </w:p>
        </w:tc>
        <w:tc>
          <w:tcPr>
            <w:tcW w:w="927" w:type="pct"/>
          </w:tcPr>
          <w:p w14:paraId="408BDC21" w14:textId="4223F252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5833C2B7" w14:textId="77777777" w:rsidTr="004A32F9">
        <w:tc>
          <w:tcPr>
            <w:tcW w:w="1236" w:type="pct"/>
          </w:tcPr>
          <w:p w14:paraId="286E4CC6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Podpisové služby, Příloha č. </w:t>
            </w: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1a</w:t>
            </w:r>
            <w:proofErr w:type="gram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Smlouvy – Povinné parametry, Odstavec 1.4.8.</w:t>
            </w:r>
          </w:p>
        </w:tc>
        <w:tc>
          <w:tcPr>
            <w:tcW w:w="1599" w:type="pct"/>
          </w:tcPr>
          <w:p w14:paraId="2A841E2C" w14:textId="3FA8082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1.4.8.6, 1.4.8.9, 1.4.8.10 – Ověřování 30.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38" w:type="pct"/>
          </w:tcPr>
          <w:p w14:paraId="29865A73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splněn</w:t>
            </w:r>
          </w:p>
        </w:tc>
        <w:tc>
          <w:tcPr>
            <w:tcW w:w="927" w:type="pct"/>
          </w:tcPr>
          <w:p w14:paraId="2248A6CD" w14:textId="346CEA63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26278F93" w14:textId="77777777" w:rsidTr="004A32F9">
        <w:tc>
          <w:tcPr>
            <w:tcW w:w="1236" w:type="pct"/>
          </w:tcPr>
          <w:p w14:paraId="3F3D5337" w14:textId="77777777" w:rsidR="004A32F9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Digitalizace, viz Příloha č. 1 Smlouvy, čl. 1.4, odstavec 1.4.3</w:t>
            </w:r>
          </w:p>
          <w:p w14:paraId="2EAE2E7D" w14:textId="77777777" w:rsidR="004A32F9" w:rsidRPr="00D47B2E" w:rsidRDefault="004A32F9" w:rsidP="00D23BD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pct"/>
          </w:tcPr>
          <w:p w14:paraId="6B3A2C27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Digitalizace – popisy tříd pro dokumenty uvedené ve smlouvě – součást řešení dodávky</w:t>
            </w:r>
          </w:p>
        </w:tc>
        <w:tc>
          <w:tcPr>
            <w:tcW w:w="1238" w:type="pct"/>
          </w:tcPr>
          <w:p w14:paraId="31BCBD98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splněn</w:t>
            </w:r>
          </w:p>
        </w:tc>
        <w:tc>
          <w:tcPr>
            <w:tcW w:w="927" w:type="pct"/>
          </w:tcPr>
          <w:p w14:paraId="30C23993" w14:textId="36D81EE2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72F13199" w14:textId="77777777" w:rsidTr="004A32F9">
        <w:tc>
          <w:tcPr>
            <w:tcW w:w="1236" w:type="pct"/>
          </w:tcPr>
          <w:p w14:paraId="56BBC5B4" w14:textId="77777777" w:rsidR="004A32F9" w:rsidRPr="00E554D7" w:rsidRDefault="004A32F9" w:rsidP="00D23BDE">
            <w:pPr>
              <w:tabs>
                <w:tab w:val="left" w:pos="1768"/>
              </w:tabs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  <w:t xml:space="preserve">Licence,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čl. II odst. 3 bod 3.3</w:t>
            </w:r>
          </w:p>
        </w:tc>
        <w:tc>
          <w:tcPr>
            <w:tcW w:w="1599" w:type="pct"/>
          </w:tcPr>
          <w:p w14:paraId="7C9C7948" w14:textId="60EBBB55" w:rsidR="004A32F9" w:rsidRPr="00E554D7" w:rsidRDefault="004A32F9" w:rsidP="00D23BDE">
            <w:pPr>
              <w:tabs>
                <w:tab w:val="left" w:pos="1768"/>
              </w:tabs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  <w:t>Uvedení termínů licencování do souladu se smlouvou proběhne do 30.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  <w:t> 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  <w:t>6.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  <w:t> 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  <w:t>2020</w:t>
            </w:r>
          </w:p>
        </w:tc>
        <w:tc>
          <w:tcPr>
            <w:tcW w:w="1238" w:type="pct"/>
          </w:tcPr>
          <w:p w14:paraId="19E5B8C4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TÚ splněn v rámci vypořádání vzájemných závazků</w:t>
            </w:r>
          </w:p>
        </w:tc>
        <w:tc>
          <w:tcPr>
            <w:tcW w:w="927" w:type="pct"/>
          </w:tcPr>
          <w:p w14:paraId="1CEE098D" w14:textId="6A45B6ED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</w:tbl>
    <w:p w14:paraId="1F6B5121" w14:textId="77777777" w:rsidR="001A3590" w:rsidRPr="00E554D7" w:rsidRDefault="001A3590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27FDAE" w14:textId="77777777" w:rsidR="004244FD" w:rsidRDefault="004244FD">
      <w:pPr>
        <w:spacing w:before="0" w:after="160" w:line="259" w:lineRule="auto"/>
        <w:jc w:val="left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br w:type="page"/>
      </w:r>
    </w:p>
    <w:p w14:paraId="0989E5AE" w14:textId="2DA38B69" w:rsidR="00E554D7" w:rsidRPr="00E554D7" w:rsidRDefault="00E554D7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lastRenderedPageBreak/>
        <w:t xml:space="preserve">Tabulka </w:t>
      </w:r>
      <w:r w:rsidR="000F692B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č. </w:t>
      </w: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4</w:t>
      </w:r>
    </w:p>
    <w:p w14:paraId="53A2CF59" w14:textId="4E46ABD6" w:rsidR="001A3590" w:rsidRPr="00E554D7" w:rsidRDefault="001A3590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 xml:space="preserve">Implementační krok IK2 </w:t>
      </w:r>
    </w:p>
    <w:p w14:paraId="27F96530" w14:textId="5302B1F4" w:rsidR="001A3590" w:rsidRPr="00E554D7" w:rsidRDefault="000F674E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Realizace implementačního k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>roku IK2 byla zahájena dne 4.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>9.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>2019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. Tato etapa měla být v souladu s rozhodnutím Řídícího výbor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dne 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>6.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>2020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11C45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končena nejpozději dne 7.</w:t>
      </w:r>
      <w:r w:rsidR="00011C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011C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2020. Akceptační procedura dle č</w:t>
      </w:r>
      <w:r w:rsidR="00011C45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>č. III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odst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9</w:t>
      </w:r>
      <w:r w:rsidR="0000355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</w:t>
      </w:r>
      <w:r w:rsidR="0067262B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nebyla zahájena. Etapa IK2 jako celek akceptována nebyla</w:t>
      </w:r>
      <w:r w:rsidR="006051D3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tbl>
      <w:tblPr>
        <w:tblStyle w:val="Mkatabulky1"/>
        <w:tblW w:w="4911" w:type="pct"/>
        <w:tblLook w:val="04A0" w:firstRow="1" w:lastRow="0" w:firstColumn="1" w:lastColumn="0" w:noHBand="0" w:noVBand="1"/>
      </w:tblPr>
      <w:tblGrid>
        <w:gridCol w:w="2540"/>
        <w:gridCol w:w="6669"/>
        <w:gridCol w:w="1985"/>
        <w:gridCol w:w="2551"/>
      </w:tblGrid>
      <w:tr w:rsidR="004A32F9" w:rsidRPr="00E554D7" w14:paraId="6DF6CE56" w14:textId="77777777" w:rsidTr="00D23BDE">
        <w:tc>
          <w:tcPr>
            <w:tcW w:w="924" w:type="pct"/>
          </w:tcPr>
          <w:p w14:paraId="262D3216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Označení plnění, odkaz na ustanovení Smlouvy</w:t>
            </w:r>
          </w:p>
        </w:tc>
        <w:tc>
          <w:tcPr>
            <w:tcW w:w="2426" w:type="pct"/>
          </w:tcPr>
          <w:p w14:paraId="2EE74258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Zadání termínovaného úkolu z akceptačního protokolu k IK1</w:t>
            </w:r>
          </w:p>
        </w:tc>
        <w:tc>
          <w:tcPr>
            <w:tcW w:w="722" w:type="pct"/>
          </w:tcPr>
          <w:p w14:paraId="78E90754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Akceptováno, dne</w:t>
            </w:r>
          </w:p>
        </w:tc>
        <w:tc>
          <w:tcPr>
            <w:tcW w:w="928" w:type="pct"/>
          </w:tcPr>
          <w:p w14:paraId="1ECB07CC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Dodáno, dne</w:t>
            </w:r>
          </w:p>
        </w:tc>
      </w:tr>
      <w:tr w:rsidR="004A32F9" w:rsidRPr="00E554D7" w14:paraId="4C0160AE" w14:textId="77777777" w:rsidTr="00D23BDE">
        <w:tc>
          <w:tcPr>
            <w:tcW w:w="924" w:type="pct"/>
          </w:tcPr>
          <w:p w14:paraId="3056A00C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Orchestrace služeb, viz Příloha č. 1 Smlouvy, čl. 1.3, odst. 1.3.4 bod a)</w:t>
            </w:r>
          </w:p>
        </w:tc>
        <w:tc>
          <w:tcPr>
            <w:tcW w:w="2426" w:type="pct"/>
          </w:tcPr>
          <w:p w14:paraId="0646A7EE" w14:textId="5C409263" w:rsidR="004A32F9" w:rsidRPr="00E554D7" w:rsidRDefault="004A32F9" w:rsidP="001F6906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Dodavatel ECM vytvoří výchozí orchestrace a konfigurace služeb ECM pro v tomto odstavci specifikované dokumentové služby. Tyto standar</w:t>
            </w:r>
            <w:r w:rsidR="001F690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ní orchestrace poslouží business projektům v dalších fázích k dalšímu využití „business </w:t>
            </w:r>
            <w:proofErr w:type="spellStart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customizací</w:t>
            </w:r>
            <w:proofErr w:type="spellEnd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“. Zadavatel požaduje, aby využití těchto vzorů v ECM bylo řízeno pouhou konfigurací.</w:t>
            </w:r>
          </w:p>
        </w:tc>
        <w:tc>
          <w:tcPr>
            <w:tcW w:w="722" w:type="pct"/>
          </w:tcPr>
          <w:p w14:paraId="5FA51872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26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5BA7B616" w14:textId="6AF8C62E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16759FF6" w14:textId="77777777" w:rsidTr="00D23BDE">
        <w:tc>
          <w:tcPr>
            <w:tcW w:w="924" w:type="pct"/>
          </w:tcPr>
          <w:p w14:paraId="6BE6C242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ECM – ESB, viz Příloha č. 1 Smlouvy, čl. 1.3, odst. 1.3.4 bod b)</w:t>
            </w:r>
          </w:p>
        </w:tc>
        <w:tc>
          <w:tcPr>
            <w:tcW w:w="2426" w:type="pct"/>
          </w:tcPr>
          <w:p w14:paraId="0EB75005" w14:textId="77777777" w:rsidR="004A32F9" w:rsidRPr="00E554D7" w:rsidRDefault="004A32F9" w:rsidP="001F6906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Všechny služby vystavené na ECM-ESB včetně podkladových budou zdokumentovány</w:t>
            </w:r>
          </w:p>
        </w:tc>
        <w:tc>
          <w:tcPr>
            <w:tcW w:w="722" w:type="pct"/>
          </w:tcPr>
          <w:p w14:paraId="298594FA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A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04B10767" w14:textId="44E0427B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5A50C514" w14:textId="77777777" w:rsidTr="00D23BDE">
        <w:tc>
          <w:tcPr>
            <w:tcW w:w="924" w:type="pct"/>
          </w:tcPr>
          <w:p w14:paraId="63E46948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Dokumentace, viz Příloha č. 1 Smlouvy, čl. 1.3, odst. 1.3.4 bod e) (AP,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MpD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technická dokumentace, migrační plán)</w:t>
            </w:r>
          </w:p>
        </w:tc>
        <w:tc>
          <w:tcPr>
            <w:tcW w:w="2426" w:type="pct"/>
          </w:tcPr>
          <w:p w14:paraId="4CA7D67B" w14:textId="73D17919" w:rsidR="004A32F9" w:rsidRPr="00E554D7" w:rsidRDefault="004A32F9" w:rsidP="001F6906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předána aktualizovaná úplná verze dokumentace dle Standardů VZP</w:t>
            </w:r>
          </w:p>
        </w:tc>
        <w:tc>
          <w:tcPr>
            <w:tcW w:w="722" w:type="pct"/>
          </w:tcPr>
          <w:p w14:paraId="5DDC1907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5FB91468" w14:textId="7E3AF1FE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4376E941" w14:textId="77777777" w:rsidTr="00D23BDE">
        <w:tc>
          <w:tcPr>
            <w:tcW w:w="924" w:type="pct"/>
          </w:tcPr>
          <w:p w14:paraId="67A56E4C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Sužby ECM, viz Příloha č. 1 Smlouvy, čl. 1.3, odst. 1.3.4 bod f)</w:t>
            </w:r>
          </w:p>
        </w:tc>
        <w:tc>
          <w:tcPr>
            <w:tcW w:w="2426" w:type="pct"/>
          </w:tcPr>
          <w:p w14:paraId="5085583D" w14:textId="77777777" w:rsidR="004A32F9" w:rsidRPr="00E554D7" w:rsidRDefault="004A32F9" w:rsidP="00693EBD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Sada základních služeb ECM pro tuto etapu:</w:t>
            </w:r>
          </w:p>
          <w:p w14:paraId="2696F4F4" w14:textId="77777777" w:rsidR="004A32F9" w:rsidRPr="00E554D7" w:rsidRDefault="004A32F9" w:rsidP="00D23BDE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Zpracování doručeného dokumentu (zásilky) strukturovaného i nestrukturovaného bez vytěžení dat i s vytěžením dat, ECM část</w:t>
            </w:r>
          </w:p>
          <w:p w14:paraId="083FF17C" w14:textId="77777777" w:rsidR="004A32F9" w:rsidRPr="00E554D7" w:rsidRDefault="004A32F9" w:rsidP="00D23BDE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Předání doručeného dokumentu, </w:t>
            </w:r>
            <w:proofErr w:type="spellStart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metadat</w:t>
            </w:r>
            <w:proofErr w:type="spellEnd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 vytěžených dat obsahu do provozního systému</w:t>
            </w:r>
          </w:p>
          <w:p w14:paraId="181FE868" w14:textId="77777777" w:rsidR="004A32F9" w:rsidRPr="00E554D7" w:rsidRDefault="004A32F9" w:rsidP="00D23BDE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Zpracování vlastního (odchozího) individuálního dokumentu u informačního systému</w:t>
            </w:r>
          </w:p>
          <w:p w14:paraId="1B23A6C4" w14:textId="77777777" w:rsidR="004A32F9" w:rsidRPr="00E554D7" w:rsidRDefault="004A32F9" w:rsidP="00D23BDE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Hromadné zpracování vlastního (odchozího) dokumentu (zásilky) z informačního systému</w:t>
            </w:r>
          </w:p>
          <w:p w14:paraId="41C15D88" w14:textId="77777777" w:rsidR="004A32F9" w:rsidRPr="00E554D7" w:rsidRDefault="004A32F9" w:rsidP="00D23BDE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Zpracování individuálního vlastního (odchozího) dokumentu (zásilky) vytvořeného v MS Office</w:t>
            </w:r>
          </w:p>
          <w:p w14:paraId="322E0A51" w14:textId="77777777" w:rsidR="004A32F9" w:rsidRPr="00E554D7" w:rsidRDefault="004A32F9" w:rsidP="00D23BDE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Hromadné zpracování vlastního (odchozího) dokumentu (zásilky) vytvořeného v MS Office</w:t>
            </w:r>
          </w:p>
        </w:tc>
        <w:tc>
          <w:tcPr>
            <w:tcW w:w="722" w:type="pct"/>
          </w:tcPr>
          <w:p w14:paraId="2B4E8C16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Ne</w:t>
            </w:r>
          </w:p>
        </w:tc>
        <w:tc>
          <w:tcPr>
            <w:tcW w:w="928" w:type="pct"/>
          </w:tcPr>
          <w:p w14:paraId="7F60E67B" w14:textId="009EFEBB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277D250A" w14:textId="77777777" w:rsidTr="00D23BDE">
        <w:tc>
          <w:tcPr>
            <w:tcW w:w="924" w:type="pct"/>
          </w:tcPr>
          <w:p w14:paraId="43DF4418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Anonymizace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viz Příloha č. 1 Smlouvy, čl. 1.3, odst. 1.3.4 bod g)</w:t>
            </w:r>
          </w:p>
        </w:tc>
        <w:tc>
          <w:tcPr>
            <w:tcW w:w="2426" w:type="pct"/>
          </w:tcPr>
          <w:p w14:paraId="6744329F" w14:textId="77777777" w:rsidR="004A32F9" w:rsidRPr="00E554D7" w:rsidRDefault="004A32F9" w:rsidP="00693EBD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Vytvoření aplikace pro </w:t>
            </w:r>
            <w:proofErr w:type="spellStart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anonymizaci</w:t>
            </w:r>
            <w:proofErr w:type="spellEnd"/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digitálních dokumentů, včetně vystavení potřebných služeb na ECM – ESB</w:t>
            </w:r>
          </w:p>
        </w:tc>
        <w:tc>
          <w:tcPr>
            <w:tcW w:w="722" w:type="pct"/>
          </w:tcPr>
          <w:p w14:paraId="3E56D8CD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24C7FE8D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23. 7. 2020</w:t>
            </w:r>
          </w:p>
        </w:tc>
      </w:tr>
      <w:tr w:rsidR="004A32F9" w:rsidRPr="00E554D7" w14:paraId="438D724E" w14:textId="77777777" w:rsidTr="00D23BDE">
        <w:tc>
          <w:tcPr>
            <w:tcW w:w="924" w:type="pct"/>
          </w:tcPr>
          <w:p w14:paraId="08EAA90B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Dokumentace – digitalizace, viz Příloha č. 1 Smlouvy, čl. 1.3, odst. 1.3.4 bod i)</w:t>
            </w:r>
          </w:p>
        </w:tc>
        <w:tc>
          <w:tcPr>
            <w:tcW w:w="2426" w:type="pct"/>
          </w:tcPr>
          <w:p w14:paraId="669B66E8" w14:textId="77777777" w:rsidR="00F64AE6" w:rsidRPr="00693EBD" w:rsidRDefault="00F64AE6" w:rsidP="00693EBD">
            <w:pPr>
              <w:spacing w:before="0" w:line="240" w:lineRule="auto"/>
              <w:ind w:left="360"/>
              <w:jc w:val="left"/>
              <w:rPr>
                <w:rFonts w:asciiTheme="minorHAnsi" w:eastAsiaTheme="minorHAnsi" w:hAnsiTheme="minorHAnsi" w:cstheme="minorHAnsi"/>
                <w:vanish/>
                <w:sz w:val="22"/>
                <w:szCs w:val="22"/>
                <w:lang w:eastAsia="en-US"/>
              </w:rPr>
            </w:pPr>
          </w:p>
          <w:p w14:paraId="2D63D28E" w14:textId="45D3BA35" w:rsidR="004A32F9" w:rsidRPr="00E554D7" w:rsidRDefault="004A32F9" w:rsidP="00693EBD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předána aktualizovaná verze dokumentace dle standardů VZP</w:t>
            </w:r>
          </w:p>
        </w:tc>
        <w:tc>
          <w:tcPr>
            <w:tcW w:w="722" w:type="pct"/>
          </w:tcPr>
          <w:p w14:paraId="699156F8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07C24994" w14:textId="6185F5AC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</w:t>
            </w:r>
            <w:r w:rsidR="009232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A32F9" w:rsidRPr="00E554D7" w14:paraId="02CD3858" w14:textId="77777777" w:rsidTr="00D23BDE">
        <w:tc>
          <w:tcPr>
            <w:tcW w:w="924" w:type="pct"/>
          </w:tcPr>
          <w:p w14:paraId="2466F560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Manuál pro dodavatele, viz Příloha č. 1 Smlouvy, čl. 1.3, odst. 1.3.4 bod j)</w:t>
            </w:r>
          </w:p>
        </w:tc>
        <w:tc>
          <w:tcPr>
            <w:tcW w:w="2426" w:type="pct"/>
          </w:tcPr>
          <w:p w14:paraId="1CE031F4" w14:textId="77777777" w:rsidR="004A32F9" w:rsidRPr="00E554D7" w:rsidRDefault="004A32F9" w:rsidP="00693EBD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předána 1. verze manuálu pro dodavatele aplikací IS VZP pracujících s dokumenty, popisující aplikační rozhraní, metodiku a způsoby práce s dokumenty a způsob integrace s ECM systémem</w:t>
            </w:r>
          </w:p>
        </w:tc>
        <w:tc>
          <w:tcPr>
            <w:tcW w:w="722" w:type="pct"/>
          </w:tcPr>
          <w:p w14:paraId="5FE91B74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0CCF2BBA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 9. 2020</w:t>
            </w:r>
          </w:p>
        </w:tc>
      </w:tr>
      <w:tr w:rsidR="004A32F9" w:rsidRPr="00E554D7" w14:paraId="6FBC2952" w14:textId="77777777" w:rsidTr="00D23BDE">
        <w:tc>
          <w:tcPr>
            <w:tcW w:w="924" w:type="pct"/>
          </w:tcPr>
          <w:p w14:paraId="15F73D2C" w14:textId="77777777" w:rsidR="004A32F9" w:rsidRPr="00E554D7" w:rsidRDefault="004A32F9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Školení IK2, viz Příloha č. 1 Smlouvy, čl. 1.3, odst. 1.3.4 bod k)</w:t>
            </w:r>
          </w:p>
        </w:tc>
        <w:tc>
          <w:tcPr>
            <w:tcW w:w="2426" w:type="pct"/>
          </w:tcPr>
          <w:p w14:paraId="48F2731D" w14:textId="77777777" w:rsidR="004A32F9" w:rsidRPr="00E554D7" w:rsidRDefault="004A32F9" w:rsidP="00693EBD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Dodavatel provede zaškolení pracovníků VZP v testovacím prostředí ECM VZP podle odpovídajících rolích definovaných v Analytickém projektu minimálně:</w:t>
            </w:r>
          </w:p>
          <w:p w14:paraId="1836FDDF" w14:textId="77777777" w:rsidR="004A32F9" w:rsidRPr="00E554D7" w:rsidRDefault="004A32F9" w:rsidP="00D23BDE">
            <w:pPr>
              <w:numPr>
                <w:ilvl w:val="0"/>
                <w:numId w:val="6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Uživatelů</w:t>
            </w:r>
          </w:p>
          <w:p w14:paraId="10B621CA" w14:textId="77777777" w:rsidR="004A32F9" w:rsidRPr="00E554D7" w:rsidRDefault="004A32F9" w:rsidP="00D23BDE">
            <w:pPr>
              <w:numPr>
                <w:ilvl w:val="0"/>
                <w:numId w:val="6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Privilegovaných uživatelů konfigurujících systém</w:t>
            </w:r>
          </w:p>
          <w:p w14:paraId="363B0AB1" w14:textId="77777777" w:rsidR="004A32F9" w:rsidRPr="00E554D7" w:rsidRDefault="004A32F9" w:rsidP="00D23BDE">
            <w:pPr>
              <w:numPr>
                <w:ilvl w:val="0"/>
                <w:numId w:val="6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IT administrátorů</w:t>
            </w:r>
          </w:p>
        </w:tc>
        <w:tc>
          <w:tcPr>
            <w:tcW w:w="722" w:type="pct"/>
          </w:tcPr>
          <w:p w14:paraId="1215E6A5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6D3E0036" w14:textId="77777777" w:rsidR="004A32F9" w:rsidRPr="00B4028A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Dne 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13. 8. 2020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proběhlo školení pilotních 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aplikac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í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IK2</w:t>
            </w:r>
          </w:p>
          <w:p w14:paraId="7E9B0143" w14:textId="77777777" w:rsidR="004A32F9" w:rsidRPr="00B4028A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B8C6C0A" w14:textId="77777777" w:rsidR="004A32F9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Dne 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15. 1. 2020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proběhlo školení na modul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nonymizace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7519897B" w14:textId="77777777" w:rsidR="004A32F9" w:rsidRPr="00E554D7" w:rsidRDefault="004A32F9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BD03FAE" w14:textId="77777777" w:rsidR="001A3590" w:rsidRPr="00E554D7" w:rsidRDefault="001A3590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F446ED0" w14:textId="77777777" w:rsidR="004244FD" w:rsidRDefault="004244FD">
      <w:pPr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202A2E56" w14:textId="773BE170" w:rsidR="00E554D7" w:rsidRPr="00E554D7" w:rsidRDefault="00E554D7" w:rsidP="00E554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E554D7">
        <w:rPr>
          <w:rFonts w:asciiTheme="minorHAnsi" w:hAnsiTheme="minorHAnsi" w:cstheme="minorHAnsi"/>
          <w:sz w:val="22"/>
          <w:szCs w:val="22"/>
          <w:u w:val="single"/>
        </w:rPr>
        <w:lastRenderedPageBreak/>
        <w:t>Tabulka č. 5</w:t>
      </w:r>
    </w:p>
    <w:p w14:paraId="045A600B" w14:textId="36DB749B" w:rsidR="00980716" w:rsidRPr="00E554D7" w:rsidRDefault="00A66988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E554D7">
        <w:rPr>
          <w:rFonts w:asciiTheme="minorHAnsi" w:hAnsiTheme="minorHAnsi" w:cstheme="minorHAnsi"/>
          <w:b/>
          <w:sz w:val="26"/>
          <w:szCs w:val="26"/>
        </w:rPr>
        <w:t>Přehled</w:t>
      </w:r>
      <w:r w:rsidR="00C35F75" w:rsidRPr="00E554D7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C35F75" w:rsidRPr="00E554D7">
        <w:rPr>
          <w:rFonts w:asciiTheme="minorHAnsi" w:hAnsiTheme="minorHAnsi" w:cstheme="minorHAnsi"/>
          <w:b/>
          <w:sz w:val="26"/>
          <w:szCs w:val="26"/>
        </w:rPr>
        <w:t>HW</w:t>
      </w:r>
      <w:bookmarkEnd w:id="9"/>
    </w:p>
    <w:p w14:paraId="1A233B93" w14:textId="77777777" w:rsidR="00C35F75" w:rsidRPr="00E554D7" w:rsidRDefault="00C35F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9"/>
        <w:gridCol w:w="860"/>
        <w:gridCol w:w="652"/>
        <w:gridCol w:w="3403"/>
        <w:gridCol w:w="1136"/>
        <w:gridCol w:w="1984"/>
        <w:gridCol w:w="1844"/>
        <w:gridCol w:w="1559"/>
        <w:gridCol w:w="1237"/>
      </w:tblGrid>
      <w:tr w:rsidR="004A32F9" w:rsidRPr="00E554D7" w14:paraId="0A4CA32E" w14:textId="77777777" w:rsidTr="00D23BDE">
        <w:trPr>
          <w:cantSplit/>
          <w:trHeight w:val="20"/>
          <w:tblHeader/>
        </w:trPr>
        <w:tc>
          <w:tcPr>
            <w:tcW w:w="47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F684B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HW komponenta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0EDFF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726EE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Počet kusů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D4364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Popis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EF1F61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Dodáno ANO / NE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93B41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Maintenance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podpora zajištěna do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E6E6E6"/>
          </w:tcPr>
          <w:p w14:paraId="7070A6E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Maintenance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podpora uhrazena do 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BFCFE0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Celková cena 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9683D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Sériové číslo</w:t>
            </w:r>
          </w:p>
        </w:tc>
      </w:tr>
      <w:tr w:rsidR="004A32F9" w:rsidRPr="00E554D7" w14:paraId="5D8A4D00" w14:textId="77777777" w:rsidTr="00D23BDE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CC78B" w14:textId="77777777" w:rsidR="004A32F9" w:rsidRPr="0011551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Zařízení pro behaviorální analýzu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0034E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Trend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Micro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Deep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Discovery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Analyzer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072B78B8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2D2DB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Deep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Discovery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Analyzer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HW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14:paraId="321FF540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05BFD" w14:textId="1B00EF3D" w:rsidR="004A32F9" w:rsidRPr="00490CE0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0CE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90CE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90CE0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5B42F" w14:textId="650D624F" w:rsidR="004A32F9" w:rsidRPr="00490CE0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0CE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90CE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90CE0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14:paraId="4CFE1630" w14:textId="77777777" w:rsidR="004A32F9" w:rsidRPr="00966672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8 369 484 Kč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4AA6023C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D53BKP2</w:t>
            </w:r>
          </w:p>
          <w:p w14:paraId="5DB09215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D52DKP2</w:t>
            </w:r>
          </w:p>
          <w:p w14:paraId="59E12B1C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D528KP2</w:t>
            </w:r>
          </w:p>
          <w:p w14:paraId="2E3FB833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D53CKP2</w:t>
            </w:r>
          </w:p>
        </w:tc>
      </w:tr>
      <w:tr w:rsidR="004A32F9" w:rsidRPr="00E554D7" w14:paraId="678F81E2" w14:textId="77777777" w:rsidTr="00D23BDE">
        <w:trPr>
          <w:cantSplit/>
          <w:trHeight w:val="20"/>
        </w:trPr>
        <w:tc>
          <w:tcPr>
            <w:tcW w:w="471" w:type="pct"/>
            <w:shd w:val="clear" w:color="auto" w:fill="auto"/>
            <w:vAlign w:val="center"/>
          </w:tcPr>
          <w:p w14:paraId="1DB8D5FD" w14:textId="77777777" w:rsidR="004A32F9" w:rsidRPr="0011551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Úložiště dokumentů (IBM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Storage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6F60E58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IBM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Storwize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V5030</w:t>
            </w:r>
          </w:p>
        </w:tc>
        <w:tc>
          <w:tcPr>
            <w:tcW w:w="233" w:type="pct"/>
            <w:vAlign w:val="center"/>
          </w:tcPr>
          <w:p w14:paraId="3891321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53B7A51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Diskové pole</w:t>
            </w:r>
          </w:p>
        </w:tc>
        <w:tc>
          <w:tcPr>
            <w:tcW w:w="406" w:type="pct"/>
            <w:vAlign w:val="center"/>
          </w:tcPr>
          <w:p w14:paraId="45D046B9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vAlign w:val="center"/>
          </w:tcPr>
          <w:p w14:paraId="6236041E" w14:textId="7C2582D0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659" w:type="pct"/>
            <w:vAlign w:val="center"/>
          </w:tcPr>
          <w:p w14:paraId="4D48D5BA" w14:textId="3DA291BB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557" w:type="pct"/>
            <w:vAlign w:val="center"/>
          </w:tcPr>
          <w:p w14:paraId="7E3C30CF" w14:textId="77777777" w:rsidR="004A32F9" w:rsidRPr="00966672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11 433 840 Kč</w:t>
            </w:r>
          </w:p>
        </w:tc>
        <w:tc>
          <w:tcPr>
            <w:tcW w:w="443" w:type="pct"/>
            <w:vAlign w:val="center"/>
          </w:tcPr>
          <w:p w14:paraId="66297925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789CHH0</w:t>
            </w:r>
          </w:p>
          <w:p w14:paraId="60197BB2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789CC20</w:t>
            </w:r>
          </w:p>
          <w:p w14:paraId="4CAB5426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781EL99</w:t>
            </w:r>
          </w:p>
          <w:p w14:paraId="63C812A4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789CL50</w:t>
            </w:r>
          </w:p>
          <w:p w14:paraId="0D7FF972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789CKR0</w:t>
            </w:r>
          </w:p>
          <w:p w14:paraId="0191320E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781EM27</w:t>
            </w:r>
          </w:p>
          <w:p w14:paraId="3A39F9EF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789CEM0</w:t>
            </w:r>
          </w:p>
          <w:p w14:paraId="5D361E2A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789CGN0</w:t>
            </w:r>
          </w:p>
          <w:p w14:paraId="00301C7C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781EH42</w:t>
            </w:r>
          </w:p>
          <w:p w14:paraId="50C171C0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789CKP0</w:t>
            </w:r>
          </w:p>
          <w:p w14:paraId="2835AF24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781EM40</w:t>
            </w:r>
          </w:p>
          <w:p w14:paraId="2E8CB885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781EL73</w:t>
            </w:r>
          </w:p>
        </w:tc>
      </w:tr>
      <w:tr w:rsidR="004A32F9" w:rsidRPr="00E554D7" w14:paraId="6AE4F452" w14:textId="77777777" w:rsidTr="006B3C9D">
        <w:trPr>
          <w:cantSplit/>
          <w:trHeight w:val="20"/>
        </w:trPr>
        <w:tc>
          <w:tcPr>
            <w:tcW w:w="471" w:type="pct"/>
            <w:shd w:val="clear" w:color="auto" w:fill="auto"/>
            <w:vAlign w:val="center"/>
          </w:tcPr>
          <w:p w14:paraId="0776A474" w14:textId="77777777" w:rsidR="004A32F9" w:rsidRPr="0011551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HSM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nShield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Solo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Prod</w:t>
            </w:r>
            <w:proofErr w:type="spellEnd"/>
          </w:p>
        </w:tc>
        <w:tc>
          <w:tcPr>
            <w:tcW w:w="307" w:type="pct"/>
            <w:shd w:val="clear" w:color="auto" w:fill="auto"/>
            <w:vAlign w:val="center"/>
          </w:tcPr>
          <w:p w14:paraId="6D8FB873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Thales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nShield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500+ </w:t>
            </w: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NC4433E-500</w:t>
            </w:r>
          </w:p>
          <w:p w14:paraId="3DA40A7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5932464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8BF03D5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HSM modul ve formě PCI-Express karta, která poskytuje kryptografické služby jedné nebo více aplikacím na hostitelském serveru.</w:t>
            </w:r>
          </w:p>
        </w:tc>
        <w:tc>
          <w:tcPr>
            <w:tcW w:w="406" w:type="pct"/>
            <w:vAlign w:val="center"/>
          </w:tcPr>
          <w:p w14:paraId="5302EDC0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vAlign w:val="center"/>
          </w:tcPr>
          <w:p w14:paraId="3267C3D4" w14:textId="31DF581F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659" w:type="pct"/>
            <w:vAlign w:val="center"/>
          </w:tcPr>
          <w:p w14:paraId="51D07721" w14:textId="20E2CFB8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557" w:type="pct"/>
            <w:vAlign w:val="center"/>
          </w:tcPr>
          <w:p w14:paraId="45770208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3 645 276 Kč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A7E6E8B" w14:textId="77777777" w:rsidR="006B3C9D" w:rsidRPr="004D0D79" w:rsidRDefault="006B3C9D" w:rsidP="006B3C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D79">
              <w:rPr>
                <w:rFonts w:asciiTheme="minorHAnsi" w:hAnsiTheme="minorHAnsi" w:cstheme="minorHAnsi"/>
                <w:sz w:val="20"/>
                <w:szCs w:val="20"/>
              </w:rPr>
              <w:t>1M2BFV2</w:t>
            </w:r>
          </w:p>
          <w:p w14:paraId="6F63A0F6" w14:textId="77777777" w:rsidR="006B3C9D" w:rsidRPr="004D0D79" w:rsidRDefault="006B3C9D" w:rsidP="006B3C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D79">
              <w:rPr>
                <w:rFonts w:asciiTheme="minorHAnsi" w:hAnsiTheme="minorHAnsi" w:cstheme="minorHAnsi"/>
                <w:sz w:val="20"/>
                <w:szCs w:val="20"/>
              </w:rPr>
              <w:t>1M2CFV2</w:t>
            </w:r>
          </w:p>
          <w:p w14:paraId="0195CCF8" w14:textId="19AF1828" w:rsidR="004A32F9" w:rsidRPr="003B3E6A" w:rsidRDefault="006B3C9D" w:rsidP="003B3E6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D79">
              <w:rPr>
                <w:rFonts w:asciiTheme="minorHAnsi" w:hAnsiTheme="minorHAnsi" w:cstheme="minorHAnsi"/>
                <w:sz w:val="20"/>
                <w:szCs w:val="20"/>
              </w:rPr>
              <w:t>1M2FFV2</w:t>
            </w:r>
          </w:p>
        </w:tc>
      </w:tr>
      <w:tr w:rsidR="004A32F9" w:rsidRPr="00E554D7" w14:paraId="4211E49B" w14:textId="77777777" w:rsidTr="00D23BDE">
        <w:trPr>
          <w:cantSplit/>
          <w:trHeight w:val="20"/>
        </w:trPr>
        <w:tc>
          <w:tcPr>
            <w:tcW w:w="471" w:type="pct"/>
            <w:shd w:val="clear" w:color="auto" w:fill="auto"/>
            <w:vAlign w:val="center"/>
          </w:tcPr>
          <w:p w14:paraId="6C7DF0C3" w14:textId="77777777" w:rsidR="004A32F9" w:rsidRPr="0011551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HSM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nShield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Connect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Prod</w:t>
            </w:r>
            <w:proofErr w:type="spellEnd"/>
          </w:p>
        </w:tc>
        <w:tc>
          <w:tcPr>
            <w:tcW w:w="307" w:type="pct"/>
            <w:shd w:val="clear" w:color="auto" w:fill="auto"/>
            <w:vAlign w:val="center"/>
          </w:tcPr>
          <w:p w14:paraId="368A61B3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Thales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nShield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Connect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F3 500+</w:t>
            </w:r>
          </w:p>
        </w:tc>
        <w:tc>
          <w:tcPr>
            <w:tcW w:w="233" w:type="pct"/>
            <w:vAlign w:val="center"/>
          </w:tcPr>
          <w:p w14:paraId="75D2E96A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7517C19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HSM modul ve formě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appliance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, která přes definované rozhraní poskytuje kryptografické služby přistupujícím aplikacím.</w:t>
            </w:r>
          </w:p>
        </w:tc>
        <w:tc>
          <w:tcPr>
            <w:tcW w:w="406" w:type="pct"/>
            <w:vAlign w:val="center"/>
          </w:tcPr>
          <w:p w14:paraId="4C1296D6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vAlign w:val="center"/>
          </w:tcPr>
          <w:p w14:paraId="00315BB9" w14:textId="787DFF4E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659" w:type="pct"/>
            <w:vAlign w:val="center"/>
          </w:tcPr>
          <w:p w14:paraId="009882BB" w14:textId="2B1418CC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557" w:type="pct"/>
            <w:vAlign w:val="center"/>
          </w:tcPr>
          <w:p w14:paraId="75DBEE17" w14:textId="77777777" w:rsidR="004A32F9" w:rsidRPr="00966672" w:rsidRDefault="004A32F9" w:rsidP="00D23BDE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5 007 123 Kč</w:t>
            </w:r>
          </w:p>
        </w:tc>
        <w:tc>
          <w:tcPr>
            <w:tcW w:w="443" w:type="pct"/>
            <w:vAlign w:val="center"/>
          </w:tcPr>
          <w:p w14:paraId="1149CC60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36-NC7385A</w:t>
            </w:r>
          </w:p>
          <w:p w14:paraId="573239D8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36-NC7582A</w:t>
            </w:r>
          </w:p>
          <w:p w14:paraId="3CE1EB6F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36-NC7575A</w:t>
            </w:r>
          </w:p>
        </w:tc>
      </w:tr>
      <w:tr w:rsidR="004A32F9" w:rsidRPr="00E554D7" w14:paraId="26F68FC4" w14:textId="77777777" w:rsidTr="006B3C9D">
        <w:trPr>
          <w:cantSplit/>
          <w:trHeight w:val="20"/>
        </w:trPr>
        <w:tc>
          <w:tcPr>
            <w:tcW w:w="471" w:type="pct"/>
            <w:shd w:val="clear" w:color="auto" w:fill="auto"/>
            <w:vAlign w:val="center"/>
          </w:tcPr>
          <w:p w14:paraId="437BDBA2" w14:textId="77777777" w:rsidR="004A32F9" w:rsidRPr="0011551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HSM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nShield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Solo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Test</w:t>
            </w:r>
            <w:proofErr w:type="gramEnd"/>
          </w:p>
        </w:tc>
        <w:tc>
          <w:tcPr>
            <w:tcW w:w="307" w:type="pct"/>
            <w:shd w:val="clear" w:color="auto" w:fill="auto"/>
            <w:vAlign w:val="center"/>
          </w:tcPr>
          <w:p w14:paraId="01A5C114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Thales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nShield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500</w:t>
            </w:r>
            <w:proofErr w:type="gram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+  F</w:t>
            </w:r>
            <w:proofErr w:type="gram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4EECCCF8" w14:textId="63DB7D64" w:rsidR="004A32F9" w:rsidRPr="00E554D7" w:rsidRDefault="006B3C9D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D80227B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PCI-Express karta, která poskytuje kryptografické služby jedné nebo více aplikacím na hostitelském serveru.</w:t>
            </w:r>
          </w:p>
        </w:tc>
        <w:tc>
          <w:tcPr>
            <w:tcW w:w="406" w:type="pct"/>
            <w:vAlign w:val="center"/>
          </w:tcPr>
          <w:p w14:paraId="67B7AC90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vAlign w:val="center"/>
          </w:tcPr>
          <w:p w14:paraId="0C63EF1A" w14:textId="7D7551F2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659" w:type="pct"/>
            <w:vAlign w:val="center"/>
          </w:tcPr>
          <w:p w14:paraId="70D8634D" w14:textId="55FEDFFE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232F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557" w:type="pct"/>
            <w:vAlign w:val="center"/>
          </w:tcPr>
          <w:p w14:paraId="38667D48" w14:textId="77777777" w:rsidR="004A32F9" w:rsidRPr="002A066F" w:rsidRDefault="004A32F9" w:rsidP="00D23BDE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801 074 Kč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EE0F3D2" w14:textId="4C2383A1" w:rsidR="004A32F9" w:rsidRPr="002A066F" w:rsidRDefault="006B3C9D" w:rsidP="00D64A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D79">
              <w:rPr>
                <w:rFonts w:asciiTheme="minorHAnsi" w:hAnsiTheme="minorHAnsi" w:cstheme="minorHAnsi"/>
                <w:sz w:val="20"/>
                <w:szCs w:val="20"/>
              </w:rPr>
              <w:t>1M29FV2</w:t>
            </w:r>
          </w:p>
        </w:tc>
      </w:tr>
    </w:tbl>
    <w:p w14:paraId="159285B9" w14:textId="0329176F" w:rsidR="00DD2E50" w:rsidRDefault="00DD2E50">
      <w:pPr>
        <w:rPr>
          <w:rFonts w:asciiTheme="minorHAnsi" w:hAnsiTheme="minorHAnsi" w:cstheme="minorHAnsi"/>
          <w:sz w:val="20"/>
          <w:szCs w:val="20"/>
        </w:rPr>
      </w:pPr>
    </w:p>
    <w:p w14:paraId="47A84FC7" w14:textId="20522216" w:rsidR="00E554D7" w:rsidRPr="00617031" w:rsidRDefault="0005641B" w:rsidP="00A9437C">
      <w:pPr>
        <w:pStyle w:val="Paratext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617031">
        <w:rPr>
          <w:rFonts w:asciiTheme="minorHAnsi" w:hAnsiTheme="minorHAnsi" w:cstheme="minorHAnsi"/>
          <w:sz w:val="22"/>
          <w:szCs w:val="22"/>
          <w:u w:val="single"/>
        </w:rPr>
        <w:t xml:space="preserve">Tabulka č. </w:t>
      </w:r>
      <w:r w:rsidR="00B81DCD" w:rsidRPr="00617031">
        <w:rPr>
          <w:rFonts w:asciiTheme="minorHAnsi" w:hAnsiTheme="minorHAnsi" w:cstheme="minorHAnsi"/>
          <w:sz w:val="22"/>
          <w:szCs w:val="22"/>
          <w:u w:val="single"/>
        </w:rPr>
        <w:t>6</w:t>
      </w:r>
    </w:p>
    <w:p w14:paraId="11392943" w14:textId="1F095D30" w:rsidR="00117958" w:rsidRPr="00E554D7" w:rsidRDefault="0005641B" w:rsidP="00A9437C">
      <w:pPr>
        <w:pStyle w:val="Paratext"/>
        <w:ind w:left="0"/>
        <w:rPr>
          <w:rFonts w:asciiTheme="minorHAnsi" w:hAnsiTheme="minorHAnsi" w:cstheme="minorHAnsi"/>
          <w:b/>
          <w:sz w:val="26"/>
          <w:szCs w:val="26"/>
        </w:rPr>
      </w:pPr>
      <w:r w:rsidRPr="00E554D7">
        <w:rPr>
          <w:rFonts w:asciiTheme="minorHAnsi" w:hAnsiTheme="minorHAnsi" w:cstheme="minorHAnsi"/>
          <w:b/>
          <w:sz w:val="26"/>
          <w:szCs w:val="26"/>
        </w:rPr>
        <w:t>Přehled SW</w:t>
      </w:r>
    </w:p>
    <w:p w14:paraId="58F0A73C" w14:textId="77777777" w:rsidR="00117958" w:rsidRPr="00E554D7" w:rsidRDefault="00117958" w:rsidP="00A9437C">
      <w:pPr>
        <w:pStyle w:val="Paratext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0"/>
        <w:gridCol w:w="901"/>
        <w:gridCol w:w="871"/>
        <w:gridCol w:w="1408"/>
        <w:gridCol w:w="1441"/>
        <w:gridCol w:w="2127"/>
        <w:gridCol w:w="2127"/>
        <w:gridCol w:w="1984"/>
        <w:gridCol w:w="1805"/>
      </w:tblGrid>
      <w:tr w:rsidR="004A32F9" w:rsidRPr="00E554D7" w14:paraId="06DB0744" w14:textId="77777777" w:rsidTr="004A32F9">
        <w:trPr>
          <w:trHeight w:val="113"/>
        </w:trPr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2041CC71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SW modul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174CD1F0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Výrobce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791E913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Dodáno ANO / NE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24B5F18E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Licence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poskytnuty a uhrazeny do doby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730090C0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Maintenance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uhrazeny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77BE107B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Odkaz na dokument dodání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518B2CE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za licence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14:paraId="63467B3F" w14:textId="77777777" w:rsidR="004A32F9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za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maintenance</w:t>
            </w:r>
            <w:proofErr w:type="spellEnd"/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21F31E38" w14:textId="77777777" w:rsidR="004A32F9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Celková cena</w:t>
            </w:r>
          </w:p>
        </w:tc>
      </w:tr>
      <w:tr w:rsidR="004A32F9" w:rsidRPr="00E554D7" w14:paraId="3E7E4A2B" w14:textId="77777777" w:rsidTr="004A32F9">
        <w:trPr>
          <w:trHeight w:val="284"/>
        </w:trPr>
        <w:tc>
          <w:tcPr>
            <w:tcW w:w="475" w:type="pct"/>
            <w:vAlign w:val="center"/>
          </w:tcPr>
          <w:p w14:paraId="31310843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ICZ DESA</w:t>
            </w:r>
          </w:p>
        </w:tc>
        <w:tc>
          <w:tcPr>
            <w:tcW w:w="322" w:type="pct"/>
            <w:vAlign w:val="center"/>
          </w:tcPr>
          <w:p w14:paraId="4116D28C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ICZ a.s.</w:t>
            </w:r>
          </w:p>
        </w:tc>
        <w:tc>
          <w:tcPr>
            <w:tcW w:w="311" w:type="pct"/>
            <w:vAlign w:val="center"/>
          </w:tcPr>
          <w:p w14:paraId="23982764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vAlign w:val="center"/>
          </w:tcPr>
          <w:p w14:paraId="1F2BFBB3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B1C9C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vAlign w:val="center"/>
          </w:tcPr>
          <w:p w14:paraId="7563C9BB" w14:textId="162B6800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103F049F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5CA0FAA3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1 452 270 Kč</w:t>
            </w:r>
          </w:p>
        </w:tc>
        <w:tc>
          <w:tcPr>
            <w:tcW w:w="709" w:type="pct"/>
            <w:vAlign w:val="center"/>
          </w:tcPr>
          <w:p w14:paraId="26BC25DE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1 742 730 Kč</w:t>
            </w:r>
          </w:p>
        </w:tc>
        <w:tc>
          <w:tcPr>
            <w:tcW w:w="645" w:type="pct"/>
            <w:vAlign w:val="center"/>
          </w:tcPr>
          <w:p w14:paraId="1B0589A5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3 195 000 Kč</w:t>
            </w:r>
          </w:p>
        </w:tc>
      </w:tr>
      <w:tr w:rsidR="004A32F9" w:rsidRPr="00E554D7" w14:paraId="45F76113" w14:textId="77777777" w:rsidTr="004A32F9">
        <w:trPr>
          <w:trHeight w:val="284"/>
        </w:trPr>
        <w:tc>
          <w:tcPr>
            <w:tcW w:w="475" w:type="pct"/>
            <w:vAlign w:val="center"/>
          </w:tcPr>
          <w:p w14:paraId="0DF03B8D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Modul ICZ 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e-spis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®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komunikace s ISDS</w:t>
            </w:r>
          </w:p>
        </w:tc>
        <w:tc>
          <w:tcPr>
            <w:tcW w:w="322" w:type="pct"/>
            <w:vAlign w:val="center"/>
          </w:tcPr>
          <w:p w14:paraId="5429413A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ICZ a.s.</w:t>
            </w:r>
          </w:p>
        </w:tc>
        <w:tc>
          <w:tcPr>
            <w:tcW w:w="311" w:type="pct"/>
            <w:vAlign w:val="center"/>
          </w:tcPr>
          <w:p w14:paraId="4DB81FF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vAlign w:val="center"/>
          </w:tcPr>
          <w:p w14:paraId="2BAF3507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B1C9C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vAlign w:val="center"/>
          </w:tcPr>
          <w:p w14:paraId="7B920F67" w14:textId="5E21FDDE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2D65D5A9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36C275F5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364 770 Kč</w:t>
            </w:r>
          </w:p>
        </w:tc>
        <w:tc>
          <w:tcPr>
            <w:tcW w:w="709" w:type="pct"/>
            <w:vAlign w:val="center"/>
          </w:tcPr>
          <w:p w14:paraId="5D340F5E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437 730 Kč</w:t>
            </w:r>
          </w:p>
        </w:tc>
        <w:tc>
          <w:tcPr>
            <w:tcW w:w="645" w:type="pct"/>
            <w:vAlign w:val="center"/>
          </w:tcPr>
          <w:p w14:paraId="313E8169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802 500 Kč</w:t>
            </w:r>
          </w:p>
        </w:tc>
      </w:tr>
      <w:tr w:rsidR="004A32F9" w:rsidRPr="00E554D7" w14:paraId="0D828DEB" w14:textId="77777777" w:rsidTr="004A32F9">
        <w:trPr>
          <w:trHeight w:val="284"/>
        </w:trPr>
        <w:tc>
          <w:tcPr>
            <w:tcW w:w="475" w:type="pct"/>
            <w:vAlign w:val="center"/>
          </w:tcPr>
          <w:p w14:paraId="77FB1A9D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Modul ICZ 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e-spis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®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Podpisové služby</w:t>
            </w:r>
          </w:p>
        </w:tc>
        <w:tc>
          <w:tcPr>
            <w:tcW w:w="322" w:type="pct"/>
            <w:vAlign w:val="center"/>
          </w:tcPr>
          <w:p w14:paraId="7738FF4E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S.ICZ a.s.</w:t>
            </w:r>
          </w:p>
        </w:tc>
        <w:tc>
          <w:tcPr>
            <w:tcW w:w="311" w:type="pct"/>
            <w:vAlign w:val="center"/>
          </w:tcPr>
          <w:p w14:paraId="60A7405B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vAlign w:val="center"/>
          </w:tcPr>
          <w:p w14:paraId="0B5CC7FE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C69FD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vAlign w:val="center"/>
          </w:tcPr>
          <w:p w14:paraId="01710217" w14:textId="4AEC51F6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6769E347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6440FA1A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729 545 Kč</w:t>
            </w:r>
          </w:p>
        </w:tc>
        <w:tc>
          <w:tcPr>
            <w:tcW w:w="709" w:type="pct"/>
            <w:vAlign w:val="center"/>
          </w:tcPr>
          <w:p w14:paraId="2BC79E8C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875 455 Kč</w:t>
            </w:r>
          </w:p>
        </w:tc>
        <w:tc>
          <w:tcPr>
            <w:tcW w:w="645" w:type="pct"/>
            <w:vAlign w:val="center"/>
          </w:tcPr>
          <w:p w14:paraId="241A384D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1 605 000 Kč</w:t>
            </w:r>
          </w:p>
          <w:p w14:paraId="1CEEBAD7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2F9" w:rsidRPr="00E554D7" w14:paraId="3F17780D" w14:textId="77777777" w:rsidTr="004A32F9">
        <w:trPr>
          <w:trHeight w:val="284"/>
        </w:trPr>
        <w:tc>
          <w:tcPr>
            <w:tcW w:w="475" w:type="pct"/>
            <w:vAlign w:val="center"/>
          </w:tcPr>
          <w:p w14:paraId="648B329B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Aplikace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Anonymizace</w:t>
            </w:r>
            <w:proofErr w:type="spellEnd"/>
          </w:p>
        </w:tc>
        <w:tc>
          <w:tcPr>
            <w:tcW w:w="322" w:type="pct"/>
            <w:vAlign w:val="center"/>
          </w:tcPr>
          <w:p w14:paraId="4B21540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ATBON</w:t>
            </w:r>
          </w:p>
        </w:tc>
        <w:tc>
          <w:tcPr>
            <w:tcW w:w="311" w:type="pct"/>
            <w:vAlign w:val="center"/>
          </w:tcPr>
          <w:p w14:paraId="58A163B6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27B2EC9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579">
              <w:rPr>
                <w:rFonts w:asciiTheme="minorHAnsi" w:hAnsiTheme="minorHAnsi" w:cstheme="minorHAnsi"/>
                <w:sz w:val="20"/>
                <w:szCs w:val="20"/>
              </w:rPr>
              <w:t>Trvání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ABE9D8E" w14:textId="60530A18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4DAEFD78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4D3EB6DD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1 927 680 Kč</w:t>
            </w:r>
          </w:p>
        </w:tc>
        <w:tc>
          <w:tcPr>
            <w:tcW w:w="709" w:type="pct"/>
            <w:vAlign w:val="center"/>
          </w:tcPr>
          <w:p w14:paraId="79FA270E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1 213 218 Kč</w:t>
            </w:r>
          </w:p>
        </w:tc>
        <w:tc>
          <w:tcPr>
            <w:tcW w:w="645" w:type="pct"/>
            <w:vAlign w:val="center"/>
          </w:tcPr>
          <w:p w14:paraId="0CB93E13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3 140 898 Kč</w:t>
            </w:r>
          </w:p>
          <w:p w14:paraId="398F074A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32F9" w:rsidRPr="00E554D7" w14:paraId="5A1A33FF" w14:textId="77777777" w:rsidTr="004A32F9">
        <w:trPr>
          <w:trHeight w:val="284"/>
        </w:trPr>
        <w:tc>
          <w:tcPr>
            <w:tcW w:w="475" w:type="pct"/>
            <w:vAlign w:val="center"/>
          </w:tcPr>
          <w:p w14:paraId="02656038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IBM Digital Business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Automation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322" w:type="pct"/>
            <w:vAlign w:val="center"/>
          </w:tcPr>
          <w:p w14:paraId="0629017D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IBM</w:t>
            </w:r>
          </w:p>
        </w:tc>
        <w:tc>
          <w:tcPr>
            <w:tcW w:w="311" w:type="pct"/>
            <w:vAlign w:val="center"/>
          </w:tcPr>
          <w:p w14:paraId="6E2AD447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1E9DA4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579">
              <w:rPr>
                <w:rFonts w:asciiTheme="minorHAnsi" w:hAnsiTheme="minorHAnsi" w:cstheme="minorHAnsi"/>
                <w:sz w:val="20"/>
                <w:szCs w:val="20"/>
              </w:rPr>
              <w:t>Trvání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3D92A938" w14:textId="2A83A76A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3E72A0EF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4E94D7A0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11 368 400 Kč</w:t>
            </w:r>
          </w:p>
        </w:tc>
        <w:tc>
          <w:tcPr>
            <w:tcW w:w="709" w:type="pct"/>
            <w:vAlign w:val="center"/>
          </w:tcPr>
          <w:p w14:paraId="3F20F70F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13 642 080 Kč</w:t>
            </w:r>
          </w:p>
        </w:tc>
        <w:tc>
          <w:tcPr>
            <w:tcW w:w="645" w:type="pct"/>
            <w:vAlign w:val="center"/>
          </w:tcPr>
          <w:p w14:paraId="6EB2BD6F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25 010 480 Kč</w:t>
            </w:r>
          </w:p>
        </w:tc>
      </w:tr>
      <w:tr w:rsidR="004A32F9" w:rsidRPr="00E554D7" w14:paraId="153CF31A" w14:textId="77777777" w:rsidTr="004A32F9">
        <w:trPr>
          <w:trHeight w:val="284"/>
        </w:trPr>
        <w:tc>
          <w:tcPr>
            <w:tcW w:w="475" w:type="pct"/>
            <w:vAlign w:val="center"/>
          </w:tcPr>
          <w:p w14:paraId="3A49B466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IBM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App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Connect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Enterprise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322" w:type="pct"/>
            <w:vAlign w:val="center"/>
          </w:tcPr>
          <w:p w14:paraId="389A8313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IBM</w:t>
            </w:r>
          </w:p>
        </w:tc>
        <w:tc>
          <w:tcPr>
            <w:tcW w:w="311" w:type="pct"/>
            <w:vAlign w:val="center"/>
          </w:tcPr>
          <w:p w14:paraId="1AA33776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02936F41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579">
              <w:rPr>
                <w:rFonts w:asciiTheme="minorHAnsi" w:hAnsiTheme="minorHAnsi" w:cstheme="minorHAnsi"/>
                <w:sz w:val="20"/>
                <w:szCs w:val="20"/>
              </w:rPr>
              <w:t>Trvání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D1FCBBB" w14:textId="7BEF56E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77D7AAD6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27C1C5DC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3 836 135 Kč</w:t>
            </w:r>
          </w:p>
        </w:tc>
        <w:tc>
          <w:tcPr>
            <w:tcW w:w="709" w:type="pct"/>
            <w:vAlign w:val="center"/>
          </w:tcPr>
          <w:p w14:paraId="4FD054F9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4 603 362 Kč</w:t>
            </w:r>
          </w:p>
        </w:tc>
        <w:tc>
          <w:tcPr>
            <w:tcW w:w="645" w:type="pct"/>
            <w:vAlign w:val="center"/>
          </w:tcPr>
          <w:p w14:paraId="0658BC50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8 439 497 Kč</w:t>
            </w:r>
          </w:p>
        </w:tc>
      </w:tr>
      <w:tr w:rsidR="004A32F9" w:rsidRPr="00E554D7" w14:paraId="43080EAA" w14:textId="77777777" w:rsidTr="004A32F9">
        <w:trPr>
          <w:trHeight w:val="284"/>
        </w:trPr>
        <w:tc>
          <w:tcPr>
            <w:tcW w:w="475" w:type="pct"/>
            <w:vAlign w:val="center"/>
          </w:tcPr>
          <w:p w14:paraId="5E46DC19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IBM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Collector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for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File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Systems</w:t>
            </w:r>
          </w:p>
        </w:tc>
        <w:tc>
          <w:tcPr>
            <w:tcW w:w="322" w:type="pct"/>
            <w:vAlign w:val="center"/>
          </w:tcPr>
          <w:p w14:paraId="5F769900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IBM</w:t>
            </w:r>
          </w:p>
        </w:tc>
        <w:tc>
          <w:tcPr>
            <w:tcW w:w="311" w:type="pct"/>
            <w:vAlign w:val="center"/>
          </w:tcPr>
          <w:p w14:paraId="63D880BF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03D000DF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579">
              <w:rPr>
                <w:rFonts w:asciiTheme="minorHAnsi" w:hAnsiTheme="minorHAnsi" w:cstheme="minorHAnsi"/>
                <w:sz w:val="20"/>
                <w:szCs w:val="20"/>
              </w:rPr>
              <w:t>Trvání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DBE2A8D" w14:textId="34AE0BE0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63733E42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57285E6A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392 010 Kč</w:t>
            </w:r>
          </w:p>
        </w:tc>
        <w:tc>
          <w:tcPr>
            <w:tcW w:w="709" w:type="pct"/>
            <w:vAlign w:val="center"/>
          </w:tcPr>
          <w:p w14:paraId="42BAECB0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470 420 Kč</w:t>
            </w:r>
          </w:p>
        </w:tc>
        <w:tc>
          <w:tcPr>
            <w:tcW w:w="645" w:type="pct"/>
            <w:vAlign w:val="center"/>
          </w:tcPr>
          <w:p w14:paraId="1816F029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862 430 Kč</w:t>
            </w:r>
          </w:p>
        </w:tc>
      </w:tr>
      <w:tr w:rsidR="004A32F9" w:rsidRPr="00E554D7" w14:paraId="39221B51" w14:textId="77777777" w:rsidTr="004A32F9">
        <w:trPr>
          <w:trHeight w:val="284"/>
        </w:trPr>
        <w:tc>
          <w:tcPr>
            <w:tcW w:w="475" w:type="pct"/>
            <w:vAlign w:val="center"/>
          </w:tcPr>
          <w:p w14:paraId="27276B52" w14:textId="77777777" w:rsidR="004A32F9" w:rsidRPr="00E554D7" w:rsidRDefault="004A32F9" w:rsidP="00D23BD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Content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Mapper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for</w:t>
            </w:r>
            <w:proofErr w:type="spellEnd"/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MS Word</w:t>
            </w:r>
          </w:p>
        </w:tc>
        <w:tc>
          <w:tcPr>
            <w:tcW w:w="322" w:type="pct"/>
            <w:vAlign w:val="center"/>
          </w:tcPr>
          <w:p w14:paraId="2E4D0148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Simply</w:t>
            </w:r>
            <w:proofErr w:type="spellEnd"/>
            <w:r w:rsidRPr="00E554D7">
              <w:rPr>
                <w:rFonts w:asciiTheme="minorHAnsi" w:hAnsiTheme="minorHAnsi" w:cstheme="minorHAnsi"/>
                <w:sz w:val="20"/>
                <w:szCs w:val="20"/>
              </w:rPr>
              <w:t xml:space="preserve"> XML</w:t>
            </w:r>
          </w:p>
        </w:tc>
        <w:tc>
          <w:tcPr>
            <w:tcW w:w="311" w:type="pct"/>
            <w:vAlign w:val="center"/>
          </w:tcPr>
          <w:p w14:paraId="5B36EE7D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5680840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C69FD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3116D18" w14:textId="1B1CE66C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003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2E931680" w14:textId="77777777" w:rsidR="004A32F9" w:rsidRPr="00E554D7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5BD2EBBD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1 680 060 Kč</w:t>
            </w:r>
          </w:p>
        </w:tc>
        <w:tc>
          <w:tcPr>
            <w:tcW w:w="709" w:type="pct"/>
            <w:vAlign w:val="center"/>
          </w:tcPr>
          <w:p w14:paraId="45AA9730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2 016 070 Kč</w:t>
            </w:r>
          </w:p>
        </w:tc>
        <w:tc>
          <w:tcPr>
            <w:tcW w:w="645" w:type="pct"/>
            <w:vAlign w:val="center"/>
          </w:tcPr>
          <w:p w14:paraId="3C76EAFF" w14:textId="77777777" w:rsidR="004A32F9" w:rsidRPr="002A066F" w:rsidRDefault="004A32F9" w:rsidP="00D23BD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3 696 130 Kč</w:t>
            </w:r>
          </w:p>
        </w:tc>
      </w:tr>
    </w:tbl>
    <w:p w14:paraId="3D63F031" w14:textId="77777777" w:rsidR="00117958" w:rsidRPr="00E554D7" w:rsidRDefault="00117958" w:rsidP="00A9437C">
      <w:pPr>
        <w:pStyle w:val="Paratext"/>
        <w:ind w:left="0"/>
        <w:rPr>
          <w:rFonts w:asciiTheme="minorHAnsi" w:hAnsiTheme="minorHAnsi" w:cstheme="minorHAnsi"/>
          <w:sz w:val="20"/>
          <w:szCs w:val="20"/>
        </w:rPr>
      </w:pPr>
    </w:p>
    <w:p w14:paraId="3DD62572" w14:textId="257BEA6D" w:rsidR="00D85D80" w:rsidRDefault="00D85D80" w:rsidP="00A9437C">
      <w:pPr>
        <w:pStyle w:val="Paratext"/>
        <w:ind w:left="0"/>
        <w:rPr>
          <w:rFonts w:asciiTheme="minorHAnsi" w:hAnsiTheme="minorHAnsi" w:cstheme="minorHAnsi"/>
          <w:sz w:val="20"/>
          <w:szCs w:val="20"/>
        </w:rPr>
      </w:pPr>
    </w:p>
    <w:p w14:paraId="1AF0CCF2" w14:textId="55E27A6F" w:rsidR="00393969" w:rsidRPr="00617031" w:rsidRDefault="00393969" w:rsidP="004244FD">
      <w:pPr>
        <w:spacing w:before="0" w:after="160" w:line="259" w:lineRule="auto"/>
        <w:jc w:val="left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17031">
        <w:rPr>
          <w:rFonts w:asciiTheme="minorHAnsi" w:hAnsiTheme="minorHAnsi" w:cstheme="minorHAnsi"/>
          <w:sz w:val="22"/>
          <w:szCs w:val="22"/>
          <w:u w:val="single"/>
        </w:rPr>
        <w:t>Tabulka č. 7</w:t>
      </w:r>
    </w:p>
    <w:p w14:paraId="1DDD2A2C" w14:textId="0810373B" w:rsidR="00393969" w:rsidRDefault="00393969" w:rsidP="00A9437C">
      <w:pPr>
        <w:pStyle w:val="Paratext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6"/>
          <w:szCs w:val="26"/>
        </w:rPr>
        <w:t>Přehled poskytnutých (subskripcí)</w:t>
      </w:r>
    </w:p>
    <w:p w14:paraId="5FE1EE6A" w14:textId="77777777" w:rsidR="00393969" w:rsidRDefault="00393969" w:rsidP="00A9437C">
      <w:pPr>
        <w:pStyle w:val="Paratext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2466" w:type="dxa"/>
        <w:tblLook w:val="04A0" w:firstRow="1" w:lastRow="0" w:firstColumn="1" w:lastColumn="0" w:noHBand="0" w:noVBand="1"/>
      </w:tblPr>
      <w:tblGrid>
        <w:gridCol w:w="3283"/>
        <w:gridCol w:w="3230"/>
        <w:gridCol w:w="1276"/>
        <w:gridCol w:w="2409"/>
        <w:gridCol w:w="2268"/>
      </w:tblGrid>
      <w:tr w:rsidR="00FD4894" w14:paraId="0F6B5032" w14:textId="77777777" w:rsidTr="00797572">
        <w:trPr>
          <w:trHeight w:val="442"/>
        </w:trPr>
        <w:tc>
          <w:tcPr>
            <w:tcW w:w="3283" w:type="dxa"/>
          </w:tcPr>
          <w:p w14:paraId="020ABD5E" w14:textId="77777777" w:rsidR="00FD4894" w:rsidRPr="00E3170C" w:rsidRDefault="00FD4894" w:rsidP="00745498">
            <w:pPr>
              <w:jc w:val="center"/>
              <w:rPr>
                <w:b/>
              </w:rPr>
            </w:pPr>
            <w:r w:rsidRPr="00E3170C">
              <w:rPr>
                <w:b/>
              </w:rPr>
              <w:t>Licence</w:t>
            </w:r>
          </w:p>
        </w:tc>
        <w:tc>
          <w:tcPr>
            <w:tcW w:w="3230" w:type="dxa"/>
          </w:tcPr>
          <w:p w14:paraId="710F6A3B" w14:textId="77777777" w:rsidR="00FD4894" w:rsidRPr="00E3170C" w:rsidRDefault="00FD4894" w:rsidP="00745498">
            <w:pPr>
              <w:jc w:val="center"/>
              <w:rPr>
                <w:b/>
              </w:rPr>
            </w:pPr>
            <w:r w:rsidRPr="00E3170C">
              <w:rPr>
                <w:b/>
              </w:rPr>
              <w:t>Stav</w:t>
            </w:r>
          </w:p>
        </w:tc>
        <w:tc>
          <w:tcPr>
            <w:tcW w:w="1276" w:type="dxa"/>
          </w:tcPr>
          <w:p w14:paraId="776B4448" w14:textId="77777777" w:rsidR="00FD4894" w:rsidRPr="00E3170C" w:rsidRDefault="00FD4894" w:rsidP="00745498">
            <w:pPr>
              <w:jc w:val="center"/>
              <w:rPr>
                <w:b/>
              </w:rPr>
            </w:pPr>
            <w:r w:rsidRPr="00E3170C">
              <w:rPr>
                <w:b/>
              </w:rPr>
              <w:t>Množství</w:t>
            </w:r>
          </w:p>
        </w:tc>
        <w:tc>
          <w:tcPr>
            <w:tcW w:w="2409" w:type="dxa"/>
          </w:tcPr>
          <w:p w14:paraId="69276FD2" w14:textId="77777777" w:rsidR="00FD4894" w:rsidRPr="00E3170C" w:rsidRDefault="00FD4894" w:rsidP="00745498">
            <w:pPr>
              <w:jc w:val="center"/>
              <w:rPr>
                <w:b/>
              </w:rPr>
            </w:pPr>
            <w:r w:rsidRPr="00E3170C">
              <w:rPr>
                <w:b/>
              </w:rPr>
              <w:t>Platná od</w:t>
            </w:r>
          </w:p>
        </w:tc>
        <w:tc>
          <w:tcPr>
            <w:tcW w:w="2268" w:type="dxa"/>
          </w:tcPr>
          <w:p w14:paraId="28F9BA42" w14:textId="77777777" w:rsidR="00FD4894" w:rsidRPr="00E3170C" w:rsidRDefault="00FD4894" w:rsidP="00745498">
            <w:pPr>
              <w:jc w:val="center"/>
              <w:rPr>
                <w:b/>
              </w:rPr>
            </w:pPr>
            <w:r w:rsidRPr="00E3170C">
              <w:rPr>
                <w:b/>
              </w:rPr>
              <w:t>Platná do</w:t>
            </w:r>
          </w:p>
        </w:tc>
      </w:tr>
      <w:tr w:rsidR="00FD4894" w:rsidRPr="00E3170C" w14:paraId="376ACE52" w14:textId="77777777" w:rsidTr="00797572">
        <w:trPr>
          <w:trHeight w:val="221"/>
        </w:trPr>
        <w:tc>
          <w:tcPr>
            <w:tcW w:w="3283" w:type="dxa"/>
          </w:tcPr>
          <w:p w14:paraId="22F035F4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Red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Hat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JBoss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Enterprise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Application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Platform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, 4-Core Standard</w:t>
            </w:r>
          </w:p>
        </w:tc>
        <w:tc>
          <w:tcPr>
            <w:tcW w:w="3230" w:type="dxa"/>
            <w:vAlign w:val="center"/>
          </w:tcPr>
          <w:p w14:paraId="7452966C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Budoucí licence (</w:t>
            </w:r>
            <w:proofErr w:type="spellStart"/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proofErr w:type="spellEnd"/>
            <w:r w:rsidRPr="001155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dated</w:t>
            </w:r>
            <w:proofErr w:type="spellEnd"/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F61A3B3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7FD1C43E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31. 5. 2021</w:t>
            </w:r>
          </w:p>
        </w:tc>
        <w:tc>
          <w:tcPr>
            <w:tcW w:w="2268" w:type="dxa"/>
            <w:vAlign w:val="center"/>
          </w:tcPr>
          <w:p w14:paraId="2D6283E6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29. 11. 2024</w:t>
            </w:r>
          </w:p>
        </w:tc>
      </w:tr>
      <w:tr w:rsidR="00FD4894" w:rsidRPr="00E3170C" w14:paraId="5A59945B" w14:textId="77777777" w:rsidTr="00797572">
        <w:trPr>
          <w:trHeight w:val="213"/>
        </w:trPr>
        <w:tc>
          <w:tcPr>
            <w:tcW w:w="3283" w:type="dxa"/>
          </w:tcPr>
          <w:p w14:paraId="1779E95F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Red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Hat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Enterprise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Linux Server, Standard (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Physical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Virtual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Nodes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230" w:type="dxa"/>
            <w:vAlign w:val="center"/>
          </w:tcPr>
          <w:p w14:paraId="3AFAA339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6" w:type="dxa"/>
            <w:vAlign w:val="center"/>
          </w:tcPr>
          <w:p w14:paraId="3C54A703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14:paraId="1697E7BF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1. 4. 2019</w:t>
            </w:r>
          </w:p>
        </w:tc>
        <w:tc>
          <w:tcPr>
            <w:tcW w:w="2268" w:type="dxa"/>
            <w:vAlign w:val="center"/>
          </w:tcPr>
          <w:p w14:paraId="5CA25311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31. 3. 2024</w:t>
            </w:r>
          </w:p>
        </w:tc>
      </w:tr>
      <w:tr w:rsidR="00FD4894" w:rsidRPr="00E3170C" w14:paraId="522A9CC6" w14:textId="77777777" w:rsidTr="00797572">
        <w:trPr>
          <w:trHeight w:val="221"/>
        </w:trPr>
        <w:tc>
          <w:tcPr>
            <w:tcW w:w="3283" w:type="dxa"/>
          </w:tcPr>
          <w:p w14:paraId="399D5774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Red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Hat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JBoss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Enterprise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Application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Platform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, 4-Core Standard</w:t>
            </w:r>
          </w:p>
        </w:tc>
        <w:tc>
          <w:tcPr>
            <w:tcW w:w="3230" w:type="dxa"/>
            <w:vAlign w:val="center"/>
          </w:tcPr>
          <w:p w14:paraId="6430C24C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6" w:type="dxa"/>
            <w:vAlign w:val="center"/>
          </w:tcPr>
          <w:p w14:paraId="3D9AD08D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773F7D1F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31. 5. 2020</w:t>
            </w:r>
          </w:p>
        </w:tc>
        <w:tc>
          <w:tcPr>
            <w:tcW w:w="2268" w:type="dxa"/>
            <w:vAlign w:val="center"/>
          </w:tcPr>
          <w:p w14:paraId="59B00E8A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29. 11. 2023</w:t>
            </w:r>
          </w:p>
        </w:tc>
      </w:tr>
      <w:tr w:rsidR="00FD4894" w:rsidRPr="00E3170C" w14:paraId="1F67C318" w14:textId="77777777" w:rsidTr="00797572">
        <w:trPr>
          <w:trHeight w:val="221"/>
        </w:trPr>
        <w:tc>
          <w:tcPr>
            <w:tcW w:w="3283" w:type="dxa"/>
          </w:tcPr>
          <w:p w14:paraId="47CD2D33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Red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Hat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JBoss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Enterprise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Application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Platform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, 4-Core Standard</w:t>
            </w:r>
          </w:p>
        </w:tc>
        <w:tc>
          <w:tcPr>
            <w:tcW w:w="3230" w:type="dxa"/>
            <w:vAlign w:val="center"/>
          </w:tcPr>
          <w:p w14:paraId="254BCC21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Budoucí licence (</w:t>
            </w:r>
            <w:proofErr w:type="spellStart"/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proofErr w:type="spellEnd"/>
            <w:r w:rsidRPr="001155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dated</w:t>
            </w:r>
            <w:proofErr w:type="spellEnd"/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7E2D638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04410015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31. 5. 2021</w:t>
            </w:r>
          </w:p>
        </w:tc>
        <w:tc>
          <w:tcPr>
            <w:tcW w:w="2268" w:type="dxa"/>
            <w:vAlign w:val="center"/>
          </w:tcPr>
          <w:p w14:paraId="4CACE205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29. 11. 2023</w:t>
            </w:r>
          </w:p>
        </w:tc>
      </w:tr>
      <w:tr w:rsidR="00FD4894" w:rsidRPr="00E3170C" w14:paraId="3FE6B378" w14:textId="77777777" w:rsidTr="00797572">
        <w:trPr>
          <w:trHeight w:val="221"/>
        </w:trPr>
        <w:tc>
          <w:tcPr>
            <w:tcW w:w="3283" w:type="dxa"/>
          </w:tcPr>
          <w:p w14:paraId="6AB42B0F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High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Availability</w:t>
            </w:r>
            <w:proofErr w:type="spellEnd"/>
          </w:p>
        </w:tc>
        <w:tc>
          <w:tcPr>
            <w:tcW w:w="3230" w:type="dxa"/>
            <w:vAlign w:val="center"/>
          </w:tcPr>
          <w:p w14:paraId="1CE4D942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6" w:type="dxa"/>
            <w:vAlign w:val="center"/>
          </w:tcPr>
          <w:p w14:paraId="126F87A8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BB3E0DE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15. 5. 2020</w:t>
            </w:r>
          </w:p>
        </w:tc>
        <w:tc>
          <w:tcPr>
            <w:tcW w:w="2268" w:type="dxa"/>
            <w:vAlign w:val="center"/>
          </w:tcPr>
          <w:p w14:paraId="1EC67E44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14. 5. 2023</w:t>
            </w:r>
          </w:p>
        </w:tc>
      </w:tr>
      <w:tr w:rsidR="00FD4894" w:rsidRPr="00E3170C" w14:paraId="03921A0B" w14:textId="77777777" w:rsidTr="00797572">
        <w:trPr>
          <w:trHeight w:val="221"/>
        </w:trPr>
        <w:tc>
          <w:tcPr>
            <w:tcW w:w="3283" w:type="dxa"/>
          </w:tcPr>
          <w:p w14:paraId="107FE859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licence na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JBoss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aplikace Q-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Integra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anonymizace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) – testovací prostředí</w:t>
            </w:r>
          </w:p>
        </w:tc>
        <w:tc>
          <w:tcPr>
            <w:tcW w:w="3230" w:type="dxa"/>
            <w:vAlign w:val="center"/>
          </w:tcPr>
          <w:p w14:paraId="16016B70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6" w:type="dxa"/>
            <w:vAlign w:val="center"/>
          </w:tcPr>
          <w:p w14:paraId="4F8357A4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7CC61201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24. 9. 2020</w:t>
            </w:r>
          </w:p>
        </w:tc>
        <w:tc>
          <w:tcPr>
            <w:tcW w:w="2268" w:type="dxa"/>
            <w:vAlign w:val="center"/>
          </w:tcPr>
          <w:p w14:paraId="55ADB1FD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31. 12. 2020</w:t>
            </w:r>
          </w:p>
        </w:tc>
      </w:tr>
      <w:tr w:rsidR="00FD4894" w:rsidRPr="00E3170C" w14:paraId="04829E19" w14:textId="77777777" w:rsidTr="00797572">
        <w:trPr>
          <w:trHeight w:val="221"/>
        </w:trPr>
        <w:tc>
          <w:tcPr>
            <w:tcW w:w="3283" w:type="dxa"/>
          </w:tcPr>
          <w:p w14:paraId="16FDD763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licence na 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JBoss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aplikace Q-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Integra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anony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zace</w:t>
            </w:r>
            <w:proofErr w:type="spellEnd"/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) – produkční prostředí</w:t>
            </w:r>
          </w:p>
        </w:tc>
        <w:tc>
          <w:tcPr>
            <w:tcW w:w="3230" w:type="dxa"/>
            <w:vAlign w:val="center"/>
          </w:tcPr>
          <w:p w14:paraId="233CBE11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6" w:type="dxa"/>
            <w:vAlign w:val="center"/>
          </w:tcPr>
          <w:p w14:paraId="6C54687E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7D398D33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24. 7. 2020</w:t>
            </w:r>
          </w:p>
        </w:tc>
        <w:tc>
          <w:tcPr>
            <w:tcW w:w="2268" w:type="dxa"/>
            <w:vAlign w:val="center"/>
          </w:tcPr>
          <w:p w14:paraId="23EADF3B" w14:textId="77777777" w:rsidR="00FD4894" w:rsidRPr="00115517" w:rsidRDefault="00FD4894" w:rsidP="00745498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31. 10. 2020</w:t>
            </w:r>
          </w:p>
        </w:tc>
      </w:tr>
    </w:tbl>
    <w:p w14:paraId="3FAD9A71" w14:textId="77777777" w:rsidR="00FD4894" w:rsidRPr="00E554D7" w:rsidRDefault="00FD4894" w:rsidP="00A9437C">
      <w:pPr>
        <w:pStyle w:val="Paratext"/>
        <w:ind w:left="0"/>
        <w:rPr>
          <w:rFonts w:asciiTheme="minorHAnsi" w:hAnsiTheme="minorHAnsi" w:cstheme="minorHAnsi"/>
          <w:sz w:val="20"/>
          <w:szCs w:val="20"/>
        </w:rPr>
      </w:pPr>
    </w:p>
    <w:p w14:paraId="31ABD8BF" w14:textId="28A6F44D" w:rsidR="00113D06" w:rsidRDefault="00113D06" w:rsidP="00194EE1">
      <w:pPr>
        <w:pStyle w:val="Paratext"/>
        <w:spacing w:after="120"/>
        <w:rPr>
          <w:rFonts w:asciiTheme="minorHAnsi" w:hAnsiTheme="minorHAnsi" w:cstheme="minorHAnsi"/>
          <w:sz w:val="20"/>
          <w:szCs w:val="20"/>
        </w:rPr>
      </w:pPr>
    </w:p>
    <w:p w14:paraId="5A1D33E4" w14:textId="77777777" w:rsidR="00194EE1" w:rsidRPr="00E554D7" w:rsidRDefault="00194EE1" w:rsidP="00194EE1">
      <w:pPr>
        <w:spacing w:before="0" w:after="200" w:line="280" w:lineRule="atLeast"/>
        <w:ind w:left="360"/>
        <w:jc w:val="left"/>
        <w:rPr>
          <w:rFonts w:asciiTheme="minorHAnsi" w:hAnsiTheme="minorHAnsi" w:cstheme="minorHAnsi"/>
          <w:sz w:val="20"/>
          <w:szCs w:val="20"/>
        </w:rPr>
      </w:pPr>
    </w:p>
    <w:p w14:paraId="2D5C9230" w14:textId="1BFDC923" w:rsidR="00027CE6" w:rsidRDefault="00027CE6">
      <w:pPr>
        <w:rPr>
          <w:rFonts w:asciiTheme="minorHAnsi" w:hAnsiTheme="minorHAnsi" w:cstheme="minorHAnsi"/>
          <w:sz w:val="20"/>
          <w:szCs w:val="20"/>
        </w:rPr>
      </w:pPr>
    </w:p>
    <w:p w14:paraId="721A02E0" w14:textId="77777777" w:rsidR="00B81DCD" w:rsidRDefault="00B81DCD">
      <w:pPr>
        <w:rPr>
          <w:rFonts w:asciiTheme="minorHAnsi" w:hAnsiTheme="minorHAnsi" w:cstheme="minorHAnsi"/>
          <w:sz w:val="20"/>
          <w:szCs w:val="20"/>
        </w:rPr>
      </w:pPr>
    </w:p>
    <w:sectPr w:rsidR="00B81DCD" w:rsidSect="005E4FB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24A1" w14:textId="77777777" w:rsidR="00517EA5" w:rsidRDefault="00517EA5" w:rsidP="00194EE1">
      <w:pPr>
        <w:spacing w:before="0" w:line="240" w:lineRule="auto"/>
      </w:pPr>
      <w:r>
        <w:separator/>
      </w:r>
    </w:p>
  </w:endnote>
  <w:endnote w:type="continuationSeparator" w:id="0">
    <w:p w14:paraId="373B632D" w14:textId="77777777" w:rsidR="00517EA5" w:rsidRDefault="00517EA5" w:rsidP="00194E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BB00" w14:textId="4807C11C" w:rsidR="00040708" w:rsidRDefault="00040708" w:rsidP="00040708">
    <w:pPr>
      <w:pStyle w:val="Zpat"/>
    </w:pPr>
    <w:r>
      <w:t>Příloha č. 2</w:t>
    </w:r>
  </w:p>
  <w:p w14:paraId="4F70E6E2" w14:textId="77777777" w:rsidR="00040708" w:rsidRDefault="00040708" w:rsidP="00040708">
    <w:pPr>
      <w:pStyle w:val="Zpat"/>
    </w:pPr>
    <w:r>
      <w:t>Dohody ze dne 23.12.2020 o vypořádání vzájemných vztahů mezi VZP ČR a ICZ a.s. ze Smlouvy na dodání, rozvoj a podporu ECM systému č. 1700716/4100051547, uzavřené dne 11. 9. 2018 (dále jen „Smlouva“)</w:t>
    </w:r>
  </w:p>
  <w:p w14:paraId="39565DEB" w14:textId="77777777" w:rsidR="00040708" w:rsidRDefault="00040708" w:rsidP="00040708">
    <w:pPr>
      <w:pStyle w:val="Zpat"/>
    </w:pPr>
  </w:p>
  <w:p w14:paraId="15E1B4DF" w14:textId="77777777" w:rsidR="004076EC" w:rsidRDefault="00407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01909" w14:textId="77777777" w:rsidR="00517EA5" w:rsidRDefault="00517EA5" w:rsidP="00194EE1">
      <w:pPr>
        <w:spacing w:before="0" w:line="240" w:lineRule="auto"/>
      </w:pPr>
      <w:r>
        <w:separator/>
      </w:r>
    </w:p>
  </w:footnote>
  <w:footnote w:type="continuationSeparator" w:id="0">
    <w:p w14:paraId="65B642B7" w14:textId="77777777" w:rsidR="00517EA5" w:rsidRDefault="00517EA5" w:rsidP="00194EE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5751"/>
    <w:multiLevelType w:val="hybridMultilevel"/>
    <w:tmpl w:val="543C03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E37F4"/>
    <w:multiLevelType w:val="hybridMultilevel"/>
    <w:tmpl w:val="CAEA1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425"/>
    <w:multiLevelType w:val="hybridMultilevel"/>
    <w:tmpl w:val="142C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02F"/>
    <w:multiLevelType w:val="multilevel"/>
    <w:tmpl w:val="99F61034"/>
    <w:lvl w:ilvl="0">
      <w:start w:val="1"/>
      <w:numFmt w:val="decimal"/>
      <w:pStyle w:val="Popisek-tabulka"/>
      <w:suff w:val="space"/>
      <w:lvlText w:val="Tabulka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850" w:hanging="283"/>
      </w:pPr>
      <w:rPr>
        <w:rFonts w:ascii="Courier New" w:hAnsi="Courier New" w:hint="default"/>
        <w:color w:val="FF7F00"/>
        <w:sz w:val="18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C027FA4"/>
    <w:multiLevelType w:val="hybridMultilevel"/>
    <w:tmpl w:val="A53A3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74EDD"/>
    <w:multiLevelType w:val="hybridMultilevel"/>
    <w:tmpl w:val="77BAAE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6468E"/>
    <w:multiLevelType w:val="hybridMultilevel"/>
    <w:tmpl w:val="03B82B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376A4"/>
    <w:multiLevelType w:val="hybridMultilevel"/>
    <w:tmpl w:val="64C8C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C23D2"/>
    <w:multiLevelType w:val="hybridMultilevel"/>
    <w:tmpl w:val="B23660A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D3562EE"/>
    <w:multiLevelType w:val="hybridMultilevel"/>
    <w:tmpl w:val="727EC1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F0659"/>
    <w:multiLevelType w:val="hybridMultilevel"/>
    <w:tmpl w:val="F0E2B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7FBA"/>
    <w:multiLevelType w:val="hybridMultilevel"/>
    <w:tmpl w:val="C562D67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4830"/>
    <w:multiLevelType w:val="hybridMultilevel"/>
    <w:tmpl w:val="4666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2A71"/>
    <w:multiLevelType w:val="hybridMultilevel"/>
    <w:tmpl w:val="DD886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4653"/>
    <w:multiLevelType w:val="hybridMultilevel"/>
    <w:tmpl w:val="51AE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E1"/>
    <w:rsid w:val="0000355F"/>
    <w:rsid w:val="00011C45"/>
    <w:rsid w:val="00027CE6"/>
    <w:rsid w:val="00040708"/>
    <w:rsid w:val="0005414E"/>
    <w:rsid w:val="0005641B"/>
    <w:rsid w:val="000842BB"/>
    <w:rsid w:val="00097DBC"/>
    <w:rsid w:val="000B42CD"/>
    <w:rsid w:val="000F674E"/>
    <w:rsid w:val="000F692B"/>
    <w:rsid w:val="00113D06"/>
    <w:rsid w:val="00117958"/>
    <w:rsid w:val="00124D54"/>
    <w:rsid w:val="00125CEC"/>
    <w:rsid w:val="00193E61"/>
    <w:rsid w:val="00194EE1"/>
    <w:rsid w:val="001A3590"/>
    <w:rsid w:val="001C4437"/>
    <w:rsid w:val="001D710C"/>
    <w:rsid w:val="001F3E14"/>
    <w:rsid w:val="001F5831"/>
    <w:rsid w:val="001F6906"/>
    <w:rsid w:val="002317E0"/>
    <w:rsid w:val="00261304"/>
    <w:rsid w:val="002D2741"/>
    <w:rsid w:val="00357090"/>
    <w:rsid w:val="00387A3E"/>
    <w:rsid w:val="00393969"/>
    <w:rsid w:val="003B3E6A"/>
    <w:rsid w:val="003C4E45"/>
    <w:rsid w:val="003D3BED"/>
    <w:rsid w:val="003F3775"/>
    <w:rsid w:val="004076EC"/>
    <w:rsid w:val="004244FD"/>
    <w:rsid w:val="004357B8"/>
    <w:rsid w:val="00444F62"/>
    <w:rsid w:val="004A32F9"/>
    <w:rsid w:val="004C15E6"/>
    <w:rsid w:val="004C1AA6"/>
    <w:rsid w:val="004C4C24"/>
    <w:rsid w:val="004D085E"/>
    <w:rsid w:val="004F279D"/>
    <w:rsid w:val="004F6A95"/>
    <w:rsid w:val="0051772C"/>
    <w:rsid w:val="00517EA5"/>
    <w:rsid w:val="00525F83"/>
    <w:rsid w:val="005330E0"/>
    <w:rsid w:val="005E4FB3"/>
    <w:rsid w:val="006051D3"/>
    <w:rsid w:val="00617031"/>
    <w:rsid w:val="00626A7B"/>
    <w:rsid w:val="00655369"/>
    <w:rsid w:val="006560A8"/>
    <w:rsid w:val="0067262B"/>
    <w:rsid w:val="006870C5"/>
    <w:rsid w:val="00693EBD"/>
    <w:rsid w:val="006949E7"/>
    <w:rsid w:val="0069517E"/>
    <w:rsid w:val="006B3C9D"/>
    <w:rsid w:val="006D3543"/>
    <w:rsid w:val="006D63D2"/>
    <w:rsid w:val="006E5DAE"/>
    <w:rsid w:val="006F22C2"/>
    <w:rsid w:val="006F344C"/>
    <w:rsid w:val="007213FE"/>
    <w:rsid w:val="0072483E"/>
    <w:rsid w:val="00747849"/>
    <w:rsid w:val="00770AC7"/>
    <w:rsid w:val="00790E6D"/>
    <w:rsid w:val="00797572"/>
    <w:rsid w:val="00814C65"/>
    <w:rsid w:val="00831B56"/>
    <w:rsid w:val="0083300A"/>
    <w:rsid w:val="00855530"/>
    <w:rsid w:val="00875F7C"/>
    <w:rsid w:val="008A3CC5"/>
    <w:rsid w:val="008B75E7"/>
    <w:rsid w:val="00917BEA"/>
    <w:rsid w:val="009232F8"/>
    <w:rsid w:val="00932D32"/>
    <w:rsid w:val="00937219"/>
    <w:rsid w:val="00940470"/>
    <w:rsid w:val="009478E6"/>
    <w:rsid w:val="00956E11"/>
    <w:rsid w:val="00980716"/>
    <w:rsid w:val="0099510C"/>
    <w:rsid w:val="009A6269"/>
    <w:rsid w:val="009B0114"/>
    <w:rsid w:val="009B68DC"/>
    <w:rsid w:val="009B79CC"/>
    <w:rsid w:val="009C10CE"/>
    <w:rsid w:val="009E7651"/>
    <w:rsid w:val="00A35402"/>
    <w:rsid w:val="00A66988"/>
    <w:rsid w:val="00A9437C"/>
    <w:rsid w:val="00AA62CB"/>
    <w:rsid w:val="00B13967"/>
    <w:rsid w:val="00B81DCD"/>
    <w:rsid w:val="00C32097"/>
    <w:rsid w:val="00C35F75"/>
    <w:rsid w:val="00C36F21"/>
    <w:rsid w:val="00C70CCE"/>
    <w:rsid w:val="00C768AD"/>
    <w:rsid w:val="00C82B62"/>
    <w:rsid w:val="00C84BF4"/>
    <w:rsid w:val="00C85F5A"/>
    <w:rsid w:val="00CC5CBB"/>
    <w:rsid w:val="00CD7F67"/>
    <w:rsid w:val="00D175B6"/>
    <w:rsid w:val="00D467E3"/>
    <w:rsid w:val="00D56713"/>
    <w:rsid w:val="00D64A7C"/>
    <w:rsid w:val="00D73B4D"/>
    <w:rsid w:val="00D76339"/>
    <w:rsid w:val="00D85D80"/>
    <w:rsid w:val="00DD2E50"/>
    <w:rsid w:val="00DF18AB"/>
    <w:rsid w:val="00E023C0"/>
    <w:rsid w:val="00E21AF0"/>
    <w:rsid w:val="00E268C1"/>
    <w:rsid w:val="00E27A9E"/>
    <w:rsid w:val="00E554D7"/>
    <w:rsid w:val="00E6040F"/>
    <w:rsid w:val="00E96493"/>
    <w:rsid w:val="00EA27D2"/>
    <w:rsid w:val="00EB0AD7"/>
    <w:rsid w:val="00EF0FBD"/>
    <w:rsid w:val="00F47F1C"/>
    <w:rsid w:val="00F64AE6"/>
    <w:rsid w:val="00F67154"/>
    <w:rsid w:val="00F77733"/>
    <w:rsid w:val="00FA0C5E"/>
    <w:rsid w:val="00FD248B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7D7AD"/>
  <w15:docId w15:val="{825BC8B6-923E-4084-BC15-BB45CA1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EE1"/>
    <w:pPr>
      <w:spacing w:before="120" w:after="0" w:line="264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194EE1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locked/>
    <w:rsid w:val="00194EE1"/>
    <w:rPr>
      <w:rFonts w:ascii="Verdana" w:eastAsia="Times New Roman" w:hAnsi="Verdana" w:cs="Times New Roman"/>
      <w:sz w:val="18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94EE1"/>
    <w:pPr>
      <w:spacing w:before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4E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94EE1"/>
    <w:rPr>
      <w:vertAlign w:val="superscript"/>
    </w:rPr>
  </w:style>
  <w:style w:type="paragraph" w:customStyle="1" w:styleId="Paratext">
    <w:name w:val="Para text"/>
    <w:basedOn w:val="Normln"/>
    <w:link w:val="ParatextChar"/>
    <w:rsid w:val="00194EE1"/>
    <w:pPr>
      <w:spacing w:before="0" w:line="240" w:lineRule="auto"/>
      <w:ind w:left="709"/>
    </w:pPr>
    <w:rPr>
      <w:rFonts w:ascii="Times New Roman" w:hAnsi="Times New Roman"/>
      <w:sz w:val="24"/>
    </w:rPr>
  </w:style>
  <w:style w:type="character" w:customStyle="1" w:styleId="ParatextChar">
    <w:name w:val="Para text Char"/>
    <w:link w:val="Paratext"/>
    <w:rsid w:val="00194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nhideWhenUsed/>
    <w:qFormat/>
    <w:rsid w:val="00194EE1"/>
    <w:pPr>
      <w:spacing w:after="200" w:line="240" w:lineRule="auto"/>
      <w:jc w:val="center"/>
    </w:pPr>
    <w:rPr>
      <w:rFonts w:ascii="Calibri" w:hAnsi="Calibri"/>
      <w:b/>
      <w:bCs/>
      <w:sz w:val="22"/>
      <w:szCs w:val="18"/>
    </w:rPr>
  </w:style>
  <w:style w:type="paragraph" w:styleId="Bezmezer">
    <w:name w:val="No Spacing"/>
    <w:link w:val="BezmezerChar"/>
    <w:uiPriority w:val="1"/>
    <w:qFormat/>
    <w:rsid w:val="00194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194EE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DD2E50"/>
    <w:rPr>
      <w:color w:val="0000FF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D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49E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9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opisek-tabulka">
    <w:name w:val="Popisek - tabulka"/>
    <w:basedOn w:val="Normln"/>
    <w:link w:val="Popisek-tabulkaChar"/>
    <w:rsid w:val="00117958"/>
    <w:pPr>
      <w:keepLines/>
      <w:numPr>
        <w:numId w:val="3"/>
      </w:numPr>
      <w:spacing w:after="240" w:line="240" w:lineRule="auto"/>
      <w:jc w:val="left"/>
    </w:pPr>
    <w:rPr>
      <w:sz w:val="16"/>
    </w:rPr>
  </w:style>
  <w:style w:type="character" w:customStyle="1" w:styleId="Popisek-tabulkaChar">
    <w:name w:val="Popisek - tabulka Char"/>
    <w:link w:val="Popisek-tabulka"/>
    <w:rsid w:val="00117958"/>
    <w:rPr>
      <w:rFonts w:ascii="Verdana" w:eastAsia="Times New Roman" w:hAnsi="Verdana" w:cs="Times New Roman"/>
      <w:sz w:val="16"/>
      <w:szCs w:val="24"/>
      <w:lang w:eastAsia="cs-CZ"/>
    </w:rPr>
  </w:style>
  <w:style w:type="table" w:customStyle="1" w:styleId="Prosttabulka11">
    <w:name w:val="Prostá tabulka 11"/>
    <w:basedOn w:val="Normlntabulka"/>
    <w:uiPriority w:val="41"/>
    <w:rsid w:val="001179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9372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katabulky">
    <w:name w:val="Table Grid"/>
    <w:basedOn w:val="Normlntabulka"/>
    <w:uiPriority w:val="39"/>
    <w:rsid w:val="00A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951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1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A35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90"/>
    <w:pPr>
      <w:spacing w:before="0"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90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90E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E6D"/>
    <w:rPr>
      <w:rFonts w:ascii="Verdana" w:eastAsia="Times New Roman" w:hAnsi="Verdana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0E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E6D"/>
    <w:rPr>
      <w:rFonts w:ascii="Verdana" w:eastAsia="Times New Roman" w:hAnsi="Verdana" w:cs="Times New Roman"/>
      <w:sz w:val="18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E14"/>
    <w:pPr>
      <w:spacing w:before="120" w:after="0"/>
      <w:jc w:val="both"/>
    </w:pPr>
    <w:rPr>
      <w:rFonts w:ascii="Verdana" w:eastAsia="Times New Roman" w:hAnsi="Verdana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E14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1947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Martin Mgr. (VZP ČR Ústředí)</dc:creator>
  <cp:lastModifiedBy>Potůčková Martina (VZP ČR Ústředí)</cp:lastModifiedBy>
  <cp:revision>2</cp:revision>
  <dcterms:created xsi:type="dcterms:W3CDTF">2020-12-28T16:01:00Z</dcterms:created>
  <dcterms:modified xsi:type="dcterms:W3CDTF">2020-12-28T16:01:00Z</dcterms:modified>
</cp:coreProperties>
</file>