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BE" w:rsidRPr="005C3CBE" w:rsidRDefault="005C3CBE" w:rsidP="00E04F0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5C3CBE" w:rsidRPr="000B08BB" w:rsidRDefault="005C3CBE" w:rsidP="000B08BB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1" w:name="_Ref488668335"/>
      <w:r w:rsidRPr="000B08BB">
        <w:rPr>
          <w:rFonts w:ascii="Calibri Light" w:hAnsi="Calibri Light" w:cs="Calibri Light"/>
          <w:b/>
          <w:sz w:val="28"/>
          <w:szCs w:val="28"/>
        </w:rPr>
        <w:t>Zpracovatelská doložka</w:t>
      </w:r>
    </w:p>
    <w:p w:rsidR="000B08BB" w:rsidRPr="000B08BB" w:rsidRDefault="005C3CBE" w:rsidP="000B08BB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Pro účely tohoto článku je </w:t>
      </w:r>
      <w:r w:rsidR="00E04F06">
        <w:rPr>
          <w:rFonts w:ascii="Calibri Light" w:hAnsi="Calibri Light" w:cs="Calibri Light"/>
          <w:sz w:val="24"/>
          <w:szCs w:val="24"/>
        </w:rPr>
        <w:t xml:space="preserve">zhotovitel </w:t>
      </w:r>
      <w:r w:rsidRPr="005C3CBE">
        <w:rPr>
          <w:rFonts w:ascii="Calibri Light" w:hAnsi="Calibri Light" w:cs="Calibri Light"/>
          <w:sz w:val="24"/>
          <w:szCs w:val="24"/>
        </w:rPr>
        <w:t xml:space="preserve">označen jako „zpracovatel“ a </w:t>
      </w:r>
      <w:r w:rsidR="00E04F06">
        <w:rPr>
          <w:rFonts w:ascii="Calibri Light" w:hAnsi="Calibri Light" w:cs="Calibri Light"/>
          <w:sz w:val="24"/>
          <w:szCs w:val="24"/>
        </w:rPr>
        <w:t>objednatel</w:t>
      </w:r>
      <w:r w:rsidR="00DC0AAB">
        <w:rPr>
          <w:rFonts w:ascii="Calibri Light" w:hAnsi="Calibri Light" w:cs="Calibri Light"/>
          <w:sz w:val="24"/>
          <w:szCs w:val="24"/>
        </w:rPr>
        <w:t xml:space="preserve"> </w:t>
      </w:r>
      <w:r w:rsidRPr="005C3CBE">
        <w:rPr>
          <w:rFonts w:ascii="Calibri Light" w:hAnsi="Calibri Light" w:cs="Calibri Light"/>
          <w:sz w:val="24"/>
          <w:szCs w:val="24"/>
        </w:rPr>
        <w:t>jako „správce“.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prohlašuje, že nakládá s osobními údaji v souladu s obecným nařízením Evropského parlamentu a Rady o ochraně osobních údajů č. 2016/679 (dále jen „GDPR“).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zpracovává osobní údaje pouze na základě doložených pokynů správce. Předá-li správce zpracovateli osobní údaje fyzických osob, aniž by zároveň určil, jak s nimi má zpracovatel naložit, zabezpečí zpracovatel údaje tak, aby se s nimi do okamžiku udělení pokynu správcem nemohly seznámit třetí osoby, ani zaměstnanci zpracovatele.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Na základě pokynů správce zpracovatel zpracovává:</w:t>
      </w:r>
    </w:p>
    <w:p w:rsidR="005C3CBE" w:rsidRPr="005C3CBE" w:rsidRDefault="005C3CBE" w:rsidP="00E04F06">
      <w:pPr>
        <w:numPr>
          <w:ilvl w:val="0"/>
          <w:numId w:val="3"/>
        </w:numPr>
        <w:suppressAutoHyphens/>
        <w:spacing w:after="0" w:line="280" w:lineRule="exact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obecné osobní údaje, a to:</w:t>
      </w:r>
    </w:p>
    <w:p w:rsidR="005C3CBE" w:rsidRDefault="005C3CBE" w:rsidP="00E04F06">
      <w:pPr>
        <w:pStyle w:val="Odstavecseseznamem"/>
        <w:numPr>
          <w:ilvl w:val="0"/>
          <w:numId w:val="8"/>
        </w:numPr>
        <w:suppressAutoHyphens/>
        <w:spacing w:after="0" w:line="280" w:lineRule="exact"/>
        <w:ind w:hanging="295"/>
        <w:jc w:val="both"/>
        <w:rPr>
          <w:rFonts w:ascii="Calibri Light" w:hAnsi="Calibri Light" w:cs="Calibri Light"/>
          <w:sz w:val="24"/>
          <w:szCs w:val="24"/>
        </w:rPr>
      </w:pPr>
      <w:r w:rsidRPr="00E04F06">
        <w:rPr>
          <w:rFonts w:ascii="Calibri Light" w:hAnsi="Calibri Light" w:cs="Calibri Light"/>
          <w:sz w:val="24"/>
          <w:szCs w:val="24"/>
        </w:rPr>
        <w:t>identifikační osobní údaje (například jméno a příjmení)</w:t>
      </w:r>
    </w:p>
    <w:p w:rsidR="005C3CBE" w:rsidRPr="00E04F06" w:rsidRDefault="005C3CBE" w:rsidP="00E04F06">
      <w:pPr>
        <w:pStyle w:val="Odstavecseseznamem"/>
        <w:numPr>
          <w:ilvl w:val="0"/>
          <w:numId w:val="8"/>
        </w:numPr>
        <w:suppressAutoHyphens/>
        <w:spacing w:after="0" w:line="280" w:lineRule="exact"/>
        <w:ind w:hanging="295"/>
        <w:jc w:val="both"/>
        <w:rPr>
          <w:rFonts w:ascii="Calibri Light" w:hAnsi="Calibri Light" w:cs="Calibri Light"/>
          <w:sz w:val="24"/>
          <w:szCs w:val="24"/>
        </w:rPr>
      </w:pPr>
      <w:r w:rsidRPr="00E04F06">
        <w:rPr>
          <w:rFonts w:ascii="Calibri Light" w:hAnsi="Calibri Light" w:cs="Calibri Light"/>
          <w:sz w:val="24"/>
          <w:szCs w:val="24"/>
        </w:rPr>
        <w:t>kontaktní údaje (například adresa)</w:t>
      </w:r>
    </w:p>
    <w:p w:rsidR="005C3CBE" w:rsidRPr="005C3CBE" w:rsidRDefault="005C3CBE" w:rsidP="00E04F06">
      <w:pPr>
        <w:numPr>
          <w:ilvl w:val="1"/>
          <w:numId w:val="6"/>
        </w:numPr>
        <w:suppressAutoHyphens/>
        <w:spacing w:after="0" w:line="280" w:lineRule="exact"/>
        <w:ind w:left="851" w:firstLine="283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informace o poskytnutých službách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Zpracovatel </w:t>
      </w:r>
      <w:r w:rsidR="00E04F06">
        <w:rPr>
          <w:rFonts w:ascii="Calibri Light" w:hAnsi="Calibri Light" w:cs="Calibri Light"/>
          <w:b/>
          <w:sz w:val="24"/>
          <w:szCs w:val="24"/>
        </w:rPr>
        <w:t>ne</w:t>
      </w:r>
      <w:r w:rsidRPr="005C3CBE">
        <w:rPr>
          <w:rFonts w:ascii="Calibri Light" w:hAnsi="Calibri Light" w:cs="Calibri Light"/>
          <w:b/>
          <w:sz w:val="24"/>
          <w:szCs w:val="24"/>
        </w:rPr>
        <w:t>zpracovává</w:t>
      </w:r>
      <w:r w:rsidRPr="005C3CBE">
        <w:rPr>
          <w:rFonts w:ascii="Calibri Light" w:hAnsi="Calibri Light" w:cs="Calibri Light"/>
          <w:sz w:val="24"/>
          <w:szCs w:val="24"/>
        </w:rPr>
        <w:t xml:space="preserve"> zvláštní osobní údaje ve smyslu článku 9 GDPR. Může však dojít k jejich nahodilému výskytu například v rámci komunikace, či náhodném přidání informací do softwaru poskytovaném zpracovatelem.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pro správce zpracovává osobní údaje o následujících kategoriích subjektů:</w:t>
      </w:r>
    </w:p>
    <w:p w:rsidR="005C3CBE" w:rsidRPr="005C3CBE" w:rsidRDefault="005C3CBE" w:rsidP="00E04F06">
      <w:pPr>
        <w:numPr>
          <w:ilvl w:val="0"/>
          <w:numId w:val="4"/>
        </w:numPr>
        <w:suppressAutoHyphens/>
        <w:spacing w:after="0" w:line="280" w:lineRule="exact"/>
        <w:ind w:left="426" w:firstLine="0"/>
        <w:jc w:val="both"/>
        <w:rPr>
          <w:rFonts w:ascii="Calibri Light" w:hAnsi="Calibri Light" w:cs="Calibri Light"/>
          <w:b/>
          <w:sz w:val="24"/>
          <w:szCs w:val="24"/>
        </w:rPr>
      </w:pPr>
      <w:r w:rsidRPr="005C3CBE">
        <w:rPr>
          <w:rFonts w:ascii="Calibri Light" w:hAnsi="Calibri Light" w:cs="Calibri Light"/>
          <w:b/>
          <w:sz w:val="24"/>
          <w:szCs w:val="24"/>
        </w:rPr>
        <w:t>Zaměstnanci správce</w:t>
      </w:r>
    </w:p>
    <w:p w:rsidR="005C3CBE" w:rsidRPr="005C3CBE" w:rsidRDefault="005C3CBE" w:rsidP="00DC0AAB">
      <w:pPr>
        <w:suppressAutoHyphens/>
        <w:spacing w:after="0" w:line="280" w:lineRule="exact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oprávněn zpracovávat data pouze po dobu trvání této smlouvy. Skončí-li z jakéhokoliv důvodu účinnost této smlouvy, vyžádá zpracovatel od správce pokyn, jak má s údaji naložit, a upozorní jej na následky neudělení pokynu. Není-li pokyn udělen ani do 15 dnů od doručení výzvy správci, zpracovatel nosič s datovým souborem zničí nebo zformátuje.</w:t>
      </w:r>
    </w:p>
    <w:p w:rsid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lastRenderedPageBreak/>
        <w:t>Zpracovatel se zavazuje zachovávat mlčenlivost o všech osobních údajích, s nimiž dojde při jejich zpracování do styku. Zpracovatel prohlašuje, že všichni jeho zaměstnanci se zavázali k mlčenlivosti.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prohlašuje, že přijal všechna opatření uvedená v článku 32 GDPR, jejichž přijetí po něm lze spravedlivě požadovat s přihlédnutím ke stavu techniky, nákladům na provedení, povaze, rozsahu, kontextu a účelům zpracování i k různě pravděpodobným a různě závažným rizikům pro práva a svobody fyzických osob.  Zpracovatel zejména:</w:t>
      </w:r>
    </w:p>
    <w:p w:rsidR="005C3CBE" w:rsidRPr="005C3CBE" w:rsidRDefault="00DC0AAB" w:rsidP="00DC0AAB">
      <w:pPr>
        <w:numPr>
          <w:ilvl w:val="0"/>
          <w:numId w:val="5"/>
        </w:numPr>
        <w:suppressAutoHyphens/>
        <w:spacing w:after="0" w:line="280" w:lineRule="exact"/>
        <w:ind w:left="1418" w:hanging="70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</w:t>
      </w:r>
      <w:r w:rsidR="005C3CBE" w:rsidRPr="005C3CBE">
        <w:rPr>
          <w:rFonts w:ascii="Calibri Light" w:hAnsi="Calibri Light" w:cs="Calibri Light"/>
          <w:sz w:val="24"/>
          <w:szCs w:val="24"/>
        </w:rPr>
        <w:t>ajistil umístění dat v zabezpečeném datovém centru</w:t>
      </w:r>
      <w:r>
        <w:rPr>
          <w:rFonts w:ascii="Calibri Light" w:hAnsi="Calibri Light" w:cs="Calibri Light"/>
          <w:sz w:val="24"/>
          <w:szCs w:val="24"/>
        </w:rPr>
        <w:t>,</w:t>
      </w:r>
      <w:r w:rsidR="005C3CBE" w:rsidRPr="005C3CBE">
        <w:rPr>
          <w:rFonts w:ascii="Calibri Light" w:hAnsi="Calibri Light" w:cs="Calibri Light"/>
          <w:sz w:val="24"/>
          <w:szCs w:val="24"/>
        </w:rPr>
        <w:t xml:space="preserve"> </w:t>
      </w:r>
    </w:p>
    <w:p w:rsidR="005C3CBE" w:rsidRPr="005C3CBE" w:rsidRDefault="005C3CBE" w:rsidP="00B0142D">
      <w:pPr>
        <w:numPr>
          <w:ilvl w:val="0"/>
          <w:numId w:val="5"/>
        </w:numPr>
        <w:suppressAutoHyphens/>
        <w:spacing w:after="0" w:line="280" w:lineRule="exact"/>
        <w:ind w:left="709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zabezpečil data v systému tak, aby se jeden správce nemohl seznámit s údaji shromažďovanými pro jiného správce;</w:t>
      </w:r>
    </w:p>
    <w:p w:rsidR="005C3CBE" w:rsidRPr="005C3CBE" w:rsidRDefault="005C3CBE" w:rsidP="00B0142D">
      <w:pPr>
        <w:numPr>
          <w:ilvl w:val="0"/>
          <w:numId w:val="5"/>
        </w:numPr>
        <w:suppressAutoHyphens/>
        <w:spacing w:after="0" w:line="280" w:lineRule="exact"/>
        <w:ind w:left="709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zajišťuje neustálou důvěrnost, integritu, dostupnost a odolnost systémů a služeb zpracování, a to zejména vytvářením pravidelných záloh;</w:t>
      </w:r>
    </w:p>
    <w:p w:rsidR="005C3CBE" w:rsidRPr="005C3CBE" w:rsidRDefault="005C3CBE" w:rsidP="00B0142D">
      <w:pPr>
        <w:numPr>
          <w:ilvl w:val="0"/>
          <w:numId w:val="5"/>
        </w:numPr>
        <w:suppressAutoHyphens/>
        <w:spacing w:after="0" w:line="280" w:lineRule="exact"/>
        <w:ind w:left="709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šifruje data záloh;</w:t>
      </w:r>
    </w:p>
    <w:p w:rsidR="005C3CBE" w:rsidRPr="005C3CBE" w:rsidRDefault="005C3CBE" w:rsidP="00B0142D">
      <w:pPr>
        <w:numPr>
          <w:ilvl w:val="0"/>
          <w:numId w:val="5"/>
        </w:numPr>
        <w:suppressAutoHyphens/>
        <w:spacing w:after="0" w:line="280" w:lineRule="exact"/>
        <w:ind w:left="709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provádí pravidelné testování, posuzování a hodnocení účinnosti zavedených technických a organizačních opatření pro zajištění bezpečnosti zpracování.</w:t>
      </w:r>
    </w:p>
    <w:p w:rsidR="005C3CBE" w:rsidRPr="005C3CBE" w:rsidRDefault="005C3CBE" w:rsidP="000B08BB">
      <w:pPr>
        <w:spacing w:after="0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oprávněn v průběhu trvání smlouvy zkvalitňovat opatření přijatá k ochraně osobních údajů.</w:t>
      </w:r>
    </w:p>
    <w:p w:rsidR="005C3CBE" w:rsidRPr="005C3CBE" w:rsidRDefault="005C3CBE" w:rsidP="000B08BB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Zpracovatel prohlašuje, že dodržuje podmínky pro zapojení dalšího zpracovatele uvedené v článku 28 </w:t>
      </w:r>
      <w:proofErr w:type="gramStart"/>
      <w:r w:rsidRPr="005C3CBE">
        <w:rPr>
          <w:rFonts w:ascii="Calibri Light" w:hAnsi="Calibri Light" w:cs="Calibri Light"/>
          <w:sz w:val="24"/>
          <w:szCs w:val="24"/>
        </w:rPr>
        <w:t>odstavcích</w:t>
      </w:r>
      <w:proofErr w:type="gramEnd"/>
      <w:r w:rsidRPr="005C3CBE">
        <w:rPr>
          <w:rFonts w:ascii="Calibri Light" w:hAnsi="Calibri Light" w:cs="Calibri Light"/>
          <w:sz w:val="24"/>
          <w:szCs w:val="24"/>
        </w:rPr>
        <w:t xml:space="preserve"> 2 a 4 GDPR. Zpracovatel nezapojí do zpracování žádného dalšího zpracovatele bez předchozího konkrétního nebo obecného písemného povolení správce. V případě obecného písemného povolení zpracovatel správce informuje o veškerých zamýšlených změnách týkajících se přijetí dalších zpracovatelů nebo jejich nahrazení, a poskytne tak správci příležitost vyslovit vůči těmto změnám námitky. Zapojí-li zpracovatel se souhlasem správce do zpracování dalšího zpracovatele, zaváže jej k alespoň stejně přísným povinnostem, jaké má na základě této smlouvy vůči správci. Neplní-li další zpracovatel své povinnosti v oblasti ochrany údajů, odpovídá správci za plnění povinností dotčeného dalšího zpracovatele i nadále plně prvotní zpracovatel.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správci nápomocen prostřednictvím vhodných technických a organizačních opatření, pokud je to možné, pro splnění správcovy povinnosti reagovat na žádosti o výkon práv subjektu údajů stanovených v kapitole III GDPR, tedy zejména umožňuje na žádost subjektu údajů provést opravu nepřesných údajů, výmaz údajů či omezení zpracování. Na základě písemného pokynu správce (v to počítaje i email, případně speciální rozhraní daného programu nebo webu) provede zpracovatel opravu, výmaz či omezí zpracování bez zbytečného odkladu, nejpozději však do 10 pracovních dnů.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správci nápomocen při zajišťování souladu s povinnostmi podle článků 32 až 36 GDPR. Zpracovatel tak zejména bez zbytečného odkladu informuje správce o porušení zabezpečení osobních údajů a poskytuje mu plnou součinnost při posuzování vlivu na ochranu osobních údajů.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na základě pokynu správce všechny osobní údaje buď vymaže, nebo je vrátí správci po ukončení poskytování služeb spojených se zpracováním, a vymaže existující kopie, pokud právo Unie nebo členského státu nepožaduje uložení daných osobních údajů.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Zpracovatel správci na jeho písemnou žádost poskytne informace potřebné k doložení toho, že byly splněny povinnosti stanovené článkem 28 GDPR, a umožní správci nebo správcem pověřenému auditorovi provádět audity, včetně inspekcí, a k těmto auditům přispěje. 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lastRenderedPageBreak/>
        <w:t>Zpracovatel je oprávněn požadovat úhradu účelně vynaložených nákladů vzniklých v souvislosti s poskytováním součinnosti podle tohoto odstavce, a to včetně náhrady odpovídající části mzdy zaměstnanců, kteří součinnost poskytovali.</w:t>
      </w:r>
    </w:p>
    <w:p w:rsid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oprávněn odepřít zpracování údajů, jestliže pokyn správce porušuje předpisy týkající se ochrany údajů. O této skutečnosti zpracovatel bezodkladně informuje správce. Trvá-li správce na zpracování podle pokynu, vyžádá stanovisko Úřadu pro ochranu osobních údajů.</w:t>
      </w:r>
      <w:bookmarkEnd w:id="1"/>
    </w:p>
    <w:p w:rsidR="006A55C0" w:rsidRPr="005C3CBE" w:rsidRDefault="006A55C0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</w:t>
      </w:r>
      <w:r w:rsidR="000B08BB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to </w:t>
      </w:r>
      <w:r w:rsidR="000B08BB">
        <w:rPr>
          <w:rFonts w:ascii="Calibri Light" w:hAnsi="Calibri Light" w:cs="Calibri Light"/>
          <w:sz w:val="24"/>
          <w:szCs w:val="24"/>
        </w:rPr>
        <w:t>Příloha je platná</w:t>
      </w:r>
      <w:r>
        <w:rPr>
          <w:rFonts w:ascii="Calibri Light" w:hAnsi="Calibri Light" w:cs="Calibri Light"/>
          <w:sz w:val="24"/>
          <w:szCs w:val="24"/>
        </w:rPr>
        <w:t xml:space="preserve"> po dobu platnosti smluvního vztahu mezi oběma stranami.</w:t>
      </w:r>
    </w:p>
    <w:p w:rsidR="005C3CBE" w:rsidRPr="005C3CBE" w:rsidRDefault="005C3CBE" w:rsidP="005C3CBE">
      <w:pPr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:rsidR="00CF63A8" w:rsidRPr="005C3CBE" w:rsidRDefault="00CF63A8">
      <w:pPr>
        <w:rPr>
          <w:rFonts w:ascii="Calibri Light" w:hAnsi="Calibri Light" w:cs="Calibri Light"/>
          <w:sz w:val="24"/>
          <w:szCs w:val="24"/>
        </w:rPr>
      </w:pPr>
    </w:p>
    <w:sectPr w:rsidR="00CF63A8" w:rsidRPr="005C3C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14" w:rsidRDefault="00763414" w:rsidP="00E04F06">
      <w:pPr>
        <w:spacing w:after="0" w:line="240" w:lineRule="auto"/>
      </w:pPr>
      <w:r>
        <w:separator/>
      </w:r>
    </w:p>
  </w:endnote>
  <w:endnote w:type="continuationSeparator" w:id="0">
    <w:p w:rsidR="00763414" w:rsidRDefault="00763414" w:rsidP="00E0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14" w:rsidRDefault="00763414" w:rsidP="00E04F06">
      <w:pPr>
        <w:spacing w:after="0" w:line="240" w:lineRule="auto"/>
      </w:pPr>
      <w:r>
        <w:separator/>
      </w:r>
    </w:p>
  </w:footnote>
  <w:footnote w:type="continuationSeparator" w:id="0">
    <w:p w:rsidR="00763414" w:rsidRDefault="00763414" w:rsidP="00E0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BB" w:rsidRPr="000B08BB" w:rsidRDefault="000B08BB">
    <w:pPr>
      <w:pStyle w:val="Zhlav"/>
      <w:rPr>
        <w:sz w:val="20"/>
        <w:szCs w:val="20"/>
      </w:rPr>
    </w:pPr>
    <w:proofErr w:type="gramStart"/>
    <w:r w:rsidRPr="000B08BB">
      <w:rPr>
        <w:rFonts w:ascii="Calibri Light" w:hAnsi="Calibri Light" w:cs="Calibri Light"/>
        <w:b/>
        <w:sz w:val="20"/>
        <w:szCs w:val="20"/>
      </w:rPr>
      <w:t>Příloha  č.</w:t>
    </w:r>
    <w:proofErr w:type="gramEnd"/>
    <w:r w:rsidRPr="000B08BB">
      <w:rPr>
        <w:rStyle w:val="Odkaznakoment"/>
        <w:rFonts w:ascii="Calibri Light" w:eastAsia="Lucida Sans Unicode" w:hAnsi="Calibri Light" w:cs="Calibri Light"/>
        <w:b/>
        <w:kern w:val="3"/>
        <w:sz w:val="20"/>
        <w:szCs w:val="20"/>
        <w:lang w:eastAsia="cs-CZ"/>
      </w:rPr>
      <w:t xml:space="preserve"> 1  </w:t>
    </w:r>
    <w:r w:rsidRPr="000B08BB">
      <w:rPr>
        <w:rFonts w:ascii="Calibri Light" w:hAnsi="Calibri Light" w:cs="Calibri Light"/>
        <w:b/>
        <w:sz w:val="20"/>
        <w:szCs w:val="20"/>
      </w:rPr>
      <w:t>ke smlouvě  č. 257/16977246/2020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E79"/>
    <w:multiLevelType w:val="multilevel"/>
    <w:tmpl w:val="28629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102"/>
    <w:multiLevelType w:val="multilevel"/>
    <w:tmpl w:val="F274EE1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B6FE1"/>
    <w:multiLevelType w:val="multilevel"/>
    <w:tmpl w:val="A4803A18"/>
    <w:lvl w:ilvl="0">
      <w:start w:val="1"/>
      <w:numFmt w:val="lowerLetter"/>
      <w:lvlText w:val="%1)"/>
      <w:lvlJc w:val="left"/>
      <w:pPr>
        <w:ind w:left="1211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34B37E2F"/>
    <w:multiLevelType w:val="multilevel"/>
    <w:tmpl w:val="51C21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Open Sans" w:hAnsi="Open Sans" w:cs="Open Sans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>
    <w:nsid w:val="4D60139B"/>
    <w:multiLevelType w:val="multilevel"/>
    <w:tmpl w:val="B712BFE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833D10"/>
    <w:multiLevelType w:val="multilevel"/>
    <w:tmpl w:val="A202AE5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D792B18"/>
    <w:multiLevelType w:val="multilevel"/>
    <w:tmpl w:val="F7507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Open Sans" w:hAnsi="Open Sans" w:cs="Open Sans"/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>
    <w:nsid w:val="768B1734"/>
    <w:multiLevelType w:val="hybridMultilevel"/>
    <w:tmpl w:val="593CEB90"/>
    <w:lvl w:ilvl="0" w:tplc="E44A8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8D"/>
    <w:rsid w:val="000B08BB"/>
    <w:rsid w:val="00401CEF"/>
    <w:rsid w:val="005C3CBE"/>
    <w:rsid w:val="005E1516"/>
    <w:rsid w:val="006A55C0"/>
    <w:rsid w:val="006E0CE4"/>
    <w:rsid w:val="007153E2"/>
    <w:rsid w:val="00725E73"/>
    <w:rsid w:val="0075427D"/>
    <w:rsid w:val="00763414"/>
    <w:rsid w:val="008A398F"/>
    <w:rsid w:val="009F2256"/>
    <w:rsid w:val="00B0142D"/>
    <w:rsid w:val="00BE3905"/>
    <w:rsid w:val="00CF63A8"/>
    <w:rsid w:val="00D01FD5"/>
    <w:rsid w:val="00D31951"/>
    <w:rsid w:val="00D36036"/>
    <w:rsid w:val="00D76DC3"/>
    <w:rsid w:val="00DC0AAB"/>
    <w:rsid w:val="00DE2EB4"/>
    <w:rsid w:val="00E04F06"/>
    <w:rsid w:val="00EE508D"/>
    <w:rsid w:val="00F24C69"/>
    <w:rsid w:val="00F7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3C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5C3CB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paragraph" w:styleId="Nadpis2">
    <w:name w:val="heading 2"/>
    <w:basedOn w:val="Normln"/>
    <w:link w:val="Nadpis2Char"/>
    <w:qFormat/>
    <w:rsid w:val="005C3CBE"/>
    <w:pPr>
      <w:keepNext/>
      <w:keepLines/>
      <w:numPr>
        <w:ilvl w:val="1"/>
        <w:numId w:val="1"/>
      </w:numPr>
      <w:spacing w:before="36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3">
    <w:name w:val="heading 3"/>
    <w:basedOn w:val="Normln"/>
    <w:link w:val="Nadpis3Char"/>
    <w:qFormat/>
    <w:rsid w:val="005C3CBE"/>
    <w:pPr>
      <w:keepNext/>
      <w:numPr>
        <w:ilvl w:val="2"/>
        <w:numId w:val="1"/>
      </w:numPr>
      <w:spacing w:before="240" w:after="120"/>
      <w:outlineLvl w:val="2"/>
    </w:pPr>
    <w:rPr>
      <w:rFonts w:ascii="Open Sans" w:eastAsia="Microsoft YaHei" w:hAnsi="Open Sans" w:cs="Lucida Sans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3CBE"/>
    <w:rPr>
      <w:rFonts w:asciiTheme="minorHAnsi" w:eastAsiaTheme="majorEastAsia" w:hAnsiTheme="minorHAnsi" w:cstheme="majorBidi"/>
      <w:color w:val="0D0D0D" w:themeColor="text1" w:themeTint="F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5C3CBE"/>
    <w:rPr>
      <w:rFonts w:asciiTheme="minorHAnsi" w:eastAsiaTheme="majorEastAsia" w:hAnsiTheme="minorHAnsi" w:cstheme="majorBidi"/>
      <w:color w:val="000000" w:themeColor="tex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5C3CBE"/>
    <w:rPr>
      <w:rFonts w:ascii="Open Sans" w:eastAsia="Microsoft YaHei" w:hAnsi="Open Sans" w:cs="Lucida Sans"/>
      <w:sz w:val="22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qFormat/>
    <w:rsid w:val="005C3CBE"/>
    <w:rPr>
      <w:sz w:val="16"/>
      <w:szCs w:val="16"/>
    </w:rPr>
  </w:style>
  <w:style w:type="paragraph" w:styleId="Zhlav">
    <w:name w:val="header"/>
    <w:basedOn w:val="Normln"/>
    <w:link w:val="ZhlavChar"/>
    <w:rsid w:val="00E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4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rsid w:val="00E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4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04F06"/>
    <w:pPr>
      <w:ind w:left="720"/>
      <w:contextualSpacing/>
    </w:pPr>
  </w:style>
  <w:style w:type="character" w:customStyle="1" w:styleId="lrzxr">
    <w:name w:val="lrzxr"/>
    <w:basedOn w:val="Standardnpsmoodstavce"/>
    <w:rsid w:val="00754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3C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5C3CB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paragraph" w:styleId="Nadpis2">
    <w:name w:val="heading 2"/>
    <w:basedOn w:val="Normln"/>
    <w:link w:val="Nadpis2Char"/>
    <w:qFormat/>
    <w:rsid w:val="005C3CBE"/>
    <w:pPr>
      <w:keepNext/>
      <w:keepLines/>
      <w:numPr>
        <w:ilvl w:val="1"/>
        <w:numId w:val="1"/>
      </w:numPr>
      <w:spacing w:before="36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3">
    <w:name w:val="heading 3"/>
    <w:basedOn w:val="Normln"/>
    <w:link w:val="Nadpis3Char"/>
    <w:qFormat/>
    <w:rsid w:val="005C3CBE"/>
    <w:pPr>
      <w:keepNext/>
      <w:numPr>
        <w:ilvl w:val="2"/>
        <w:numId w:val="1"/>
      </w:numPr>
      <w:spacing w:before="240" w:after="120"/>
      <w:outlineLvl w:val="2"/>
    </w:pPr>
    <w:rPr>
      <w:rFonts w:ascii="Open Sans" w:eastAsia="Microsoft YaHei" w:hAnsi="Open Sans" w:cs="Lucida Sans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3CBE"/>
    <w:rPr>
      <w:rFonts w:asciiTheme="minorHAnsi" w:eastAsiaTheme="majorEastAsia" w:hAnsiTheme="minorHAnsi" w:cstheme="majorBidi"/>
      <w:color w:val="0D0D0D" w:themeColor="text1" w:themeTint="F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5C3CBE"/>
    <w:rPr>
      <w:rFonts w:asciiTheme="minorHAnsi" w:eastAsiaTheme="majorEastAsia" w:hAnsiTheme="minorHAnsi" w:cstheme="majorBidi"/>
      <w:color w:val="000000" w:themeColor="tex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5C3CBE"/>
    <w:rPr>
      <w:rFonts w:ascii="Open Sans" w:eastAsia="Microsoft YaHei" w:hAnsi="Open Sans" w:cs="Lucida Sans"/>
      <w:sz w:val="22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qFormat/>
    <w:rsid w:val="005C3CBE"/>
    <w:rPr>
      <w:sz w:val="16"/>
      <w:szCs w:val="16"/>
    </w:rPr>
  </w:style>
  <w:style w:type="paragraph" w:styleId="Zhlav">
    <w:name w:val="header"/>
    <w:basedOn w:val="Normln"/>
    <w:link w:val="ZhlavChar"/>
    <w:rsid w:val="00E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4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rsid w:val="00E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4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04F06"/>
    <w:pPr>
      <w:ind w:left="720"/>
      <w:contextualSpacing/>
    </w:pPr>
  </w:style>
  <w:style w:type="character" w:customStyle="1" w:styleId="lrzxr">
    <w:name w:val="lrzxr"/>
    <w:basedOn w:val="Standardnpsmoodstavce"/>
    <w:rsid w:val="0075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2</cp:revision>
  <cp:lastPrinted>2019-06-17T13:49:00Z</cp:lastPrinted>
  <dcterms:created xsi:type="dcterms:W3CDTF">2020-11-30T07:35:00Z</dcterms:created>
  <dcterms:modified xsi:type="dcterms:W3CDTF">2020-11-30T07:35:00Z</dcterms:modified>
</cp:coreProperties>
</file>