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14:paraId="019ED845" w14:textId="77777777" w:rsidR="0081632D" w:rsidRDefault="00445914" w:rsidP="00454FC6">
          <w:pPr>
            <w:pBdr>
              <w:bottom w:val="single" w:sz="12" w:space="0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6E08E38" wp14:editId="1FBCE98A">
                <wp:extent cx="142875" cy="142875"/>
                <wp:effectExtent l="0" t="0" r="9525" b="9525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DB7667" w14:textId="77777777" w:rsidR="0081632D" w:rsidRDefault="0081632D" w:rsidP="00454FC6">
      <w:pPr>
        <w:pBdr>
          <w:bottom w:val="single" w:sz="12" w:space="0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0F5A3520" w14:textId="77777777" w:rsidR="0081632D" w:rsidRPr="00C45E7D" w:rsidRDefault="0081632D" w:rsidP="00454FC6">
      <w:pPr>
        <w:pBdr>
          <w:bottom w:val="single" w:sz="12" w:space="0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12B4B431" w14:textId="77777777" w:rsidR="005830BC" w:rsidRPr="00BA6CC7" w:rsidRDefault="003C550A" w:rsidP="0081632D">
      <w:pPr>
        <w:spacing w:before="120" w:after="120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 xml:space="preserve">Propojení Dukelská Táborská </w:t>
      </w:r>
      <w:r w:rsidR="005830BC" w:rsidRPr="00BA6CC7">
        <w:rPr>
          <w:rFonts w:ascii="Calibri Light" w:hAnsi="Calibri Light"/>
          <w:b/>
          <w:bCs/>
          <w:sz w:val="28"/>
          <w:szCs w:val="28"/>
        </w:rPr>
        <w:t xml:space="preserve">Říčany </w:t>
      </w:r>
    </w:p>
    <w:p w14:paraId="39716BAE" w14:textId="77777777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4F3CCEAC" w14:textId="29B669AA" w:rsidR="0081632D" w:rsidRP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59415991C41D479C8563D27B035102EF"/>
          </w:placeholder>
        </w:sdtPr>
        <w:sdtEndPr/>
        <w:sdtContent>
          <w:r w:rsidR="0038106C">
            <w:rPr>
              <w:rFonts w:ascii="Calibri Light" w:hAnsi="Calibri Light"/>
              <w:i/>
              <w:sz w:val="22"/>
              <w:szCs w:val="22"/>
            </w:rPr>
            <w:t>SOD/01006/2020/OIU</w:t>
          </w:r>
        </w:sdtContent>
      </w:sdt>
    </w:p>
    <w:p w14:paraId="6AD17BDE" w14:textId="77777777" w:rsidR="0081632D" w:rsidRPr="0081632D" w:rsidRDefault="007C3569" w:rsidP="0081632D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Číslo smlouvy zhotovitele:                      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943732284"/>
          <w:placeholder>
            <w:docPart w:val="E1E3B56004BC47B0AE100D374799D67E"/>
          </w:placeholder>
          <w:showingPlcHdr/>
        </w:sdtPr>
        <w:sdtEndPr/>
        <w:sdtContent>
          <w:r w:rsidRPr="0081632D">
            <w:rPr>
              <w:rStyle w:val="Zstupntext"/>
              <w:sz w:val="22"/>
              <w:szCs w:val="22"/>
            </w:rPr>
            <w:t>[………….…]</w:t>
          </w:r>
        </w:sdtContent>
      </w:sdt>
    </w:p>
    <w:p w14:paraId="0189D642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424F9A44" w14:textId="77777777" w:rsidTr="001030CB">
        <w:tc>
          <w:tcPr>
            <w:tcW w:w="3402" w:type="dxa"/>
            <w:vAlign w:val="center"/>
          </w:tcPr>
          <w:p w14:paraId="1FED56F4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6F2D9239" w14:textId="77777777" w:rsidR="0081632D" w:rsidRPr="0081632D" w:rsidRDefault="003C550A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 xml:space="preserve">Město Říčany </w:t>
            </w:r>
          </w:p>
        </w:tc>
      </w:tr>
      <w:tr w:rsidR="0081632D" w:rsidRPr="0081632D" w14:paraId="4756317D" w14:textId="77777777" w:rsidTr="001030CB">
        <w:tc>
          <w:tcPr>
            <w:tcW w:w="3402" w:type="dxa"/>
            <w:vAlign w:val="center"/>
          </w:tcPr>
          <w:p w14:paraId="02DE0730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AC65FCE" w14:textId="77777777" w:rsidR="0081632D" w:rsidRPr="0081632D" w:rsidRDefault="003C550A" w:rsidP="003C550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Masarykovo nám. 53/40</w:t>
            </w:r>
            <w:r w:rsidR="004A0F2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, 251 01 Říčany</w:t>
            </w:r>
          </w:p>
        </w:tc>
      </w:tr>
      <w:tr w:rsidR="0081632D" w:rsidRPr="0081632D" w14:paraId="62F8EED6" w14:textId="77777777" w:rsidTr="001030CB">
        <w:tc>
          <w:tcPr>
            <w:tcW w:w="3402" w:type="dxa"/>
            <w:vAlign w:val="center"/>
          </w:tcPr>
          <w:p w14:paraId="50B5561C" w14:textId="77777777" w:rsidR="0081632D" w:rsidRPr="0081632D" w:rsidRDefault="004A0F24" w:rsidP="003C550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astoupený</w:t>
            </w: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</w:t>
            </w:r>
            <w:r w:rsidR="003C550A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starostou města</w:t>
            </w:r>
            <w:r w:rsidR="0081632D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7B557DF" w14:textId="77777777" w:rsidR="0081632D" w:rsidRPr="0081632D" w:rsidRDefault="003C550A" w:rsidP="003C550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Mgr. Vladimírem Kořenem</w:t>
            </w:r>
          </w:p>
        </w:tc>
      </w:tr>
      <w:tr w:rsidR="0081632D" w:rsidRPr="0081632D" w14:paraId="0038936B" w14:textId="77777777" w:rsidTr="001030CB">
        <w:tc>
          <w:tcPr>
            <w:tcW w:w="3402" w:type="dxa"/>
            <w:vAlign w:val="center"/>
          </w:tcPr>
          <w:p w14:paraId="02EF6602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28FB2C" w14:textId="77777777" w:rsidR="0081632D" w:rsidRPr="0081632D" w:rsidRDefault="003C550A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KB </w:t>
            </w:r>
          </w:p>
        </w:tc>
      </w:tr>
      <w:tr w:rsidR="0081632D" w:rsidRPr="0081632D" w14:paraId="76EB2E39" w14:textId="77777777" w:rsidTr="001030CB">
        <w:tc>
          <w:tcPr>
            <w:tcW w:w="3402" w:type="dxa"/>
            <w:vAlign w:val="center"/>
          </w:tcPr>
          <w:p w14:paraId="157C1E7B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55AA0769" w14:textId="3F8AA1D0" w:rsidR="0081632D" w:rsidRPr="0081632D" w:rsidRDefault="0081632D" w:rsidP="006546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1CBFBAD6" w14:textId="77777777" w:rsidTr="001030CB">
        <w:tc>
          <w:tcPr>
            <w:tcW w:w="3402" w:type="dxa"/>
            <w:vAlign w:val="center"/>
          </w:tcPr>
          <w:p w14:paraId="37594661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6EDD2DF" w14:textId="77777777" w:rsidR="0081632D" w:rsidRPr="0081632D" w:rsidRDefault="003C550A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00240702</w:t>
            </w:r>
          </w:p>
        </w:tc>
      </w:tr>
      <w:tr w:rsidR="0081632D" w:rsidRPr="0081632D" w14:paraId="6FBC10AA" w14:textId="77777777" w:rsidTr="001030CB">
        <w:tc>
          <w:tcPr>
            <w:tcW w:w="3402" w:type="dxa"/>
            <w:vAlign w:val="center"/>
          </w:tcPr>
          <w:p w14:paraId="026F671B" w14:textId="77777777" w:rsidR="0081632D" w:rsidRPr="0081632D" w:rsidRDefault="0081632D" w:rsidP="004A0F2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osoba oprávněná jednat ve věcech </w:t>
            </w:r>
            <w:r w:rsidR="004A0F2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autorských </w:t>
            </w:r>
          </w:p>
        </w:tc>
        <w:tc>
          <w:tcPr>
            <w:tcW w:w="6521" w:type="dxa"/>
            <w:vAlign w:val="center"/>
          </w:tcPr>
          <w:p w14:paraId="06D3359A" w14:textId="77777777" w:rsidR="0081632D" w:rsidRPr="0081632D" w:rsidRDefault="00AD40DC" w:rsidP="00AD40D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>Ing. Robert Michek, Ing. Radovan Vrba</w:t>
            </w:r>
            <w:r w:rsidR="00B47D09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>, Ing. Pavel Ibl</w:t>
            </w:r>
          </w:p>
        </w:tc>
      </w:tr>
      <w:tr w:rsidR="0081632D" w:rsidRPr="0081632D" w14:paraId="25DDD3DE" w14:textId="77777777" w:rsidTr="001030CB">
        <w:tc>
          <w:tcPr>
            <w:tcW w:w="3402" w:type="dxa"/>
            <w:vAlign w:val="center"/>
          </w:tcPr>
          <w:p w14:paraId="1CD831AD" w14:textId="77777777" w:rsidR="00BA6CC7" w:rsidRDefault="00BA6CC7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Osoba oprávněná jednat ve věcech technických:</w:t>
            </w:r>
          </w:p>
          <w:p w14:paraId="2CF68201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07E63722" w14:textId="77777777" w:rsidR="0081632D" w:rsidRPr="0081632D" w:rsidRDefault="00BA6CC7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Ing. Monika Burešová, </w:t>
            </w:r>
            <w:proofErr w:type="gramStart"/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Ing.arch.</w:t>
            </w:r>
            <w:proofErr w:type="gramEnd"/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Alice Štěpánková, Ing. Evžen Heyrovský</w:t>
            </w:r>
          </w:p>
        </w:tc>
      </w:tr>
      <w:tr w:rsidR="0081632D" w:rsidRPr="0081632D" w14:paraId="65724105" w14:textId="77777777" w:rsidTr="001030CB">
        <w:tc>
          <w:tcPr>
            <w:tcW w:w="3402" w:type="dxa"/>
            <w:vAlign w:val="center"/>
          </w:tcPr>
          <w:p w14:paraId="4A15AE2F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CC8264E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74464DD2" w14:textId="77777777" w:rsidTr="001030CB">
        <w:tc>
          <w:tcPr>
            <w:tcW w:w="3402" w:type="dxa"/>
            <w:vAlign w:val="center"/>
          </w:tcPr>
          <w:p w14:paraId="6B354FFB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74A30FD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05408EAE" w14:textId="77777777" w:rsidTr="001030CB">
        <w:tc>
          <w:tcPr>
            <w:tcW w:w="3402" w:type="dxa"/>
            <w:vAlign w:val="center"/>
          </w:tcPr>
          <w:p w14:paraId="4824717E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3922C085" w14:textId="6FE6A934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HES stavební s.r.o.</w:t>
            </w:r>
          </w:p>
        </w:tc>
      </w:tr>
      <w:tr w:rsidR="0081632D" w:rsidRPr="0081632D" w14:paraId="12B66606" w14:textId="77777777" w:rsidTr="001030CB">
        <w:tc>
          <w:tcPr>
            <w:tcW w:w="3402" w:type="dxa"/>
            <w:vAlign w:val="center"/>
          </w:tcPr>
          <w:p w14:paraId="18AE4CF4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1CAF8C4" w14:textId="0ED54C47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Zelený pruh 95/97, 140 00 Praha 4</w:t>
            </w:r>
          </w:p>
        </w:tc>
      </w:tr>
      <w:tr w:rsidR="0081632D" w:rsidRPr="0081632D" w14:paraId="7CDC8BA0" w14:textId="77777777" w:rsidTr="001030CB">
        <w:tc>
          <w:tcPr>
            <w:tcW w:w="3402" w:type="dxa"/>
            <w:vAlign w:val="center"/>
          </w:tcPr>
          <w:p w14:paraId="7A74C087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C0AFEC4" w14:textId="637ECEE5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" w:hAnsi="Calibri-Light" w:cs="Calibri-Light"/>
                <w:kern w:val="0"/>
                <w:sz w:val="22"/>
                <w:szCs w:val="22"/>
                <w:lang w:eastAsia="cs-CZ"/>
              </w:rPr>
              <w:t>Michalem Jakubcem - jednatelem</w:t>
            </w:r>
          </w:p>
        </w:tc>
      </w:tr>
      <w:tr w:rsidR="0081632D" w:rsidRPr="0081632D" w14:paraId="5C2B3AA4" w14:textId="77777777" w:rsidTr="001030CB">
        <w:tc>
          <w:tcPr>
            <w:tcW w:w="3402" w:type="dxa"/>
            <w:vAlign w:val="center"/>
          </w:tcPr>
          <w:p w14:paraId="33E58504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72CC917" w14:textId="03DBE6FE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" w:hAnsi="Calibri-Light" w:cs="Calibri-Light"/>
                <w:kern w:val="0"/>
                <w:sz w:val="22"/>
                <w:szCs w:val="22"/>
                <w:lang w:eastAsia="cs-CZ"/>
              </w:rPr>
              <w:t>MONETA Money Bank a.s.,</w:t>
            </w:r>
          </w:p>
        </w:tc>
      </w:tr>
      <w:tr w:rsidR="0081632D" w:rsidRPr="0081632D" w14:paraId="5DF0948B" w14:textId="77777777" w:rsidTr="001030CB">
        <w:tc>
          <w:tcPr>
            <w:tcW w:w="3402" w:type="dxa"/>
            <w:vAlign w:val="center"/>
          </w:tcPr>
          <w:p w14:paraId="017583C4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44CB60C" w14:textId="27300261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4CD1B5EB" w14:textId="77777777" w:rsidTr="001030CB">
        <w:tc>
          <w:tcPr>
            <w:tcW w:w="3402" w:type="dxa"/>
            <w:vAlign w:val="center"/>
          </w:tcPr>
          <w:p w14:paraId="717F87F3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48F6991" w14:textId="6E20C942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281 43 213</w:t>
            </w:r>
          </w:p>
        </w:tc>
      </w:tr>
      <w:tr w:rsidR="0081632D" w:rsidRPr="0081632D" w14:paraId="28B1F172" w14:textId="77777777" w:rsidTr="001030CB">
        <w:tc>
          <w:tcPr>
            <w:tcW w:w="3402" w:type="dxa"/>
            <w:vAlign w:val="center"/>
          </w:tcPr>
          <w:p w14:paraId="243CD4D6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4CBDCEC3" w14:textId="67F340D3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CZ281 43 213</w:t>
            </w:r>
          </w:p>
        </w:tc>
      </w:tr>
      <w:tr w:rsidR="0081632D" w:rsidRPr="0081632D" w14:paraId="10B95EBA" w14:textId="77777777" w:rsidTr="001030CB">
        <w:tc>
          <w:tcPr>
            <w:tcW w:w="3402" w:type="dxa"/>
            <w:vAlign w:val="center"/>
          </w:tcPr>
          <w:p w14:paraId="4D887DC0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084D18B4" w14:textId="037AABB5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pnj8bie</w:t>
            </w:r>
          </w:p>
        </w:tc>
      </w:tr>
      <w:tr w:rsidR="0081632D" w:rsidRPr="0081632D" w14:paraId="7D21F34E" w14:textId="77777777" w:rsidTr="001030CB">
        <w:tc>
          <w:tcPr>
            <w:tcW w:w="3402" w:type="dxa"/>
            <w:vAlign w:val="center"/>
          </w:tcPr>
          <w:p w14:paraId="3273B4ED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1BF0BA26" w14:textId="680D2F1E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kern w:val="0"/>
                <w:sz w:val="22"/>
                <w:szCs w:val="22"/>
                <w:lang w:eastAsia="cs-CZ"/>
              </w:rPr>
              <w:t>Michal Jakubec</w:t>
            </w:r>
          </w:p>
        </w:tc>
      </w:tr>
      <w:tr w:rsidR="0081632D" w:rsidRPr="0081632D" w14:paraId="52959521" w14:textId="77777777" w:rsidTr="001030CB">
        <w:tc>
          <w:tcPr>
            <w:tcW w:w="3402" w:type="dxa"/>
            <w:vAlign w:val="center"/>
          </w:tcPr>
          <w:p w14:paraId="1A7FFDAF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B33F047" w14:textId="7D69B65E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14:paraId="60CBBD75" w14:textId="77777777" w:rsidTr="001030CB">
        <w:tc>
          <w:tcPr>
            <w:tcW w:w="3402" w:type="dxa"/>
            <w:vAlign w:val="center"/>
          </w:tcPr>
          <w:p w14:paraId="4F86FBD0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87738D3" w14:textId="4039B9E5" w:rsidR="0081632D" w:rsidRPr="0081632D" w:rsidRDefault="00327F70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-LightItalic" w:hAnsi="Calibri-LightItalic" w:cs="Calibri-LightItalic"/>
                <w:i/>
                <w:iCs/>
                <w:color w:val="0000FF"/>
                <w:kern w:val="0"/>
                <w:sz w:val="22"/>
                <w:szCs w:val="22"/>
                <w:lang w:eastAsia="cs-CZ"/>
              </w:rPr>
              <w:t>info@hes-stavebni.cz</w:t>
            </w:r>
          </w:p>
        </w:tc>
      </w:tr>
      <w:tr w:rsidR="0081632D" w:rsidRPr="0081632D" w14:paraId="6F2D2A8F" w14:textId="77777777" w:rsidTr="001030CB">
        <w:tc>
          <w:tcPr>
            <w:tcW w:w="3402" w:type="dxa"/>
            <w:vAlign w:val="center"/>
          </w:tcPr>
          <w:p w14:paraId="0330244C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68ED3593" w14:textId="77777777" w:rsidR="0081632D" w:rsidRPr="0081632D" w:rsidRDefault="0081632D" w:rsidP="001030C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2C69ED8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08C897B8" w14:textId="77777777" w:rsidR="00A65CE4" w:rsidRDefault="0081632D" w:rsidP="0081632D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14:paraId="127119C1" w14:textId="77777777" w:rsidR="00A65CE4" w:rsidRDefault="00A65CE4" w:rsidP="0081632D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</w:p>
    <w:p w14:paraId="17F5C587" w14:textId="77777777" w:rsidR="00AA4B69" w:rsidRPr="0032366F" w:rsidRDefault="00654A62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</w:t>
      </w:r>
      <w:r w:rsidR="0081632D" w:rsidRPr="0032366F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smlouvy</w:t>
      </w:r>
    </w:p>
    <w:p w14:paraId="4AA7794D" w14:textId="14C090D1" w:rsidR="008A5156" w:rsidRPr="008C5F79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Předmětem smlouvy</w:t>
      </w:r>
      <w:r w:rsidR="00E80301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je </w:t>
      </w:r>
      <w:r w:rsidR="0081632D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realizace</w:t>
      </w:r>
      <w:r w:rsidR="00FE1F4D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akce</w:t>
      </w:r>
      <w:r w:rsidR="00E80301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-497804908"/>
          <w:placeholder>
            <w:docPart w:val="F3B4DB45F2754D8695996EDB4A86557C"/>
          </w:placeholder>
        </w:sdtPr>
        <w:sdtEndPr/>
        <w:sdtContent>
          <w:r w:rsidR="00C84B30" w:rsidRPr="008C5F79">
            <w:rPr>
              <w:rFonts w:ascii="Calibri Light" w:hAnsi="Calibri Light" w:cs="Calibri Light"/>
              <w:i/>
              <w:sz w:val="22"/>
              <w:szCs w:val="22"/>
            </w:rPr>
            <w:t xml:space="preserve">Propojení komunikace Dukelská Táborská </w:t>
          </w:r>
          <w:proofErr w:type="gramStart"/>
          <w:r w:rsidR="00C84B30" w:rsidRPr="008C5F79">
            <w:rPr>
              <w:rFonts w:ascii="Calibri Light" w:hAnsi="Calibri Light" w:cs="Calibri Light"/>
              <w:i/>
              <w:sz w:val="22"/>
              <w:szCs w:val="22"/>
            </w:rPr>
            <w:t>Říčany</w:t>
          </w:r>
        </w:sdtContent>
      </w:sdt>
      <w:r w:rsidR="008B009B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, </w:t>
      </w:r>
      <w:r w:rsidR="00A65CE4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 </w:t>
      </w:r>
      <w:r w:rsidR="00FC6BEE" w:rsidRPr="008C5F79">
        <w:rPr>
          <w:rFonts w:ascii="Calibri Light" w:hAnsi="Calibri Light" w:cs="Calibri Light"/>
          <w:sz w:val="22"/>
          <w:szCs w:val="22"/>
        </w:rPr>
        <w:t xml:space="preserve"> </w:t>
      </w:r>
      <w:r w:rsidR="00072C88" w:rsidRPr="008C5F79">
        <w:rPr>
          <w:rFonts w:ascii="Calibri Light" w:hAnsi="Calibri Light" w:cs="Calibri Light"/>
          <w:sz w:val="22"/>
          <w:szCs w:val="22"/>
        </w:rPr>
        <w:t>na</w:t>
      </w:r>
      <w:proofErr w:type="gramEnd"/>
      <w:r w:rsidR="00072C88" w:rsidRPr="008C5F79">
        <w:rPr>
          <w:rFonts w:ascii="Calibri Light" w:hAnsi="Calibri Light" w:cs="Calibri Light"/>
          <w:sz w:val="22"/>
          <w:szCs w:val="22"/>
        </w:rPr>
        <w:t xml:space="preserve"> </w:t>
      </w:r>
      <w:r w:rsidR="00FC6BEE" w:rsidRPr="008C5F79">
        <w:rPr>
          <w:rFonts w:ascii="Calibri Light" w:hAnsi="Calibri Light" w:cs="Calibri Light"/>
          <w:sz w:val="22"/>
          <w:szCs w:val="22"/>
        </w:rPr>
        <w:t xml:space="preserve">katastrálním území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-1503965536"/>
          <w:placeholder>
            <w:docPart w:val="2EA6C60C449B419597A675772E8F4737"/>
          </w:placeholder>
        </w:sdtPr>
        <w:sdtEndPr/>
        <w:sdtContent>
          <w:r w:rsidR="00377EFD" w:rsidRPr="008C5F79">
            <w:rPr>
              <w:rFonts w:ascii="Calibri Light" w:hAnsi="Calibri Light" w:cs="Calibri Light"/>
              <w:i/>
              <w:sz w:val="22"/>
              <w:szCs w:val="22"/>
            </w:rPr>
            <w:t xml:space="preserve">Říčany u Prahy </w:t>
          </w:r>
        </w:sdtContent>
      </w:sdt>
      <w:r w:rsidR="007C4453" w:rsidRPr="008C5F79">
        <w:rPr>
          <w:rFonts w:ascii="Calibri Light" w:hAnsi="Calibri Light" w:cs="Calibri Light"/>
          <w:i/>
          <w:sz w:val="22"/>
          <w:szCs w:val="22"/>
        </w:rPr>
        <w:t xml:space="preserve">, </w:t>
      </w:r>
      <w:r w:rsidR="007C4453" w:rsidRPr="008C5F79">
        <w:rPr>
          <w:rFonts w:ascii="Calibri Light" w:hAnsi="Calibri Light" w:cs="Calibri Light"/>
          <w:sz w:val="22"/>
          <w:szCs w:val="22"/>
        </w:rPr>
        <w:t>vše</w:t>
      </w:r>
      <w:r w:rsidR="00457E94" w:rsidRPr="008C5F79">
        <w:rPr>
          <w:rFonts w:ascii="Calibri Light" w:hAnsi="Calibri Light" w:cs="Calibri Light"/>
          <w:sz w:val="22"/>
          <w:szCs w:val="22"/>
        </w:rPr>
        <w:t xml:space="preserve"> na pozemcích </w:t>
      </w:r>
      <w:r w:rsidR="007C4453" w:rsidRPr="008C5F79">
        <w:rPr>
          <w:rFonts w:ascii="Calibri Light" w:hAnsi="Calibri Light" w:cs="Calibri Light"/>
          <w:sz w:val="22"/>
          <w:szCs w:val="22"/>
        </w:rPr>
        <w:t xml:space="preserve">v souladu se </w:t>
      </w:r>
      <w:r w:rsidR="00BA6CC7" w:rsidRPr="008C5F79">
        <w:rPr>
          <w:rFonts w:ascii="Calibri Light" w:hAnsi="Calibri Light" w:cs="Calibri Light"/>
          <w:sz w:val="22"/>
          <w:szCs w:val="22"/>
        </w:rPr>
        <w:t xml:space="preserve">stavebním povolením </w:t>
      </w:r>
      <w:r w:rsidR="00AD40DC" w:rsidRPr="008C5F79">
        <w:rPr>
          <w:rFonts w:ascii="Calibri Light" w:hAnsi="Calibri Light" w:cs="Calibri Light"/>
          <w:sz w:val="22"/>
          <w:szCs w:val="22"/>
        </w:rPr>
        <w:t xml:space="preserve">na komunikaci </w:t>
      </w:r>
      <w:r w:rsidR="00BA6CC7" w:rsidRPr="008C5F79">
        <w:rPr>
          <w:rFonts w:ascii="Calibri Light" w:hAnsi="Calibri Light" w:cs="Calibri Light"/>
          <w:sz w:val="22"/>
          <w:szCs w:val="22"/>
        </w:rPr>
        <w:t>ze dne</w:t>
      </w:r>
      <w:r w:rsidR="00056EFB" w:rsidRPr="008C5F79">
        <w:rPr>
          <w:rFonts w:ascii="Calibri Light" w:hAnsi="Calibri Light" w:cs="Calibri Light"/>
          <w:sz w:val="22"/>
          <w:szCs w:val="22"/>
        </w:rPr>
        <w:t xml:space="preserve"> </w:t>
      </w:r>
      <w:r w:rsidR="00AD40DC" w:rsidRPr="008C5F79">
        <w:rPr>
          <w:rFonts w:ascii="Calibri Light" w:hAnsi="Calibri Light" w:cs="Calibri Light"/>
          <w:sz w:val="22"/>
          <w:szCs w:val="22"/>
        </w:rPr>
        <w:t xml:space="preserve">3.1.2018 </w:t>
      </w:r>
      <w:proofErr w:type="gramStart"/>
      <w:r w:rsidR="00AD40DC" w:rsidRPr="008C5F79">
        <w:rPr>
          <w:rFonts w:ascii="Calibri Light" w:hAnsi="Calibri Light" w:cs="Calibri Light"/>
          <w:sz w:val="22"/>
          <w:szCs w:val="22"/>
        </w:rPr>
        <w:t>č.j.</w:t>
      </w:r>
      <w:proofErr w:type="gramEnd"/>
      <w:r w:rsidR="00AD40DC" w:rsidRPr="008C5F79">
        <w:rPr>
          <w:rFonts w:ascii="Calibri Light" w:hAnsi="Calibri Light" w:cs="Calibri Light"/>
          <w:sz w:val="22"/>
          <w:szCs w:val="22"/>
        </w:rPr>
        <w:t xml:space="preserve"> 61835/2017-MURI/OSAD včetně změny stavby před dokončením a prodloužení SP č.j. 3523/2020-MURI/OSAD ze dne 18.2.2020, stavebním povolením na dešťovou kanalizaci a propojení vodovodu ze dne 28.3.2018 pod</w:t>
      </w:r>
      <w:r w:rsidR="006E7A52" w:rsidRPr="008C5F79">
        <w:rPr>
          <w:rFonts w:ascii="Calibri Light" w:hAnsi="Calibri Light" w:cs="Calibri Light"/>
          <w:sz w:val="22"/>
          <w:szCs w:val="22"/>
        </w:rPr>
        <w:t xml:space="preserve"> </w:t>
      </w:r>
      <w:r w:rsidR="00AD40DC" w:rsidRPr="008C5F79">
        <w:rPr>
          <w:rFonts w:ascii="Calibri Light" w:hAnsi="Calibri Light" w:cs="Calibri Light"/>
          <w:sz w:val="22"/>
          <w:szCs w:val="22"/>
        </w:rPr>
        <w:t>zn. OŽP-51983/2017-Ma včetně prodloužení SP a územního rozhodnutí na veřejné osvětlení ze dne  22.11.2017 pod č.j. 61866/2017-MURI/OSÚ/00023</w:t>
      </w:r>
      <w:r w:rsidR="006E7A52" w:rsidRPr="008C5F79">
        <w:rPr>
          <w:rFonts w:ascii="Calibri Light" w:hAnsi="Calibri Light" w:cs="Calibri Light"/>
          <w:sz w:val="22"/>
          <w:szCs w:val="22"/>
        </w:rPr>
        <w:t xml:space="preserve"> (</w:t>
      </w:r>
      <w:r w:rsidR="007C3569" w:rsidRPr="008C5F79">
        <w:rPr>
          <w:rFonts w:ascii="Calibri Light" w:hAnsi="Calibri Light" w:cs="Calibri Light"/>
          <w:sz w:val="22"/>
          <w:szCs w:val="22"/>
        </w:rPr>
        <w:t>a projektovou dokumentací</w:t>
      </w:r>
      <w:r w:rsidR="003D0AA9" w:rsidRPr="008C5F79">
        <w:rPr>
          <w:rFonts w:ascii="Calibri Light" w:hAnsi="Calibri Light" w:cs="Calibri Light"/>
          <w:sz w:val="22"/>
          <w:szCs w:val="22"/>
        </w:rPr>
        <w:t xml:space="preserve"> </w:t>
      </w:r>
      <w:r w:rsidR="003D0AA9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zpracovanou </w:t>
      </w:r>
      <w:r w:rsidR="00C84B30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firmou NDCON </w:t>
      </w:r>
      <w:r w:rsidR="00AD40DC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s.r.o., Praha, Zlatnická 1582/10, IČ: 64939511</w:t>
      </w:r>
      <w:r w:rsidR="001F2EC6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, </w:t>
      </w:r>
      <w:r w:rsidR="003D0AA9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 xml:space="preserve">(dále jen </w:t>
      </w:r>
      <w:r w:rsidR="003D0AA9" w:rsidRPr="008C5F79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lastRenderedPageBreak/>
        <w:t>projektová dokumentace nebo PD)</w:t>
      </w:r>
      <w:r w:rsidR="007C4453" w:rsidRPr="008C5F79">
        <w:rPr>
          <w:rFonts w:ascii="Calibri Light" w:hAnsi="Calibri Light" w:cs="Calibri Light"/>
          <w:sz w:val="22"/>
          <w:szCs w:val="22"/>
        </w:rPr>
        <w:t>, s nimiž byl zhotovitel seznámen a které v potřebném počtu výtisků obdržel.</w:t>
      </w:r>
      <w:r w:rsidR="007D160F" w:rsidRPr="008C5F79">
        <w:rPr>
          <w:rFonts w:ascii="Calibri Light" w:hAnsi="Calibri Light" w:cs="Calibri Light"/>
          <w:sz w:val="22"/>
          <w:szCs w:val="22"/>
        </w:rPr>
        <w:t xml:space="preserve"> </w:t>
      </w:r>
    </w:p>
    <w:p w14:paraId="15E54DBA" w14:textId="77777777" w:rsidR="003D0AA9" w:rsidRPr="003D0AA9" w:rsidRDefault="003D0AA9" w:rsidP="003D0AA9">
      <w:pPr>
        <w:pStyle w:val="Odstavecseseznamem"/>
        <w:numPr>
          <w:ilvl w:val="0"/>
          <w:numId w:val="4"/>
        </w:numPr>
        <w:rPr>
          <w:rFonts w:ascii="Calibri Light" w:hAnsi="Calibri Light" w:cs="Segoe UI"/>
          <w:sz w:val="22"/>
          <w:szCs w:val="22"/>
        </w:rPr>
      </w:pPr>
      <w:r w:rsidRPr="003D0AA9">
        <w:rPr>
          <w:rFonts w:ascii="Calibri Light" w:hAnsi="Calibri Light" w:cs="Segoe UI"/>
          <w:sz w:val="22"/>
          <w:szCs w:val="22"/>
        </w:rPr>
        <w:t>Tuto smlouvu uzavírají smluvní strany na základě výsledků zadávacího řízení na veřejnou zakázku na stavební práce nazvanou „</w:t>
      </w:r>
      <w:r w:rsidR="00C84B30">
        <w:rPr>
          <w:rFonts w:ascii="Calibri Light" w:hAnsi="Calibri Light" w:cs="Segoe UI"/>
          <w:sz w:val="22"/>
          <w:szCs w:val="22"/>
        </w:rPr>
        <w:t xml:space="preserve">Propojení komunikace Dukelská </w:t>
      </w:r>
      <w:r w:rsidR="007A7FA4">
        <w:rPr>
          <w:rFonts w:ascii="Calibri Light" w:hAnsi="Calibri Light" w:cs="Segoe UI"/>
          <w:sz w:val="22"/>
          <w:szCs w:val="22"/>
        </w:rPr>
        <w:t xml:space="preserve">- </w:t>
      </w:r>
      <w:r w:rsidR="00C84B30">
        <w:rPr>
          <w:rFonts w:ascii="Calibri Light" w:hAnsi="Calibri Light" w:cs="Segoe UI"/>
          <w:sz w:val="22"/>
          <w:szCs w:val="22"/>
        </w:rPr>
        <w:t xml:space="preserve">Táborská </w:t>
      </w:r>
      <w:r w:rsidR="006546CB">
        <w:rPr>
          <w:rFonts w:ascii="Calibri Light" w:hAnsi="Calibri Light" w:cs="Segoe UI"/>
          <w:sz w:val="22"/>
          <w:szCs w:val="22"/>
        </w:rPr>
        <w:t>Říčany</w:t>
      </w:r>
      <w:r w:rsidRPr="003D0AA9">
        <w:rPr>
          <w:rFonts w:ascii="Calibri Light" w:hAnsi="Calibri Light" w:cs="Segoe UI"/>
          <w:sz w:val="22"/>
          <w:szCs w:val="22"/>
        </w:rPr>
        <w:t>“, realizovaného objednatelem, jakožto zadavatelem, dle zákona č. 134/2016 Sb., o zadávání veřejných zakázek, ve znění pozdějších předpisů (dále jen „zadávací řízení“), v němž zhotovitel předložil nejvhodnější nabídku. Všechny podmínky i skutečnosti ze zadávacího řízení vzešlé jsou pro smluvní strany závazné i bez jejich výslovného uvedení v této smlouvě.</w:t>
      </w:r>
    </w:p>
    <w:p w14:paraId="18E38861" w14:textId="77777777" w:rsidR="003D0AA9" w:rsidRPr="0032366F" w:rsidRDefault="003D0AA9" w:rsidP="003D0AA9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BF3A05E" w14:textId="77777777" w:rsidR="008A5156" w:rsidRPr="007C4453" w:rsidRDefault="003D0AA9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Dílo bude provedeno v rozsahu daném</w:t>
      </w:r>
      <w:r w:rsidR="007C4453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nabídkovým rozpoč</w:t>
      </w:r>
      <w:r w:rsidR="00C05F2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tem</w:t>
      </w:r>
      <w:r w:rsidR="007C4453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kter</w:t>
      </w:r>
      <w:r w:rsidR="00C05F28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ý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tvoří přílohu č. 1 této smlouvy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v souladu s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projektov</w:t>
      </w:r>
      <w:r w:rsidR="0044591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ou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dokumentac</w:t>
      </w:r>
      <w:r w:rsidR="0044591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í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r w:rsidRPr="003D0AA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s rozhodnutími příslušných orgánů veřejné správy, se souvisejícími vyjádřeními dotčených orgánů a správců sítí, a dále s příslušnými normami ČSN a právními předpisy účinnými v době provádění díla.</w:t>
      </w:r>
      <w:r w:rsidR="005830B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C5C19A6" w14:textId="77777777" w:rsid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Objednatel si vyhrazuje právo odsouhlasit veškeré postupy prací a dále použité materiály, terénní úpravy apod. Je-li v zadávací dokumentaci definován konkrétní výrobek (nebo technologie), smluvní strany si sjednávají, že je tím definován minimální požadovaný standard. Objednatel v takovém případě připouští použití i jiných, kvalitativně a technicky obdobných řešení</w:t>
      </w:r>
      <w:r w:rsidR="003D0AA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r w:rsidR="003D0AA9" w:rsidRPr="003D0AA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která podléhají odsouhlasení autorským dozorem a objednatelem</w:t>
      </w:r>
      <w:r w:rsidR="00352DE5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7450FDE5" w14:textId="77777777" w:rsidR="004B2EFA" w:rsidRDefault="004B2EFA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Součástí </w:t>
      </w:r>
      <w:r w:rsidR="001030CB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závazku zhotovitele je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rovněž: </w:t>
      </w:r>
    </w:p>
    <w:sdt>
      <w:sdtPr>
        <w:rPr>
          <w:rFonts w:ascii="Calibri Light" w:eastAsia="Times New Roman" w:hAnsi="Calibri Light" w:cs="Segoe UI"/>
          <w:i/>
          <w:kern w:val="1"/>
          <w:sz w:val="20"/>
          <w:szCs w:val="22"/>
          <w:lang w:eastAsia="ar-SA"/>
        </w:rPr>
        <w:tag w:val="Zadejte"/>
        <w:id w:val="2135902217"/>
        <w:placeholder>
          <w:docPart w:val="173AC0D73CD348D0945025BB9990160D"/>
        </w:placeholder>
      </w:sdtPr>
      <w:sdtEndPr>
        <w:rPr>
          <w:rFonts w:ascii="Times New Roman" w:hAnsi="Times New Roman" w:cs="Times New Roman"/>
          <w:i w:val="0"/>
          <w:szCs w:val="20"/>
        </w:rPr>
      </w:sdtEndPr>
      <w:sdtContent>
        <w:p w14:paraId="62293F7D" w14:textId="77777777" w:rsidR="005211A9" w:rsidRPr="00C167D3" w:rsidRDefault="005211A9" w:rsidP="00457E94">
          <w:pPr>
            <w:pStyle w:val="Odstavec"/>
            <w:numPr>
              <w:ilvl w:val="2"/>
              <w:numId w:val="32"/>
            </w:num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S</w:t>
          </w:r>
          <w:r w:rsidRPr="00C167D3">
            <w:rPr>
              <w:rFonts w:ascii="Calibri Light" w:hAnsi="Calibri Light" w:cs="Calibri Light"/>
            </w:rPr>
            <w:t>eznám</w:t>
          </w:r>
          <w:r>
            <w:rPr>
              <w:rFonts w:ascii="Calibri Light" w:hAnsi="Calibri Light" w:cs="Calibri Light"/>
            </w:rPr>
            <w:t>ení</w:t>
          </w:r>
          <w:r w:rsidRPr="00C167D3">
            <w:rPr>
              <w:rFonts w:ascii="Calibri Light" w:hAnsi="Calibri Light" w:cs="Calibri Light"/>
            </w:rPr>
            <w:t xml:space="preserve"> se </w:t>
          </w:r>
          <w:r>
            <w:rPr>
              <w:rFonts w:ascii="Calibri Light" w:hAnsi="Calibri Light" w:cs="Calibri Light"/>
            </w:rPr>
            <w:t xml:space="preserve">se </w:t>
          </w:r>
          <w:r w:rsidRPr="00C167D3">
            <w:rPr>
              <w:rFonts w:ascii="Calibri Light" w:hAnsi="Calibri Light" w:cs="Calibri Light"/>
            </w:rPr>
            <w:t xml:space="preserve">stavem místa plnění, přičemž k němu samotnému ani k jeho dopravní dostupnosti nevznáší výhrad, </w:t>
          </w:r>
        </w:p>
        <w:p w14:paraId="63757DA4" w14:textId="77777777" w:rsidR="004B2EFA" w:rsidRPr="001E60DE" w:rsidRDefault="007C4453" w:rsidP="00457E94">
          <w:pPr>
            <w:pStyle w:val="Odstavecseseznamem"/>
            <w:numPr>
              <w:ilvl w:val="2"/>
              <w:numId w:val="32"/>
            </w:numPr>
            <w:tabs>
              <w:tab w:val="left" w:pos="-1985"/>
            </w:tabs>
            <w:suppressAutoHyphens w:val="0"/>
            <w:spacing w:before="120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1E60DE">
            <w:rPr>
              <w:rFonts w:ascii="Calibri Light" w:hAnsi="Calibri Light" w:cs="Segoe UI"/>
              <w:sz w:val="22"/>
              <w:szCs w:val="22"/>
            </w:rPr>
            <w:t>Zajištění DIO (dopravně inženýrská opatření)</w:t>
          </w:r>
          <w:r w:rsidR="007444FD" w:rsidRPr="001E60DE">
            <w:rPr>
              <w:rFonts w:ascii="Calibri Light" w:hAnsi="Calibri Light" w:cs="Segoe UI"/>
              <w:sz w:val="22"/>
              <w:szCs w:val="22"/>
            </w:rPr>
            <w:t xml:space="preserve"> </w:t>
          </w:r>
        </w:p>
      </w:sdtContent>
    </w:sdt>
    <w:p w14:paraId="2D61F79D" w14:textId="77777777" w:rsidR="004B2EFA" w:rsidRPr="0084793E" w:rsidRDefault="0007772C" w:rsidP="005211A9">
      <w:pPr>
        <w:pStyle w:val="Odstavecseseznamem"/>
        <w:numPr>
          <w:ilvl w:val="2"/>
          <w:numId w:val="32"/>
        </w:numPr>
        <w:tabs>
          <w:tab w:val="left" w:pos="-1985"/>
        </w:tabs>
        <w:suppressAutoHyphens w:val="0"/>
        <w:spacing w:before="120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696003284"/>
          <w:placeholder>
            <w:docPart w:val="B6767346B28B48B7B700FE4C1BBFA9E5"/>
          </w:placeholder>
        </w:sdtPr>
        <w:sdtEndPr/>
        <w:sdtContent>
          <w:r w:rsidR="007C4453" w:rsidRPr="0084793E">
            <w:rPr>
              <w:rFonts w:ascii="Calibri Light" w:hAnsi="Calibri Light" w:cs="Segoe UI"/>
              <w:sz w:val="22"/>
              <w:szCs w:val="22"/>
            </w:rPr>
            <w:t>Zpracování dokumentace skutečného provedení díla (3x v listinné podobě v měřítcích shodných s dokumentací pro provedení stavby, 2x na CD-R, či DVD.</w:t>
          </w:r>
        </w:sdtContent>
      </w:sdt>
    </w:p>
    <w:p w14:paraId="2264FF41" w14:textId="77777777" w:rsidR="004B2EFA" w:rsidRPr="007C4453" w:rsidRDefault="0007772C" w:rsidP="005211A9">
      <w:pPr>
        <w:pStyle w:val="Odstavecseseznamem"/>
        <w:numPr>
          <w:ilvl w:val="2"/>
          <w:numId w:val="32"/>
        </w:numPr>
        <w:tabs>
          <w:tab w:val="left" w:pos="-1985"/>
        </w:tabs>
        <w:suppressAutoHyphens w:val="0"/>
        <w:spacing w:before="120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97399292"/>
          <w:placeholder>
            <w:docPart w:val="F458C9698A6A4D189CF5FD89D077CD4A"/>
          </w:placeholder>
        </w:sdtPr>
        <w:sdtEndPr/>
        <w:sdtContent>
          <w:r w:rsidR="007C4453" w:rsidRPr="0084793E">
            <w:rPr>
              <w:rFonts w:ascii="Calibri Light" w:hAnsi="Calibri Light" w:cs="Segoe UI"/>
              <w:sz w:val="22"/>
              <w:szCs w:val="22"/>
            </w:rPr>
            <w:t>Zajištění úpravy dokumentace pro provedení stavby a součinnost při projednání případné změny předmětu díla před dokončením z důvodů na straně zhotovitele s příslušným stavebním úřadem.</w:t>
          </w:r>
        </w:sdtContent>
      </w:sdt>
    </w:p>
    <w:p w14:paraId="17A12374" w14:textId="77777777" w:rsidR="004B2EFA" w:rsidRPr="007C4453" w:rsidRDefault="0007772C" w:rsidP="005211A9">
      <w:pPr>
        <w:pStyle w:val="Odstavecseseznamem"/>
        <w:numPr>
          <w:ilvl w:val="2"/>
          <w:numId w:val="32"/>
        </w:numPr>
        <w:tabs>
          <w:tab w:val="left" w:pos="-1985"/>
        </w:tabs>
        <w:suppressAutoHyphens w:val="0"/>
        <w:spacing w:before="120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464191428"/>
          <w:placeholder>
            <w:docPart w:val="2E33ACA3ED3C494BAC2595A1F8B45A36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 xml:space="preserve">Zajištění všech potřebných </w:t>
          </w:r>
          <w:r w:rsidR="005830BC">
            <w:rPr>
              <w:rFonts w:ascii="Calibri Light" w:hAnsi="Calibri Light" w:cs="Segoe UI"/>
              <w:sz w:val="22"/>
              <w:szCs w:val="22"/>
            </w:rPr>
            <w:t xml:space="preserve">měření </w:t>
          </w:r>
          <w:r w:rsidR="007D160F">
            <w:rPr>
              <w:rFonts w:ascii="Calibri Light" w:hAnsi="Calibri Light" w:cs="Segoe UI"/>
              <w:sz w:val="22"/>
              <w:szCs w:val="22"/>
            </w:rPr>
            <w:t xml:space="preserve">nejen </w:t>
          </w:r>
          <w:r w:rsidR="005830BC">
            <w:rPr>
              <w:rFonts w:ascii="Calibri Light" w:hAnsi="Calibri Light" w:cs="Segoe UI"/>
              <w:sz w:val="22"/>
              <w:szCs w:val="22"/>
            </w:rPr>
            <w:t>dle DOSS</w:t>
          </w:r>
          <w:r w:rsidR="00B038EE">
            <w:rPr>
              <w:rFonts w:ascii="Calibri Light" w:hAnsi="Calibri Light" w:cs="Segoe UI"/>
              <w:sz w:val="22"/>
              <w:szCs w:val="22"/>
            </w:rPr>
            <w:t xml:space="preserve">, </w:t>
          </w:r>
          <w:r w:rsidR="005830BC">
            <w:rPr>
              <w:rFonts w:ascii="Calibri Light" w:hAnsi="Calibri Light" w:cs="Segoe UI"/>
              <w:sz w:val="22"/>
              <w:szCs w:val="22"/>
            </w:rPr>
            <w:t xml:space="preserve">zajištění </w:t>
          </w:r>
          <w:r w:rsidR="00B038EE">
            <w:rPr>
              <w:rFonts w:ascii="Calibri Light" w:hAnsi="Calibri Light" w:cs="Segoe UI"/>
              <w:sz w:val="22"/>
              <w:szCs w:val="22"/>
            </w:rPr>
            <w:t xml:space="preserve">všech 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>výpočtů, zkoušek</w:t>
          </w:r>
          <w:r w:rsidR="007C3569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>atp.</w:t>
          </w:r>
          <w:r w:rsidR="007D160F">
            <w:rPr>
              <w:rFonts w:ascii="Calibri Light" w:hAnsi="Calibri Light" w:cs="Segoe UI"/>
              <w:sz w:val="22"/>
              <w:szCs w:val="22"/>
            </w:rPr>
            <w:t xml:space="preserve"> k předání díla </w:t>
          </w:r>
        </w:sdtContent>
      </w:sdt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24342830"/>
        <w:placeholder>
          <w:docPart w:val="8AAF5E16833F4D4B9E133A070E9547C8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1BD9CD85" w14:textId="77777777" w:rsidR="007C4453" w:rsidRPr="00323D9C" w:rsidRDefault="007C4453" w:rsidP="005211A9">
          <w:pPr>
            <w:pStyle w:val="Odstavecseseznamem"/>
            <w:numPr>
              <w:ilvl w:val="2"/>
              <w:numId w:val="32"/>
            </w:numPr>
            <w:tabs>
              <w:tab w:val="left" w:pos="-1985"/>
            </w:tabs>
            <w:suppressAutoHyphens w:val="0"/>
            <w:spacing w:before="120" w:after="60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a předání kompletní dokumentace, veškerých potřebných dokladů, revizí, atestů apod. k vydání kolaudačního souhlasu</w:t>
          </w:r>
          <w:r w:rsidR="005830BC">
            <w:rPr>
              <w:rFonts w:ascii="Calibri Light" w:hAnsi="Calibri Light" w:cs="Segoe UI"/>
              <w:sz w:val="22"/>
              <w:szCs w:val="22"/>
            </w:rPr>
            <w:t xml:space="preserve"> či k převzetí díla </w:t>
          </w:r>
        </w:p>
      </w:sdtContent>
    </w:sdt>
    <w:p w14:paraId="0DAE1986" w14:textId="77777777" w:rsidR="002674CC" w:rsidRPr="002674CC" w:rsidRDefault="002674CC" w:rsidP="002674CC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Případné zaměřovací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5914315"/>
          <w:placeholder>
            <w:docPart w:val="F7946316D2D943BFA9F7405F7F58F31B"/>
          </w:placeholder>
        </w:sdtPr>
        <w:sdtEndPr/>
        <w:sdtContent>
          <w:r w:rsidRPr="002674CC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vytýčení podzemních vedení a zařízení v obvodu staveniště, popř. zjištění vedení vnitřních rozvodů</w:t>
          </w:r>
        </w:sdtContent>
      </w:sdt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práce si organizuje, objednává a kontroluje zhotovitel.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6B15D19D" w14:textId="77777777" w:rsidR="00AA4B69" w:rsidRPr="00891D70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891D7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3F176D1F" w14:textId="77777777" w:rsidR="001030CB" w:rsidRPr="00975A01" w:rsidRDefault="001030CB" w:rsidP="00975A01">
      <w:pPr>
        <w:pStyle w:val="Odstavecseseznamem"/>
        <w:numPr>
          <w:ilvl w:val="0"/>
          <w:numId w:val="5"/>
        </w:numPr>
        <w:spacing w:after="60"/>
        <w:ind w:left="284"/>
        <w:jc w:val="both"/>
        <w:rPr>
          <w:rFonts w:ascii="Calibri Light" w:hAnsi="Calibri Light"/>
          <w:sz w:val="22"/>
          <w:szCs w:val="22"/>
        </w:rPr>
      </w:pPr>
      <w:r w:rsidRPr="00975A01">
        <w:rPr>
          <w:rFonts w:ascii="Calibri Light" w:hAnsi="Calibri Light" w:cs="Arial"/>
          <w:sz w:val="22"/>
          <w:szCs w:val="22"/>
        </w:rPr>
        <w:t xml:space="preserve">Zhotovitel se zavazuje převzít staveniště do </w:t>
      </w:r>
      <w:r w:rsidR="007A7FA4" w:rsidRPr="00975A01">
        <w:rPr>
          <w:rFonts w:ascii="Calibri Light" w:hAnsi="Calibri Light" w:cs="Arial"/>
          <w:sz w:val="22"/>
          <w:szCs w:val="22"/>
        </w:rPr>
        <w:t>2</w:t>
      </w:r>
      <w:r w:rsidRPr="00975A01">
        <w:rPr>
          <w:rFonts w:ascii="Calibri Light" w:hAnsi="Calibri Light" w:cs="Arial"/>
          <w:sz w:val="22"/>
          <w:szCs w:val="22"/>
        </w:rPr>
        <w:t xml:space="preserve">0 pracovních dnů od doručení Výzvy objednatele, kterou mu objednatel zašle po zajištění finančního krytí realizace akce. Objednatel je oprávněn zaslat zhotoviteli </w:t>
      </w:r>
      <w:r w:rsidR="00381500">
        <w:rPr>
          <w:rFonts w:ascii="Calibri Light" w:hAnsi="Calibri Light" w:cs="Arial"/>
          <w:sz w:val="22"/>
          <w:szCs w:val="22"/>
        </w:rPr>
        <w:t>uvedenou Výzvu nejpozději do 30</w:t>
      </w:r>
      <w:r w:rsidR="00C84B30" w:rsidRPr="00975A01">
        <w:rPr>
          <w:rFonts w:ascii="Calibri Light" w:hAnsi="Calibri Light" w:cs="Arial"/>
          <w:sz w:val="22"/>
          <w:szCs w:val="22"/>
        </w:rPr>
        <w:t>.</w:t>
      </w:r>
      <w:r w:rsidR="00457E94">
        <w:rPr>
          <w:rFonts w:ascii="Calibri Light" w:hAnsi="Calibri Light" w:cs="Arial"/>
          <w:sz w:val="22"/>
          <w:szCs w:val="22"/>
        </w:rPr>
        <w:t xml:space="preserve"> </w:t>
      </w:r>
      <w:r w:rsidR="00381500">
        <w:rPr>
          <w:rFonts w:ascii="Calibri Light" w:hAnsi="Calibri Light" w:cs="Arial"/>
          <w:sz w:val="22"/>
          <w:szCs w:val="22"/>
        </w:rPr>
        <w:t>6</w:t>
      </w:r>
      <w:r w:rsidRPr="00975A01">
        <w:rPr>
          <w:rFonts w:ascii="Calibri Light" w:hAnsi="Calibri Light" w:cs="Arial"/>
          <w:sz w:val="22"/>
          <w:szCs w:val="22"/>
        </w:rPr>
        <w:t>.</w:t>
      </w:r>
      <w:r w:rsidR="00457E94">
        <w:rPr>
          <w:rFonts w:ascii="Calibri Light" w:hAnsi="Calibri Light" w:cs="Arial"/>
          <w:sz w:val="22"/>
          <w:szCs w:val="22"/>
        </w:rPr>
        <w:t xml:space="preserve"> </w:t>
      </w:r>
      <w:r w:rsidRPr="00975A01">
        <w:rPr>
          <w:rFonts w:ascii="Calibri Light" w:hAnsi="Calibri Light" w:cs="Arial"/>
          <w:sz w:val="22"/>
          <w:szCs w:val="22"/>
        </w:rPr>
        <w:t xml:space="preserve">2021. V případě marného uplynutí této lhůty pozbývá tato smlouva účinnosti, přičemž zhotoviteli nevzniká z tohoto titulu žádný finanční ani jiný nárok vůči objednateli.  </w:t>
      </w:r>
    </w:p>
    <w:p w14:paraId="00C2061F" w14:textId="77777777" w:rsidR="00DC5B2A" w:rsidRPr="00891D70" w:rsidRDefault="008A5156" w:rsidP="006F4560">
      <w:pPr>
        <w:pStyle w:val="Normlnweb"/>
        <w:numPr>
          <w:ilvl w:val="0"/>
          <w:numId w:val="5"/>
        </w:numPr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se zavazuje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p w14:paraId="2E718E28" w14:textId="77777777" w:rsidR="00DC5B2A" w:rsidRPr="00A65CE4" w:rsidRDefault="00B038EE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</w:pP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Zahá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jit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stave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bní prá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F703E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max. 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 </w:t>
      </w:r>
      <w:r w:rsidR="001A73B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="00654A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</w:t>
      </w:r>
      <w:r w:rsidR="00DC5B2A" w:rsidRPr="00891D7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pracovních dnů 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 převzetí staveniště</w:t>
      </w:r>
      <w:r w:rsidR="00A65CE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5676587" w14:textId="77777777" w:rsidR="00353E23" w:rsidRPr="00A72313" w:rsidRDefault="002A5AA5" w:rsidP="00891D70">
      <w:pPr>
        <w:pStyle w:val="Normlnweb"/>
        <w:numPr>
          <w:ilvl w:val="1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Nejpozději</w:t>
      </w:r>
      <w:r w:rsidR="0075008A" w:rsidRPr="000D1BEB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d</w:t>
      </w:r>
      <w:r w:rsidR="00FA459C" w:rsidRPr="000D1BEB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o </w:t>
      </w:r>
      <w:r w:rsidR="004342E6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100 pracovních dní</w:t>
      </w:r>
      <w:r w:rsidR="00FA459C" w:rsidRPr="000D1BEB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r w:rsidR="007F703E" w:rsidRPr="000D1BEB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od pře</w:t>
      </w:r>
      <w:r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vzetí </w:t>
      </w:r>
      <w:r w:rsidR="007F703E" w:rsidRPr="000D1BEB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staveniště</w:t>
      </w:r>
      <w:r w:rsidR="007F703E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FA459C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975419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okončit </w:t>
      </w:r>
      <w:r w:rsidR="00A72313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realizaci díla</w:t>
      </w:r>
      <w:r w:rsidR="008F52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předat dílo objednateli</w:t>
      </w:r>
      <w:r w:rsidR="00DF722E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="00353E23" w:rsidRP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tomto termínu předá zhotovitel objednateli veškeré podklady potřebné pro kolaudaci (revize, zkoušky, měření aj. doklady)</w:t>
      </w:r>
    </w:p>
    <w:p w14:paraId="7AAEDEF1" w14:textId="77777777" w:rsidR="006B3138" w:rsidRPr="006B3138" w:rsidRDefault="006B3138" w:rsidP="00891D70">
      <w:pPr>
        <w:pStyle w:val="Normlnweb"/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21ABC57B" w14:textId="77777777" w:rsidR="008A5156" w:rsidRDefault="008A5156" w:rsidP="006F4560">
      <w:pPr>
        <w:pStyle w:val="Normlnweb"/>
        <w:numPr>
          <w:ilvl w:val="0"/>
          <w:numId w:val="5"/>
        </w:numPr>
        <w:spacing w:after="60"/>
        <w:ind w:left="284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Zhotovitel je </w:t>
      </w:r>
      <w:r w:rsidR="00FC6BE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oprávněn a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povinen přerušit provádění prací na nezbytně nutnou dobu, pokud mu klimatické podmínky nedovolí dodržení technologických předpisů a norem, případně znemožní řádné provádění prací. O tuto dobu se prodlužuje termín dokončení díla.</w:t>
      </w:r>
      <w:r w:rsidR="008B009B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 této skutečnosti zhotovitel bezodkladně vyrozumí objednatele a skutečnost zaznamená do stavebního deníku.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</w:t>
      </w:r>
      <w:r w:rsidR="003164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přerušením stavby </w:t>
      </w:r>
      <w:r w:rsidR="001030C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 důvodu</w:t>
      </w:r>
      <w:r w:rsidR="00B167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klimatických podmínek musí zhotovitel řádně zajistit</w:t>
      </w:r>
      <w:r w:rsidR="003164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stavbu proti poškození vlivem počasí či třetí osoby.</w:t>
      </w:r>
    </w:p>
    <w:p w14:paraId="55C3B1F6" w14:textId="77777777" w:rsidR="00AA4B69" w:rsidRPr="002674CC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4F8EFFA3" w14:textId="77777777" w:rsidR="00C6537B" w:rsidRPr="002674CC" w:rsidRDefault="005C4BCF" w:rsidP="002674CC">
      <w:pPr>
        <w:pStyle w:val="Normlnweb"/>
        <w:numPr>
          <w:ilvl w:val="0"/>
          <w:numId w:val="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Cena díla je dohodou smluvních stran stanovena </w:t>
      </w:r>
      <w:r w:rsidR="00267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výši:</w:t>
      </w:r>
    </w:p>
    <w:p w14:paraId="3BF1DED1" w14:textId="22780611" w:rsidR="00C6537B" w:rsidRDefault="00C6537B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Cena </w:t>
      </w:r>
      <w:r w:rsidR="004342E6">
        <w:rPr>
          <w:rFonts w:ascii="Calibri Light" w:hAnsi="Calibri Light"/>
          <w:sz w:val="22"/>
          <w:szCs w:val="22"/>
        </w:rPr>
        <w:t xml:space="preserve">stavby „Propojení komunikace Dukelská Táborská, Říčany </w:t>
      </w:r>
      <w:r w:rsidR="005C4BCF">
        <w:rPr>
          <w:rFonts w:ascii="Calibri Light" w:hAnsi="Calibri Light"/>
          <w:sz w:val="22"/>
          <w:szCs w:val="22"/>
        </w:rPr>
        <w:t>“</w:t>
      </w:r>
      <w:r w:rsidR="00A72313">
        <w:rPr>
          <w:rFonts w:ascii="Calibri Light" w:hAnsi="Calibri Light"/>
          <w:sz w:val="22"/>
          <w:szCs w:val="22"/>
        </w:rPr>
        <w:t xml:space="preserve"> </w:t>
      </w:r>
      <w:r w:rsidR="00ED63E5"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 xml:space="preserve">bez </w:t>
      </w:r>
      <w:proofErr w:type="gramStart"/>
      <w:r w:rsidRPr="0081632D">
        <w:rPr>
          <w:rFonts w:ascii="Calibri Light" w:hAnsi="Calibri Light"/>
          <w:sz w:val="22"/>
          <w:szCs w:val="22"/>
        </w:rPr>
        <w:t xml:space="preserve">DPH </w:t>
      </w:r>
      <w:r w:rsidR="005C4BCF">
        <w:rPr>
          <w:rFonts w:ascii="Calibri Light" w:hAnsi="Calibri Light"/>
          <w:sz w:val="22"/>
          <w:szCs w:val="22"/>
        </w:rPr>
        <w:t>:</w:t>
      </w:r>
      <w:r w:rsidRPr="0081632D">
        <w:rPr>
          <w:rFonts w:ascii="Calibri Light" w:hAnsi="Calibri Light"/>
          <w:sz w:val="22"/>
          <w:szCs w:val="22"/>
        </w:rPr>
        <w:t xml:space="preserve">  </w:t>
      </w:r>
      <w:r w:rsidR="00327F70">
        <w:rPr>
          <w:rFonts w:ascii="Calibri-LightItalic" w:hAnsi="Calibri-LightItalic" w:cs="Calibri-LightItalic"/>
          <w:i/>
          <w:iCs/>
          <w:sz w:val="22"/>
          <w:szCs w:val="22"/>
          <w:lang w:eastAsia="cs-CZ"/>
        </w:rPr>
        <w:t>4.707.832,26</w:t>
      </w:r>
      <w:proofErr w:type="gramEnd"/>
      <w:r w:rsidR="002674CC" w:rsidRPr="0081632D">
        <w:rPr>
          <w:rFonts w:ascii="Calibri Light" w:hAnsi="Calibri Light"/>
          <w:b/>
          <w:sz w:val="22"/>
          <w:szCs w:val="22"/>
        </w:rPr>
        <w:t xml:space="preserve"> </w:t>
      </w:r>
      <w:r w:rsidRPr="0081632D">
        <w:rPr>
          <w:rFonts w:ascii="Calibri Light" w:hAnsi="Calibri Light"/>
          <w:b/>
          <w:sz w:val="22"/>
          <w:szCs w:val="22"/>
        </w:rPr>
        <w:t>Kč</w:t>
      </w:r>
      <w:r w:rsidRPr="0081632D">
        <w:rPr>
          <w:rFonts w:ascii="Calibri Light" w:hAnsi="Calibri Light"/>
          <w:sz w:val="22"/>
          <w:szCs w:val="22"/>
        </w:rPr>
        <w:t xml:space="preserve"> </w:t>
      </w:r>
      <w:r w:rsidR="00A72313">
        <w:rPr>
          <w:rFonts w:ascii="Calibri Light" w:hAnsi="Calibri Light"/>
          <w:sz w:val="22"/>
          <w:szCs w:val="22"/>
        </w:rPr>
        <w:t xml:space="preserve"> </w:t>
      </w:r>
    </w:p>
    <w:p w14:paraId="48FDC028" w14:textId="074DBB4B" w:rsidR="00101350" w:rsidRDefault="002674CC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101350">
        <w:rPr>
          <w:rFonts w:ascii="Calibri Light" w:hAnsi="Calibri Light"/>
          <w:sz w:val="22"/>
          <w:szCs w:val="22"/>
        </w:rPr>
        <w:t>DPH</w:t>
      </w:r>
      <w:r w:rsidR="005C4BCF">
        <w:rPr>
          <w:rFonts w:ascii="Calibri Light" w:hAnsi="Calibri Light"/>
          <w:sz w:val="22"/>
          <w:szCs w:val="22"/>
        </w:rPr>
        <w:t>:</w:t>
      </w:r>
      <w:r w:rsidRPr="00101350">
        <w:rPr>
          <w:rFonts w:ascii="Calibri Light" w:hAnsi="Calibri Light"/>
          <w:sz w:val="22"/>
          <w:szCs w:val="22"/>
        </w:rPr>
        <w:t xml:space="preserve"> </w:t>
      </w:r>
      <w:r w:rsidR="00327F70">
        <w:rPr>
          <w:rFonts w:ascii="Calibri-LightItalic" w:hAnsi="Calibri-LightItalic" w:cs="Calibri-LightItalic"/>
          <w:i/>
          <w:iCs/>
          <w:sz w:val="22"/>
          <w:szCs w:val="22"/>
          <w:lang w:eastAsia="cs-CZ"/>
        </w:rPr>
        <w:t>988.644,77</w:t>
      </w:r>
      <w:r w:rsidRPr="00101350">
        <w:rPr>
          <w:rFonts w:ascii="Calibri Light" w:hAnsi="Calibri Light"/>
          <w:b/>
          <w:sz w:val="22"/>
          <w:szCs w:val="22"/>
        </w:rPr>
        <w:t xml:space="preserve"> </w:t>
      </w:r>
      <w:r w:rsidR="00C6537B" w:rsidRPr="00101350">
        <w:rPr>
          <w:rFonts w:ascii="Calibri Light" w:hAnsi="Calibri Light"/>
          <w:b/>
          <w:sz w:val="22"/>
          <w:szCs w:val="22"/>
        </w:rPr>
        <w:t>Kč</w:t>
      </w:r>
      <w:r w:rsidR="00A65CE4" w:rsidRPr="00101350">
        <w:rPr>
          <w:rFonts w:ascii="Calibri Light" w:hAnsi="Calibri Light"/>
          <w:sz w:val="22"/>
          <w:szCs w:val="22"/>
        </w:rPr>
        <w:t xml:space="preserve"> </w:t>
      </w:r>
    </w:p>
    <w:p w14:paraId="49C19C44" w14:textId="626720D2" w:rsidR="00ED63E5" w:rsidRPr="00101350" w:rsidRDefault="00ED63E5" w:rsidP="002674CC">
      <w:pPr>
        <w:pStyle w:val="AAOdstavec"/>
        <w:numPr>
          <w:ilvl w:val="1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101350">
        <w:rPr>
          <w:rFonts w:ascii="Calibri Light" w:hAnsi="Calibri Light"/>
          <w:sz w:val="22"/>
          <w:szCs w:val="22"/>
        </w:rPr>
        <w:t>Celková cena s</w:t>
      </w:r>
      <w:r w:rsidR="005C4BCF">
        <w:rPr>
          <w:rFonts w:ascii="Calibri Light" w:hAnsi="Calibri Light"/>
          <w:sz w:val="22"/>
          <w:szCs w:val="22"/>
        </w:rPr>
        <w:t> </w:t>
      </w:r>
      <w:r w:rsidRPr="00101350">
        <w:rPr>
          <w:rFonts w:ascii="Calibri Light" w:hAnsi="Calibri Light"/>
          <w:sz w:val="22"/>
          <w:szCs w:val="22"/>
        </w:rPr>
        <w:t>DPH</w:t>
      </w:r>
      <w:r w:rsidR="005C4BCF">
        <w:rPr>
          <w:rFonts w:ascii="Calibri Light" w:hAnsi="Calibri Light"/>
          <w:sz w:val="22"/>
          <w:szCs w:val="22"/>
        </w:rPr>
        <w:t>:</w:t>
      </w:r>
      <w:r w:rsidRPr="00101350">
        <w:rPr>
          <w:rFonts w:ascii="Calibri Light" w:hAnsi="Calibri Light"/>
          <w:sz w:val="22"/>
          <w:szCs w:val="22"/>
        </w:rPr>
        <w:t xml:space="preserve"> </w:t>
      </w:r>
      <w:r w:rsidR="00327F70">
        <w:rPr>
          <w:rFonts w:ascii="Calibri-LightItalic" w:hAnsi="Calibri-LightItalic" w:cs="Calibri-LightItalic"/>
          <w:i/>
          <w:iCs/>
          <w:sz w:val="22"/>
          <w:szCs w:val="22"/>
          <w:lang w:eastAsia="cs-CZ"/>
        </w:rPr>
        <w:t>5.696.477,03</w:t>
      </w:r>
      <w:r w:rsidRPr="00101350">
        <w:rPr>
          <w:rFonts w:ascii="Calibri Light" w:hAnsi="Calibri Light"/>
          <w:sz w:val="22"/>
          <w:szCs w:val="22"/>
        </w:rPr>
        <w:t xml:space="preserve"> Kč</w:t>
      </w:r>
    </w:p>
    <w:p w14:paraId="2394BF76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Daň z přidané hodnoty bude účtována podle zákona č. 2</w:t>
      </w:r>
      <w:r>
        <w:rPr>
          <w:rFonts w:ascii="Calibri Light" w:hAnsi="Calibri Light"/>
          <w:sz w:val="22"/>
          <w:szCs w:val="22"/>
        </w:rPr>
        <w:t xml:space="preserve">35/2004 Sb., v platném znění v </w:t>
      </w:r>
      <w:r w:rsidRPr="00323D9C">
        <w:rPr>
          <w:rFonts w:ascii="Calibri Light" w:hAnsi="Calibri Light"/>
          <w:sz w:val="22"/>
          <w:szCs w:val="22"/>
        </w:rPr>
        <w:t>době realizace díla.</w:t>
      </w:r>
    </w:p>
    <w:p w14:paraId="1C81D4C8" w14:textId="77777777" w:rsidR="005C4BCF" w:rsidRPr="00DF2BAE" w:rsidRDefault="005C4BCF" w:rsidP="005C4BCF">
      <w:pPr>
        <w:pStyle w:val="Odstavecseseznamem"/>
        <w:numPr>
          <w:ilvl w:val="0"/>
          <w:numId w:val="6"/>
        </w:numPr>
        <w:jc w:val="both"/>
        <w:rPr>
          <w:rFonts w:ascii="Calibri Light" w:hAnsi="Calibri Light" w:cs="Segoe UI"/>
          <w:sz w:val="22"/>
          <w:szCs w:val="22"/>
        </w:rPr>
      </w:pPr>
      <w:r w:rsidRPr="00D00E56">
        <w:rPr>
          <w:rFonts w:ascii="Calibri Light" w:hAnsi="Calibri Light" w:cs="Segoe UI"/>
          <w:sz w:val="22"/>
          <w:szCs w:val="22"/>
        </w:rPr>
        <w:t xml:space="preserve">Cena díla dle odst. </w:t>
      </w:r>
      <w:proofErr w:type="gramStart"/>
      <w:r>
        <w:rPr>
          <w:rFonts w:ascii="Calibri Light" w:hAnsi="Calibri Light" w:cs="Segoe UI"/>
          <w:sz w:val="22"/>
          <w:szCs w:val="22"/>
        </w:rPr>
        <w:t>3</w:t>
      </w:r>
      <w:r w:rsidRPr="00D00E56">
        <w:rPr>
          <w:rFonts w:ascii="Calibri Light" w:hAnsi="Calibri Light" w:cs="Segoe UI"/>
          <w:sz w:val="22"/>
          <w:szCs w:val="22"/>
        </w:rPr>
        <w:t>.1. této</w:t>
      </w:r>
      <w:proofErr w:type="gramEnd"/>
      <w:r w:rsidRPr="00D00E56">
        <w:rPr>
          <w:rFonts w:ascii="Calibri Light" w:hAnsi="Calibri Light" w:cs="Segoe UI"/>
          <w:sz w:val="22"/>
          <w:szCs w:val="22"/>
        </w:rPr>
        <w:t xml:space="preserve"> smlouvy byla stanovena na základě součtu cen jednotlivých položek nabídkového rozpočtu – příloha č. 1 této smlouvy. Cena každé položky nabídkového rozpočtu je vypočtena součinem předpokládaného množství práce či dodávek jednotlivé položky a jednotkové ceny práce či dodávek jednotlivé položky. Jednotkové ceny prací a dodávek jsou pevné a maximálně přípustné po celou dobu trvání této smlouvy. Množství prací a dodávek je v nabídkovém rozpočtu stanoveno jako předpokládané. Konečná cena díla bude stanovena po provedení prací a dodávek – na základě přeměření skutečného množství provedených prací a dodávek</w:t>
      </w:r>
      <w:r>
        <w:rPr>
          <w:rFonts w:ascii="Calibri Light" w:hAnsi="Calibri Light" w:cs="Segoe UI"/>
          <w:sz w:val="22"/>
          <w:szCs w:val="22"/>
        </w:rPr>
        <w:t xml:space="preserve"> </w:t>
      </w:r>
      <w:r w:rsidRPr="004C2F34">
        <w:rPr>
          <w:rFonts w:ascii="Calibri Light" w:hAnsi="Calibri Light" w:cs="Segoe UI"/>
          <w:sz w:val="22"/>
          <w:szCs w:val="22"/>
        </w:rPr>
        <w:t xml:space="preserve">oceněných jednotkovými cenami </w:t>
      </w:r>
      <w:r>
        <w:rPr>
          <w:rFonts w:ascii="Calibri Light" w:hAnsi="Calibri Light" w:cs="Segoe UI"/>
          <w:sz w:val="22"/>
          <w:szCs w:val="22"/>
        </w:rPr>
        <w:t>zhotovitele</w:t>
      </w:r>
      <w:r w:rsidRPr="004C2F34">
        <w:rPr>
          <w:rFonts w:ascii="Calibri Light" w:hAnsi="Calibri Light" w:cs="Segoe UI"/>
          <w:sz w:val="22"/>
          <w:szCs w:val="22"/>
        </w:rPr>
        <w:t xml:space="preserve"> ve výkazu výměr</w:t>
      </w:r>
      <w:r w:rsidRPr="00D00E56">
        <w:rPr>
          <w:rFonts w:ascii="Calibri Light" w:hAnsi="Calibri Light" w:cs="Segoe UI"/>
          <w:sz w:val="22"/>
          <w:szCs w:val="22"/>
        </w:rPr>
        <w:t xml:space="preserve">. Přeměření skutečného množství prací a dodávek se provádí formou zjišťovacího protokolu a soupisu prací, který je podkladem pro vystavení </w:t>
      </w:r>
      <w:r w:rsidRPr="008A2C4E">
        <w:rPr>
          <w:rFonts w:ascii="Calibri Light" w:hAnsi="Calibri Light" w:cs="Segoe UI"/>
          <w:sz w:val="22"/>
          <w:szCs w:val="22"/>
        </w:rPr>
        <w:t>faktury dle článku 5. této smlouvy</w:t>
      </w:r>
      <w:r w:rsidRPr="00D00E56">
        <w:rPr>
          <w:rFonts w:ascii="Calibri Light" w:hAnsi="Calibri Light" w:cs="Segoe UI"/>
          <w:sz w:val="22"/>
          <w:szCs w:val="22"/>
        </w:rPr>
        <w:t xml:space="preserve">. Kromě toho je zhotovitel povinen na základě požadavku objednatele provést přeměření prací a dodávek kdykoli, a to bez zbytečného odkladu a za účasti objednatele a technického dozoru </w:t>
      </w:r>
      <w:r>
        <w:rPr>
          <w:rFonts w:ascii="Calibri Light" w:hAnsi="Calibri Light" w:cs="Segoe UI"/>
          <w:sz w:val="22"/>
          <w:szCs w:val="22"/>
        </w:rPr>
        <w:t>stavebníka</w:t>
      </w:r>
      <w:r w:rsidRPr="00D00E56">
        <w:rPr>
          <w:rFonts w:ascii="Calibri Light" w:hAnsi="Calibri Light" w:cs="Segoe UI"/>
          <w:sz w:val="22"/>
          <w:szCs w:val="22"/>
        </w:rPr>
        <w:t xml:space="preserve">. Úprava ceny díla dle tohoto ustanovení je vyhrazenou změnou závazku v souladu s ustanovením § 100 odst. 1 a § 222 odst. 2 zákona č. 134/2016 Sb., o zadávání veřejných zakázek, ve znění pozdějších předpisů. Uvedený postup se týká pouze položek uvedených v nabídkovém rozpočtu. </w:t>
      </w:r>
    </w:p>
    <w:p w14:paraId="3BCCB800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Bude-li objednatelem vyžadováno provedení dodatečných stavebních prací, nebo se ukáže nutnost provedení prací, které nebyly obsaženy v původních zadávacích podmínkách, jsou nezbytné pro provedení původních stavebních prací a jejich potřeba vznikla v důsledku nepředvídaných okolností, musí být</w:t>
      </w:r>
      <w:r w:rsidR="005C4BCF">
        <w:rPr>
          <w:rFonts w:ascii="Calibri Light" w:hAnsi="Calibri Light"/>
          <w:sz w:val="22"/>
          <w:szCs w:val="22"/>
        </w:rPr>
        <w:t xml:space="preserve"> před jejich provedením</w:t>
      </w:r>
      <w:r w:rsidRPr="00323D9C">
        <w:rPr>
          <w:rFonts w:ascii="Calibri Light" w:hAnsi="Calibri Light"/>
          <w:sz w:val="22"/>
          <w:szCs w:val="22"/>
        </w:rPr>
        <w:t xml:space="preserve"> vyhotoven písemný dodatek k této smlouvě s určením předmětu</w:t>
      </w:r>
      <w:r w:rsidR="005C4BCF">
        <w:rPr>
          <w:rFonts w:ascii="Calibri Light" w:hAnsi="Calibri Light"/>
          <w:sz w:val="22"/>
          <w:szCs w:val="22"/>
        </w:rPr>
        <w:t xml:space="preserve"> a rozsahu</w:t>
      </w:r>
      <w:r w:rsidRPr="00323D9C">
        <w:rPr>
          <w:rFonts w:ascii="Calibri Light" w:hAnsi="Calibri Light"/>
          <w:sz w:val="22"/>
          <w:szCs w:val="22"/>
        </w:rPr>
        <w:t xml:space="preserve"> víceprací a cenou za vícepráce. </w:t>
      </w:r>
    </w:p>
    <w:p w14:paraId="37BBAC72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Případné práce nad rámec zadávací dokumentace budou oceňovány dle položek výkazu výměr, který je přílohou č.</w:t>
      </w:r>
      <w:r w:rsidR="00ED63E5">
        <w:rPr>
          <w:rFonts w:ascii="Calibri Light" w:hAnsi="Calibri Light"/>
          <w:sz w:val="22"/>
          <w:szCs w:val="22"/>
        </w:rPr>
        <w:t xml:space="preserve"> </w:t>
      </w:r>
      <w:r w:rsidRPr="00323D9C">
        <w:rPr>
          <w:rFonts w:ascii="Calibri Light" w:hAnsi="Calibri Light"/>
          <w:sz w:val="22"/>
          <w:szCs w:val="22"/>
        </w:rPr>
        <w:t>1 této SOD. Pro ocenění položek, které nebudou uvedeny ve výkazu výměr, jsou ceny dle ceníku URS Praha považovány za maximální možné.</w:t>
      </w:r>
    </w:p>
    <w:p w14:paraId="35D36017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Všechny změny rozsahu díla, tzn. vícepráce i méněpráce, budou evidovány zápisem v SD.</w:t>
      </w:r>
      <w:r w:rsidR="005137CA">
        <w:rPr>
          <w:rFonts w:ascii="Calibri Light" w:hAnsi="Calibri Light"/>
          <w:sz w:val="22"/>
          <w:szCs w:val="22"/>
        </w:rPr>
        <w:t xml:space="preserve"> </w:t>
      </w:r>
    </w:p>
    <w:p w14:paraId="091A218F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Ke všem změnám rozsahu díla vytvoří zhotovitel z</w:t>
      </w:r>
      <w:r w:rsidR="000F68FC">
        <w:rPr>
          <w:rFonts w:ascii="Calibri Light" w:hAnsi="Calibri Light"/>
          <w:sz w:val="22"/>
          <w:szCs w:val="22"/>
        </w:rPr>
        <w:t>měnové listy, které předloží TDS</w:t>
      </w:r>
      <w:r w:rsidR="005C4BCF">
        <w:rPr>
          <w:rFonts w:ascii="Calibri Light" w:hAnsi="Calibri Light"/>
          <w:sz w:val="22"/>
          <w:szCs w:val="22"/>
        </w:rPr>
        <w:t xml:space="preserve"> a osobě oprávněné jednat za objednatele</w:t>
      </w:r>
      <w:r w:rsidRPr="00323D9C">
        <w:rPr>
          <w:rFonts w:ascii="Calibri Light" w:hAnsi="Calibri Light"/>
          <w:sz w:val="22"/>
          <w:szCs w:val="22"/>
        </w:rPr>
        <w:t>. Tyto změnové listy budou přílohou dodatků této SOD.</w:t>
      </w:r>
    </w:p>
    <w:p w14:paraId="4A861E33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 xml:space="preserve">Podpisem této smlouvy zhotovitel potvrzuje, že byl předem seznámen se všemi skutečnostmi podmiňujícími řádné provedení díla,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</w:t>
      </w:r>
      <w:r w:rsidR="006E29C5">
        <w:rPr>
          <w:rFonts w:ascii="Calibri Light" w:hAnsi="Calibri Light"/>
          <w:sz w:val="22"/>
          <w:szCs w:val="22"/>
        </w:rPr>
        <w:t>3</w:t>
      </w:r>
      <w:r w:rsidRPr="00323D9C">
        <w:rPr>
          <w:rFonts w:ascii="Calibri Light" w:hAnsi="Calibri Light"/>
          <w:sz w:val="22"/>
          <w:szCs w:val="22"/>
        </w:rPr>
        <w:t>.1 tohoto článku.</w:t>
      </w:r>
    </w:p>
    <w:p w14:paraId="16416DA9" w14:textId="77777777" w:rsidR="00AA4B69" w:rsidRPr="00323D9C" w:rsidRDefault="00323D9C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6718ABC8" w14:textId="77777777" w:rsidR="008A5156" w:rsidRPr="0081632D" w:rsidRDefault="00F3541B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Ú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hrada ceny díla bude uskutečňována postupně na základě provedených dílčích plnění zhotovitele. Dílčím plněním se rozumí rozsah a cena skutečně provedených prací a dodávek uskutečněných zhotovitelem. Zjišťování rozsahu a ceny dílčího plnění se provádí zjišťovacím protokolem, doloženým soupisem provedených prací a dodávek v členění podle položek, množství a seznamu prací dle jednotlivých stavebních objektů. Podpisem zjišťovacího protokolu a soupisu provedených prací </w:t>
      </w:r>
      <w:r w:rsidR="005C4BC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technickým dozorem stavebníka a osobou oprávněnou jednat za objednatele ve věcech technických</w:t>
      </w:r>
      <w:r w:rsidR="00975A0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vzniká zhotoviteli právo fakturovat odsouhlasenou cenu dílčího plnění daňovým dokladem.</w:t>
      </w:r>
    </w:p>
    <w:p w14:paraId="38830B1F" w14:textId="77777777" w:rsidR="005C4BCF" w:rsidRPr="005C4BCF" w:rsidRDefault="008A5156" w:rsidP="005C4BC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Splatnost faktur je stanovena na 30 dnů ode dne jejich doručení objednateli</w:t>
      </w:r>
      <w:r w:rsidR="007A7FA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podatelnu MěÚ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přičemž za provedenou úhradu ceny se považuje den, </w:t>
      </w:r>
      <w:r w:rsidR="005C4BCF" w:rsidRPr="005C4BC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kdy jsou finanční prostředky odepsány z účtu objednatele.</w:t>
      </w:r>
    </w:p>
    <w:p w14:paraId="164E7A95" w14:textId="77777777" w:rsidR="008A5156" w:rsidRPr="00EE2FC7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Faktura musí obsahovat náležitosti daňového dokladu dle ustanovení zvláštního právního předpisu (</w:t>
      </w:r>
      <w:r w:rsidRPr="00EE2FC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 č. 235/2004 Sb., o dani z přidané hodnoty, v platném znění). V případě, že faktura nebude odpovídat stanoveným požadavkům, je objednatel oprávněn zaslat ji ve lhůtě splatnosti zpět zhotoviteli k doplnění, aniž by se tak dostal do prodlení s platbou; lhůta splatnosti počíná běžet znovu od opětovného doručení náležitě doplněných či opravených dokladů objednateli. </w:t>
      </w:r>
    </w:p>
    <w:p w14:paraId="5BC16332" w14:textId="2D110260" w:rsidR="00EE2FC7" w:rsidRPr="00EE2FC7" w:rsidRDefault="00EE2FC7" w:rsidP="00EE2FC7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EE2FC7">
        <w:rPr>
          <w:rFonts w:ascii="Calibri Light" w:hAnsi="Calibri Light" w:cs="Calibri Light"/>
          <w:sz w:val="22"/>
          <w:szCs w:val="22"/>
          <w:lang w:eastAsia="ar-SA"/>
        </w:rPr>
        <w:t xml:space="preserve">Objednatel ve vztahu k výše uvedenému plnění dle čl. 1 (komunikace, chodníky, veřejné osvětlení, dešťová kanalizace) </w:t>
      </w:r>
      <w:sdt>
        <w:sdtPr>
          <w:rPr>
            <w:rFonts w:ascii="Calibri Light" w:hAnsi="Calibri Light" w:cs="Calibri Light"/>
            <w:sz w:val="22"/>
            <w:szCs w:val="22"/>
            <w:lang w:eastAsia="ar-SA"/>
          </w:rPr>
          <w:id w:val="2068142316"/>
          <w:comboBox>
            <w:listItem w:value="Zvolte položku."/>
            <w:listItem w:displayText="nevystupuje" w:value="nevystupuje"/>
            <w:listItem w:displayText="vystupuje (jedná se o stav. a mont. práce na vodovodech a kanalizacích)" w:value="vystupuje (jedná se o stav. a mont. práce na vodovodech a kanalizacích)"/>
          </w:comboBox>
        </w:sdtPr>
        <w:sdtEndPr/>
        <w:sdtContent>
          <w:r w:rsidRPr="00EE2FC7">
            <w:rPr>
              <w:rFonts w:ascii="Calibri Light" w:hAnsi="Calibri Light" w:cs="Calibri Light"/>
              <w:sz w:val="22"/>
              <w:szCs w:val="22"/>
              <w:lang w:eastAsia="ar-SA"/>
            </w:rPr>
            <w:t>nevystupuje</w:t>
          </w:r>
        </w:sdtContent>
      </w:sdt>
      <w:r w:rsidRPr="00EE2FC7">
        <w:rPr>
          <w:rFonts w:ascii="Calibri Light" w:hAnsi="Calibri Light" w:cs="Calibri Light"/>
          <w:sz w:val="22"/>
          <w:szCs w:val="22"/>
          <w:lang w:eastAsia="ar-SA"/>
        </w:rPr>
        <w:t xml:space="preserve"> jako osoba povinná k dani, </w:t>
      </w:r>
      <w:proofErr w:type="gramStart"/>
      <w:r w:rsidRPr="00EE2FC7">
        <w:rPr>
          <w:rFonts w:ascii="Calibri Light" w:hAnsi="Calibri Light" w:cs="Calibri Light"/>
          <w:sz w:val="22"/>
          <w:szCs w:val="22"/>
          <w:lang w:eastAsia="ar-SA"/>
        </w:rPr>
        <w:t xml:space="preserve">tzn. </w:t>
      </w:r>
      <w:sdt>
        <w:sdtPr>
          <w:rPr>
            <w:rFonts w:ascii="Calibri Light" w:hAnsi="Calibri Light" w:cs="Calibri Light"/>
            <w:sz w:val="22"/>
            <w:szCs w:val="22"/>
            <w:lang w:eastAsia="ar-SA"/>
          </w:rPr>
          <w:id w:val="-1457634188"/>
          <w:comboBox>
            <w:listItem w:value="Zvolte položku."/>
            <w:listItem w:displayText="nevztahuje" w:value="nevztahuje"/>
            <w:listItem w:displayText="vztahuje" w:value="vztahuje"/>
          </w:comboBox>
        </w:sdtPr>
        <w:sdtEndPr/>
        <w:sdtContent>
          <w:r w:rsidRPr="00EE2FC7">
            <w:rPr>
              <w:rFonts w:ascii="Calibri Light" w:hAnsi="Calibri Light" w:cs="Calibri Light"/>
              <w:sz w:val="22"/>
              <w:szCs w:val="22"/>
              <w:lang w:eastAsia="ar-SA"/>
            </w:rPr>
            <w:t>nevztahuje</w:t>
          </w:r>
          <w:proofErr w:type="gramEnd"/>
        </w:sdtContent>
      </w:sdt>
      <w:r w:rsidRPr="00EE2FC7">
        <w:rPr>
          <w:rFonts w:ascii="Calibri Light" w:hAnsi="Calibri Light" w:cs="Calibri Light"/>
          <w:sz w:val="22"/>
          <w:szCs w:val="22"/>
          <w:lang w:eastAsia="ar-SA"/>
        </w:rPr>
        <w:t xml:space="preserve"> se na něj režim přenesení daňové povinnosti, vyjma stavebních objektů 301 (vodovod), kde je v pozici osoby povinné k dani, tzn., vztahuje se na něj režim přenesené daňové povinnosti.</w:t>
      </w:r>
    </w:p>
    <w:p w14:paraId="2507506E" w14:textId="77777777" w:rsidR="00EE2FC7" w:rsidRPr="00EE2FC7" w:rsidRDefault="00EE2FC7" w:rsidP="00EE2FC7">
      <w:pPr>
        <w:rPr>
          <w:rFonts w:ascii="Calibri" w:hAnsi="Calibri" w:cs="Calibri"/>
          <w:sz w:val="22"/>
          <w:szCs w:val="22"/>
          <w:lang w:eastAsia="en-US"/>
        </w:rPr>
      </w:pPr>
    </w:p>
    <w:p w14:paraId="24A54894" w14:textId="77777777" w:rsidR="00445914" w:rsidRPr="00EE2FC7" w:rsidRDefault="00445914" w:rsidP="00445914">
      <w:pPr>
        <w:pStyle w:val="Normlnweb"/>
        <w:numPr>
          <w:ilvl w:val="1"/>
          <w:numId w:val="28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E2FC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Konečnou fakturu je zhotovitel oprávněn vystavit po řádném ukončení díla a po předání díla objednateli.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54952317"/>
        </w:sdtPr>
        <w:sdtEndPr/>
        <w:sdtContent>
          <w:r w:rsidR="00FD11A0" w:rsidRPr="00EE2FC7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dle odst. 7.2 této smlouvy</w:t>
          </w:r>
          <w:r w:rsidRPr="00EE2FC7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.</w:t>
          </w:r>
        </w:sdtContent>
      </w:sdt>
    </w:p>
    <w:p w14:paraId="73DE2D94" w14:textId="77777777" w:rsidR="00AA4B69" w:rsidRPr="00A85A37" w:rsidRDefault="00A85A37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Prováděcí podmínky</w:t>
      </w:r>
    </w:p>
    <w:p w14:paraId="2D878279" w14:textId="77777777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být pojištěn na odpovědnost za škodu způsobenou při provádění díla objednateli či třetí osobě nejméně po dobu plnění této smlouvy </w:t>
      </w:r>
      <w:r w:rsidR="00176C5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 výší limitu pojistného plnění 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minimálně</w:t>
      </w:r>
      <w:r w:rsidR="00176C5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ve výši ceny díla dle odst. 3.1 této smlouvy včetně DPH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="004E5B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Kopii pojistné smlouvy předá zhotovitel objednateli při předání staveniště. 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odpovídá za škodu způsobenou při provádění díla podle této smlouvy třetím osobám, zejména za škodu na majetku.</w:t>
      </w:r>
    </w:p>
    <w:p w14:paraId="42A5319A" w14:textId="77777777" w:rsidR="00676FB1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s dostatečným předstihem před zahájením realizace stavby projednat se správcem místních komunikací vedení staveništní dopravy s přihlédnutím ke konstrukčním vlastnostem komunikací. </w:t>
      </w:r>
    </w:p>
    <w:p w14:paraId="566CAC06" w14:textId="77777777" w:rsidR="000777E2" w:rsidRPr="008C5F79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Dále je </w:t>
      </w:r>
      <w:r w:rsidR="00457E94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</w:t>
      </w:r>
      <w:r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povinen před zahájením realizace provést za účasti správce místních komunikací města Říčany pasportizaci komunikací, po kterých bude vedena staveništní doprava, nebo budou stavbou jinak dotčeny.</w:t>
      </w:r>
      <w:r w:rsidR="00176C5F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457E94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176C5F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 </w:t>
      </w:r>
      <w:r w:rsidR="007A7FA4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15 </w:t>
      </w:r>
      <w:r w:rsidR="00176C5F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dnů od </w:t>
      </w:r>
      <w:r w:rsidR="00975A01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zahájení </w:t>
      </w:r>
      <w:r w:rsidR="00176C5F" w:rsidRPr="008C5F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předání díla předloží zhotovitel objednateli zápis o kontrole stavu dotčených komunikací, jímž správce místních komunikací ověří stav komunikací oproti pasportu zpracovanému dle předchozí věty.</w:t>
      </w:r>
    </w:p>
    <w:p w14:paraId="22103C2C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realizovat dílo tak, aby objednateli nevznikly žádné škody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zabezpečit staveniště podle příslušných právních předpisů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Dále je zhotovitel povinen minimalizovat negativní dopady své činnosti na okolí. </w:t>
      </w:r>
    </w:p>
    <w:p w14:paraId="63E11D3A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a uložení materiálů. Dílo provádí v požadované jakosti podle schváleného řešení a obecně platných předpisů, které se na prováděné dílo vztahují, z materiálů požadovaných vlastností a v souladu 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 vydaným správním rozhodnutím.</w:t>
      </w:r>
    </w:p>
    <w:p w14:paraId="4E2B3195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odpovídající lhůtě, zásadně ale před vlastním provedením prací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vzorky materiálů,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jím budou dodány na stavbu a zabudovány. Zhotovitel se zavazuje předložit ke schválení pouze takové materiály, které mají odpovídající atesty v České republice dle zákona č. 22/1997 Sb., o mechanických požadavcích na výrobky, nebo na které jsou vydána potvrzení o shodě výrobků dle nařízení vlády č.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163/2002 Sb., a které mají při předpokládaném nebo obvyklém způsobu použití příznivé stavebně-technické a provozně-ekonomické vlastnosti, s přihlédnutím zejména na hospodárný provoz celého objektu a rovněž jeho jednotlivých částí.</w:t>
      </w:r>
    </w:p>
    <w:p w14:paraId="6A19F01A" w14:textId="4EF0B12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je oprávněn prostřednictvím </w:t>
      </w:r>
      <w:r w:rsidR="00176C5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osob oprávněných jednat za objednatele ve věcech technických </w:t>
      </w:r>
      <w:r w:rsidR="002A5AA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nebo TDS</w:t>
      </w:r>
      <w:r w:rsidR="00652FC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 nepřítomnosti oprávněného zástupce zhotovitele okamžitě přerušit práce, je-li ohrožena bezpečnost života a zdraví osob nebo hrozí vznik škod na majetku nebo na životním prostředí, a provést o tom zápis ve stavebním deníku.</w:t>
      </w:r>
    </w:p>
    <w:p w14:paraId="001D0086" w14:textId="77777777" w:rsidR="008A5156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bude kontrolovat kvalitu prováděných prací prostřednictvím pracovníků TD</w:t>
      </w:r>
      <w:r w:rsidR="000F68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 a</w:t>
      </w:r>
      <w:r w:rsidR="005900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osob oprávněných jednat ve věcech technických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umožní TD</w:t>
      </w:r>
      <w:r w:rsidR="000F68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přístup na všechna pracoviště zhotovitele, kde jsou zpracovávány, realizovány nebo uskladněny dodávky díla. </w:t>
      </w:r>
    </w:p>
    <w:p w14:paraId="73A9B772" w14:textId="77777777" w:rsidR="00AA6A19" w:rsidRPr="0081632D" w:rsidRDefault="00AA6A19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účast stavbyvedoucího na pravidelných kontrolních dnech stavby, které organizuje TDS minimálně 1x týdně.</w:t>
      </w:r>
    </w:p>
    <w:p w14:paraId="50EF750B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Nepředvídatelné vlivy ve smyslu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zákona </w:t>
      </w:r>
      <w:r w:rsidR="00034949" w:rsidRPr="0081632D">
        <w:rPr>
          <w:rFonts w:ascii="Calibri Light" w:hAnsi="Calibri Light"/>
          <w:sz w:val="22"/>
          <w:szCs w:val="22"/>
        </w:rPr>
        <w:t>č. 89/2012 Sb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034949" w:rsidRPr="0081632D">
        <w:rPr>
          <w:rFonts w:ascii="Calibri Light" w:hAnsi="Calibri Light"/>
          <w:sz w:val="22"/>
          <w:szCs w:val="22"/>
        </w:rPr>
        <w:t xml:space="preserve">bčanský zákoník,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učiněn zápis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D6A0D20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odpady, vznikající jeho činností při realizaci díla, likvidovat v souladu s platnými právními předpisy.</w:t>
      </w:r>
    </w:p>
    <w:p w14:paraId="38864E35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Lhůta pro realizaci díla se prodlužuje o dobu, po kterou zhotoviteli prokazatelně brání v provedení díla překážka na straně objednatele. </w:t>
      </w:r>
    </w:p>
    <w:p w14:paraId="137308F8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realizaci těch částí díla, pro jejichž realizaci nemá příslušné živnostenské oprávnění, subdodávkou subjektů s příslušným živnostenským oprávněním. Realizací subdodávek není dotčena odpovědnost zhotovitele za celé dílo.</w:t>
      </w:r>
    </w:p>
    <w:p w14:paraId="3F2BD109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</w:t>
      </w:r>
      <w:r w:rsidR="00176C5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 oproti seznamu předloženému zhotovitelem v rámci zadávacího řízení na předmětnou veřejnou zakázku, je možná jen se souhlasem objednatele.</w:t>
      </w:r>
    </w:p>
    <w:p w14:paraId="0EFF0FED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Vzhledem k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tomu, že </w:t>
      </w:r>
      <w:r w:rsidR="00BC702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projekt se nachází v obydlené části města, je zhotovitel povinen se chovat tak, aby minimalizoval negativní vliv stavební činnosti na životní prostředí v dotčené lokalitě, tzn. </w:t>
      </w:r>
    </w:p>
    <w:p w14:paraId="6A12BFC7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případě, že to situace vyžaduje, je povinen provádět denní čištění přilehlých komunikací, pokud dojde k jejich znečištění v důsledku stavební činnosti jím prováděné</w:t>
      </w:r>
    </w:p>
    <w:p w14:paraId="6C541679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Veškerá dopravní omezení je povinen oznámit min.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 dní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předem prokazatelným způsobem obyvatelům 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nemovitostí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místě stavby.</w:t>
      </w:r>
    </w:p>
    <w:p w14:paraId="70EF1059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DIO provedená kvůli stavbě znemožní průjezd vozu pro svoz komunálního odpadu, je zhotovitel povinen na vlastní náklady zařídit odvoz odpadu z 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nemovitostí.</w:t>
      </w:r>
    </w:p>
    <w:p w14:paraId="1E5311DB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dobu 10 let od předání dokončeného díla objednateli.</w:t>
      </w:r>
    </w:p>
    <w:p w14:paraId="73E0CB35" w14:textId="77777777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spolupůsobit při výkonu finanční kontroly dle § 2 e)</w:t>
      </w:r>
      <w:r w:rsidR="001E28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§ 13) o finanční kontrole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zákona č. 320/2001 Sb., </w:t>
      </w:r>
      <w:r w:rsidR="001E28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tj. poskytnout kontrolnímu orgánu doklady o dodávkách stavebních prací, zboží a služeb hrazených z veřejných výdajů nebo z veřejné finanční podpory v rozsahu nezbytném pro ověření příslušné operace. Tuto povinnost je povinen požadovat i po svých poddodavatelích (subdodavatelích). </w:t>
      </w:r>
    </w:p>
    <w:p w14:paraId="11E0A97E" w14:textId="77777777" w:rsidR="00C10A35" w:rsidRPr="00130714" w:rsidRDefault="00C10A35" w:rsidP="00130714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</w:t>
      </w:r>
      <w:r w:rsidR="001413F7"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povinen </w:t>
      </w: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zajistit průběh stavby tak, aby nedošlo k poškození jiné části objektu či movitého</w:t>
      </w:r>
      <w:r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majetku</w:t>
      </w:r>
      <w:r w:rsidR="001413F7"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72D2F65A" w14:textId="77777777" w:rsidR="00BE0C53" w:rsidRDefault="001413F7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1307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organizovat stavební práce tak, aby nedošlo k poškození </w:t>
      </w:r>
      <w:r w:rsidR="00D323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stávajících 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oplocení, travní plochy či jiných ploch</w:t>
      </w:r>
      <w:r w:rsidR="007A7FA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staveb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kolem staveniště a stavby.</w:t>
      </w:r>
    </w:p>
    <w:p w14:paraId="2241C1A6" w14:textId="77777777" w:rsidR="001E0E37" w:rsidRDefault="001E0E37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Zhotovitel je povinen na vlastní náklady zabezpečit ochranu vzrostl</w:t>
      </w:r>
      <w:r w:rsidR="001425E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ých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stromu</w:t>
      </w:r>
      <w:r w:rsidR="001425E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aby nedošlo k je</w:t>
      </w:r>
      <w:r w:rsidR="001425E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jich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poškození.</w:t>
      </w:r>
    </w:p>
    <w:p w14:paraId="4FAEC6F5" w14:textId="77777777" w:rsidR="005900FC" w:rsidRDefault="005900FC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odstranit staveniště do 1</w:t>
      </w:r>
      <w:r w:rsidR="00A80F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pracovních dnů od předání díla objednateli.</w:t>
      </w:r>
    </w:p>
    <w:p w14:paraId="7F13940B" w14:textId="77777777" w:rsidR="00056EFB" w:rsidRPr="0081632D" w:rsidRDefault="00056EFB" w:rsidP="00056EFB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D23718B" w14:textId="77777777" w:rsidR="008A5156" w:rsidRPr="00676FB1" w:rsidRDefault="00676FB1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Předání a převzetí díla</w:t>
      </w:r>
    </w:p>
    <w:p w14:paraId="43C7AB9A" w14:textId="7BFC444B" w:rsidR="00702A1D" w:rsidRPr="0081632D" w:rsidRDefault="00702A1D" w:rsidP="00702A1D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podle této smlouvy provést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objednateli protokolárně předat dokončené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dílo bez vad a nedodělků.</w:t>
      </w:r>
    </w:p>
    <w:p w14:paraId="5E0EFF12" w14:textId="77777777" w:rsidR="00BF3C1F" w:rsidRPr="00CB758C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ani jiná </w:t>
      </w:r>
      <w:r w:rsidRPr="00CB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osoba nesmí nepřevzaté dílo nebo nepřevzatou část díla předčasně užívat bez sjednání podmínek užívání. Dohoda o předčasném užívání musí být vyhotovena jako dodatek k této smlouvě o dílo.</w:t>
      </w:r>
    </w:p>
    <w:p w14:paraId="005C445D" w14:textId="7777777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oznámit objednateli nejpozději </w:t>
      </w:r>
      <w:r w:rsidR="0053775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pracovní dny předem, kdy bude dílo připraveno k převzetí a sdělit, kdy bude zahájeno přejímací řízení a jak bude probíhat</w:t>
      </w:r>
      <w:r w:rsidR="008F52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8F52F7" w:rsidRPr="006B3D19">
        <w:rPr>
          <w:rFonts w:ascii="Calibri Light" w:hAnsi="Calibri Light"/>
          <w:sz w:val="22"/>
          <w:szCs w:val="22"/>
        </w:rPr>
        <w:t xml:space="preserve">s tím, že předávací řízení musí být ukončeno ke dni, který je sjednán jako termín </w:t>
      </w:r>
      <w:r w:rsidR="008F52F7" w:rsidRPr="006B3D19">
        <w:rPr>
          <w:rFonts w:ascii="Calibri Light" w:hAnsi="Calibri Light" w:cs="Segoe UI"/>
          <w:sz w:val="22"/>
          <w:szCs w:val="22"/>
        </w:rPr>
        <w:t>dokončení stavebních prací a předání díla v</w:t>
      </w:r>
      <w:r w:rsidR="008F52F7">
        <w:rPr>
          <w:rFonts w:ascii="Calibri Light" w:hAnsi="Calibri Light" w:cs="Segoe UI"/>
          <w:sz w:val="22"/>
          <w:szCs w:val="22"/>
        </w:rPr>
        <w:t> odst. 2.2</w:t>
      </w:r>
      <w:r w:rsidR="008F52F7" w:rsidRPr="006B3D19">
        <w:rPr>
          <w:rFonts w:ascii="Calibri Light" w:hAnsi="Calibri Light" w:cs="Segoe UI"/>
          <w:sz w:val="22"/>
          <w:szCs w:val="22"/>
        </w:rPr>
        <w:t xml:space="preserve"> </w:t>
      </w:r>
      <w:r w:rsidR="008F52F7">
        <w:rPr>
          <w:rFonts w:ascii="Calibri Light" w:hAnsi="Calibri Light" w:cs="Segoe UI"/>
          <w:sz w:val="22"/>
          <w:szCs w:val="22"/>
        </w:rPr>
        <w:t xml:space="preserve">této </w:t>
      </w:r>
      <w:r w:rsidR="008F52F7" w:rsidRPr="006B3D19">
        <w:rPr>
          <w:rFonts w:ascii="Calibri Light" w:hAnsi="Calibri Light" w:cs="Segoe UI"/>
          <w:sz w:val="22"/>
          <w:szCs w:val="22"/>
        </w:rPr>
        <w:t>smlouvy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6EB749B2" w14:textId="7777777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provede všechny kontroly, 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koušky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– </w:t>
      </w:r>
      <w:r w:rsidR="00454FC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např. </w:t>
      </w:r>
      <w:r w:rsidR="00C84B3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doklad o hutnění, 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tlakové </w:t>
      </w:r>
      <w:r w:rsidR="00C84B3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zkoušky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dezinfekce potrubí atd.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A7231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dále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certifikace prvků a revize předepsané závaznými předpisy nebo ČSN, osvědčující smluvené vlastnosti díla, před předáním díla objednateli. Za úplnost těchto zkoušek a jejich výsledek plně odpovídá zhotovitel.</w:t>
      </w:r>
      <w:r w:rsidR="007E6043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Všechny tyto dokumenty předá zhotovitel objednateli ve složce ve třech vyhotoveních pro potřeby kolaudačního řízení a archivace.</w:t>
      </w:r>
    </w:p>
    <w:p w14:paraId="08932E6D" w14:textId="77777777" w:rsidR="008A5156" w:rsidRPr="0081632D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převzetí díla sestaví smluvní strany zápis (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</w:t>
      </w:r>
      <w:r w:rsidR="008F52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nebránících užívání díla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dohodnuté lhůty k jejich odstranění nebo jiná opatření, která byla dohodnuta, a soupis dokladů, které </w:t>
      </w:r>
      <w:r w:rsidR="008F52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objednateli při předání díla předává.</w:t>
      </w:r>
      <w:r w:rsidR="00AE200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D1936">
        <w:rPr>
          <w:rFonts w:ascii="Calibri Light" w:hAnsi="Calibri Light"/>
          <w:sz w:val="22"/>
          <w:szCs w:val="22"/>
        </w:rPr>
        <w:t>Při předání díla</w:t>
      </w:r>
      <w:r w:rsidR="00B62733">
        <w:rPr>
          <w:rFonts w:ascii="Calibri Light" w:hAnsi="Calibri Light"/>
          <w:sz w:val="22"/>
          <w:szCs w:val="22"/>
        </w:rPr>
        <w:t xml:space="preserve"> bude zhotovitelem předána objednateli bankovní záruka dle odst. </w:t>
      </w:r>
      <w:proofErr w:type="gramStart"/>
      <w:r w:rsidR="00EB0EB8">
        <w:rPr>
          <w:rFonts w:ascii="Calibri Light" w:hAnsi="Calibri Light"/>
          <w:sz w:val="22"/>
          <w:szCs w:val="22"/>
        </w:rPr>
        <w:t>7.</w:t>
      </w:r>
      <w:r w:rsidR="005900FC">
        <w:rPr>
          <w:rFonts w:ascii="Calibri Light" w:hAnsi="Calibri Light"/>
          <w:sz w:val="22"/>
          <w:szCs w:val="22"/>
        </w:rPr>
        <w:t>2</w:t>
      </w:r>
      <w:r w:rsidR="00EB0EB8">
        <w:rPr>
          <w:rFonts w:ascii="Calibri Light" w:hAnsi="Calibri Light"/>
          <w:sz w:val="22"/>
          <w:szCs w:val="22"/>
        </w:rPr>
        <w:t xml:space="preserve">. </w:t>
      </w:r>
      <w:r w:rsidR="00B62733">
        <w:rPr>
          <w:rFonts w:ascii="Calibri Light" w:hAnsi="Calibri Light"/>
          <w:sz w:val="22"/>
          <w:szCs w:val="22"/>
        </w:rPr>
        <w:t>této</w:t>
      </w:r>
      <w:proofErr w:type="gramEnd"/>
      <w:r w:rsidR="00B62733">
        <w:rPr>
          <w:rFonts w:ascii="Calibri Light" w:hAnsi="Calibri Light"/>
          <w:sz w:val="22"/>
          <w:szCs w:val="22"/>
        </w:rPr>
        <w:t xml:space="preserve"> smlouvy, a to s platností po celou záruční dobu stavby.</w:t>
      </w:r>
    </w:p>
    <w:p w14:paraId="1168B7BC" w14:textId="77777777" w:rsidR="008A5156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Podepsáním zápisu o předání a převzetí díla</w:t>
      </w:r>
      <w:r w:rsidR="004D4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mají obě smluvní strany za to, že dílo bylo dokončeno a právoplatně předáno a převzato</w:t>
      </w:r>
      <w:r w:rsidR="00FD11A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vad a nedodělků, které by bránily užívání díla</w:t>
      </w:r>
      <w:r w:rsidR="002B10E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795D5A3F" w14:textId="77777777" w:rsidR="00BF3C1F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není oprávněn odmítnout převzetí díla pro závady, jejichž původ je v zadání stavby, které objednateli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0D5C1083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Záruky </w:t>
      </w:r>
    </w:p>
    <w:p w14:paraId="1FF21B2D" w14:textId="17D4EA42" w:rsidR="008A5156" w:rsidRPr="0081632D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poskytne zhotovitel záruku v délce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05703739"/>
        </w:sdtPr>
        <w:sdtEndPr/>
        <w:sdtContent>
          <w:r w:rsidR="007C3569">
            <w:rPr>
              <w:rFonts w:ascii="Calibri Light" w:hAnsi="Calibri Light" w:cs="Segoe UI"/>
              <w:i/>
              <w:sz w:val="22"/>
              <w:szCs w:val="22"/>
            </w:rPr>
            <w:t>60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měsíců od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protokolárního předání díla 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26095FEC" w14:textId="77777777" w:rsidR="00EA6A59" w:rsidRDefault="008A5156" w:rsidP="0084793E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odpovídá za řádné provedení díla, tj. že </w:t>
      </w:r>
      <w:r w:rsid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ílo bude mít vlastnosti uvedené v technických normách a právních předpisech, které se na dílo jako celek vztahují. 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Nereaguje-li zhotovitel písemně na reklamaci v požadovaném termínu, reklamaci uznává. Závady omezující provoz objektu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="0028668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B6273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62733" w:rsidRPr="002E1F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Náklady na odstranění takových vad a smluvní pokuta mohou být započteny vůči bankovní záruce nebo záručnímu zádržnému zhotovitele. Odstraněním vady objednatelem dle tohoto článku smlouvy není jakýmkoliv způsobem omezena nebo zkrácena záruka zhotovitele za celé dílo a/nebo jeho část.</w:t>
      </w:r>
    </w:p>
    <w:p w14:paraId="50B19AA7" w14:textId="77777777" w:rsidR="00EB0EB8" w:rsidRDefault="00EB0EB8" w:rsidP="00ED63E5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Zhotovitel předloží objednateli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při předání díla 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bankovní záruku za odstraňování vad v záruční době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a to ve výši </w:t>
      </w:r>
      <w:r w:rsidR="004459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 ceny díla bez DPH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Bankovní záruka bude vystavena jako neodvolatelná a bezpodmínečná, výhradně ve prospěch objednatele jako oprávněného, přičemž banka se zaváže k plnění bez námitek na základě první výzvy oprávněného. Právo z bankovní záruky je objednatel oprávněn uplatnit v případech, kdy zhotovitel neplní své závazky v souladu s touto smlouvou, zejména neuhradí objednat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eli smluvní pokuty podle čl. 8 </w:t>
      </w:r>
      <w:proofErr w:type="gramStart"/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</w:t>
      </w:r>
      <w:r w:rsidRPr="00056EF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,</w:t>
      </w:r>
      <w:r w:rsidR="00454FC6" w:rsidRPr="00056EF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8.1.4</w:t>
      </w:r>
      <w:proofErr w:type="gramEnd"/>
      <w:r w:rsidR="00454FC6" w:rsidRPr="00056EF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Pr="00056EF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8.1.5  této smlouvy</w:t>
      </w:r>
      <w:r w:rsidRPr="004D0B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4886E22B" w14:textId="77777777" w:rsidR="00056EFB" w:rsidRPr="00F3541B" w:rsidRDefault="00056EFB" w:rsidP="00056EFB">
      <w:pPr>
        <w:pStyle w:val="Normlnweb"/>
        <w:numPr>
          <w:ilvl w:val="1"/>
          <w:numId w:val="3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 požadavku na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vrácení bankovní záruky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 uplynutí záruční doby podle čl.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7.1.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po</w:t>
      </w:r>
      <w:proofErr w:type="gramEnd"/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odstranění všech vad díla reklamovaných v záruční době je povinen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připojit zápisy o odstranění všech vad reklamovaných v záruční době.</w:t>
      </w:r>
    </w:p>
    <w:p w14:paraId="799F5BDE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71944217" w14:textId="77777777" w:rsidR="008A5156" w:rsidRPr="0081632D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sjednaly smluvní pokutu za každý i započatý den prodlení – </w:t>
      </w:r>
    </w:p>
    <w:p w14:paraId="5FB862AA" w14:textId="02C9163D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s termínem dokončení </w:t>
      </w:r>
      <w:r w:rsidR="00FD11A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a předání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díla</w:t>
      </w:r>
      <w:r w:rsidR="00FD11A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objednateli ve výši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 </w:t>
      </w:r>
    </w:p>
    <w:p w14:paraId="3FAE0CC4" w14:textId="77777777" w:rsidR="008A5156" w:rsidRPr="00702A1D" w:rsidRDefault="008A5156" w:rsidP="00056EFB">
      <w:pPr>
        <w:pStyle w:val="Normlnweb"/>
        <w:spacing w:after="60"/>
        <w:ind w:left="1276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</w:p>
    <w:p w14:paraId="132CA275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staveniště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32612185" w14:textId="77777777" w:rsidR="0021350D" w:rsidRPr="00702A1D" w:rsidRDefault="0021350D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 předáním kompletních dokladů nezbytných ke kolaudačnímu řízení ve výši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</w:t>
      </w:r>
      <w:r w:rsidR="00FD11A0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z celkové ceny díla bez DPH,</w:t>
      </w:r>
    </w:p>
    <w:p w14:paraId="534FBBF0" w14:textId="77777777" w:rsidR="008A5156" w:rsidRPr="00702A1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 w:rsidR="001431C4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34E9D11C" w14:textId="77777777" w:rsidR="008A5156" w:rsidRPr="0081632D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uplatněných objednatele</w:t>
      </w:r>
      <w:r w:rsidR="00F720D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 v záruční době 0,2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 ceny díla bez DPH. </w:t>
      </w:r>
    </w:p>
    <w:p w14:paraId="090800BB" w14:textId="77777777" w:rsidR="008A5156" w:rsidRPr="0081632D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pokuty, které zaplatí zhotovitel objednateli, za každé prokazatelné porušení: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310CC72" w14:textId="77777777" w:rsidR="008A5156" w:rsidRPr="00702A1D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ustanovení o bezpečnosti  a ochraně zdraví v průběhu provedení díla: 1 000,00 Kč, </w:t>
      </w:r>
    </w:p>
    <w:p w14:paraId="067FE1F9" w14:textId="77777777" w:rsidR="008A5156" w:rsidRPr="00702A1D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ustanovení o ochraně životního prostředí, ochraně přírody a nakládání s odpady: </w:t>
      </w:r>
      <w:r w:rsidR="002222F7"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1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Kč.</w:t>
      </w:r>
    </w:p>
    <w:p w14:paraId="730CB58A" w14:textId="77777777" w:rsidR="008A5156" w:rsidRPr="00A92631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dále sjednávají k tíži zhotovitele smluvní pokutu pro případ takového porušení </w:t>
      </w: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povinnosti zhotovitele, které je důvodem pro výpověď nebo odstoupení od smlouvy objednatelem, ve výši 5 % z celkové ceny díla bez DPH</w:t>
      </w:r>
    </w:p>
    <w:p w14:paraId="499D7627" w14:textId="77777777" w:rsidR="008A5156" w:rsidRPr="00A92631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objednatele s placením ceny díla zaplatí objednatel zhotoviteli úrok z prodlení ve výši dle nařízení vlády č. </w:t>
      </w:r>
      <w:r w:rsidR="00603701"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351/2013 </w:t>
      </w: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Sb., v platném znění.</w:t>
      </w:r>
    </w:p>
    <w:p w14:paraId="38CA9C4C" w14:textId="77777777" w:rsidR="008A5156" w:rsidRPr="00A92631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9263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4FDAD930" w14:textId="77777777" w:rsidR="008A5156" w:rsidRPr="0021350D" w:rsidRDefault="0021350D" w:rsidP="0021350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Odstoupení od smlouvy</w:t>
      </w:r>
    </w:p>
    <w:p w14:paraId="19CAEE84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za podstatné porušení smluvních povinností dle této smlouvy a důvod pro odstoupení od smlouvy bude považováno:</w:t>
      </w:r>
    </w:p>
    <w:p w14:paraId="192CFCE5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dochází k prodlení při provádění prací oproti odsouhlasenému časovému harmonogramu vinou zhotovitele, a to i přes písemné upozornění a stanovení náhradního termínu,</w:t>
      </w:r>
    </w:p>
    <w:p w14:paraId="6DEEA6D8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prováděné práce i přes 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písemné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upozor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nění nebudou prováděny kvalitně a ve sjednaném termínu nebude zjednána náprava</w:t>
      </w:r>
    </w:p>
    <w:p w14:paraId="77839B82" w14:textId="77777777" w:rsidR="00374A56" w:rsidRPr="0081632D" w:rsidRDefault="00374A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zhotovitel opakovaně poruší některou ze svých povinností stanovenou v této smlouvě nebo jejích přílohách, ač byl na její dodržování objednatelem písemně upozorněn zápisem v SD nebo samostatným dopisem</w:t>
      </w:r>
    </w:p>
    <w:p w14:paraId="0EF1D1ED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je objednatel v prodlení s úhradou ceny zhotoviteli déle než 30 dní, a přes písemné upozornění zhotovitelem nezaplatí řádně fakturovanou cenu ani do 5 pracovních dnů po obdržení takového upozornění.</w:t>
      </w:r>
    </w:p>
    <w:p w14:paraId="6E0F22C6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55B5F02D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Odstoupením od smlouvy není dotčeno právo objednatele ani zhotovitele na náhradu skutečně prokázané škody.</w:t>
      </w:r>
    </w:p>
    <w:p w14:paraId="3FCBDE11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Účinky odstoupení nastávají dnem doručení oznámení o odstoupení zhotoviteli.</w:t>
      </w:r>
    </w:p>
    <w:p w14:paraId="0B13055A" w14:textId="77777777" w:rsidR="00374A56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pokud objednatel od této smlouvy podle </w:t>
      </w:r>
      <w:r w:rsid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odst.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 tohoto článku odstoupí, je oprávněn nedokončené dílo nechat provést třetí osobou na náklady, riziko a nebezpečí zhotovitele.</w:t>
      </w:r>
    </w:p>
    <w:p w14:paraId="73C0F2A2" w14:textId="77777777" w:rsidR="008A5156" w:rsidRDefault="008A5156" w:rsidP="00820082">
      <w:pPr>
        <w:pStyle w:val="Nadpis1"/>
        <w:keepNext w:val="0"/>
        <w:numPr>
          <w:ilvl w:val="0"/>
          <w:numId w:val="3"/>
        </w:numPr>
        <w:tabs>
          <w:tab w:val="left" w:pos="709"/>
        </w:tabs>
        <w:suppressAutoHyphens w:val="0"/>
        <w:spacing w:before="240" w:after="120"/>
        <w:ind w:left="0" w:firstLine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21350D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4C291FBF" w14:textId="77777777" w:rsidR="00B05A05" w:rsidRPr="00B05A05" w:rsidRDefault="00B05A05" w:rsidP="00B05A05">
      <w:pPr>
        <w:pStyle w:val="Zkladntext"/>
        <w:rPr>
          <w:lang w:eastAsia="cs-CZ"/>
        </w:rPr>
      </w:pPr>
    </w:p>
    <w:p w14:paraId="60B3B5A1" w14:textId="77777777" w:rsidR="00926B35" w:rsidRDefault="00926B35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o uveřejnění v registru smluv vedeném Ministerstvem vnitra ČR. Smluvní strany se dohodly, že uveřejnění smlouvy v registru smluv zajistí město Říčany.</w:t>
      </w:r>
    </w:p>
    <w:p w14:paraId="694BDA1F" w14:textId="77777777" w:rsidR="000079E1" w:rsidRDefault="005667DB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 platnosti dnem podpisu obou smluvních stran</w:t>
      </w:r>
      <w:r w:rsidR="009921D4" w:rsidRPr="009921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9921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 zveřejněním v registru smluv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14:paraId="1DFBC209" w14:textId="77777777" w:rsidR="000079E1" w:rsidRDefault="0021350D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 ani objednateli není známa skutečnost, že by při realizaci díla měl být použit výsledek činnosti, který je chráněn právem průmyslového nebo jiného duševního vlastnictví, k jehož použití by bylo třeba souhlasu autora.</w:t>
      </w:r>
    </w:p>
    <w:p w14:paraId="5E4FA6E3" w14:textId="77777777" w:rsidR="000079E1" w:rsidRDefault="00216D52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30C24794" w14:textId="77777777" w:rsidR="000079E1" w:rsidRDefault="008A5156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2840CEEF" w14:textId="77777777" w:rsidR="000079E1" w:rsidRDefault="0021350D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 sepsána ve </w:t>
      </w:r>
      <w:r w:rsidR="0082008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čtyřech </w:t>
      </w:r>
      <w:r w:rsidR="008A5156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14:paraId="594F7C51" w14:textId="77777777" w:rsidR="000079E1" w:rsidRDefault="00216D52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Žádná smluvní strana není bez předchozího písemného souhlasu druhé smluvní strany oprávněna převést svá práva a závazky z této smlouvy na třetí osobu. </w:t>
      </w:r>
    </w:p>
    <w:p w14:paraId="596112EE" w14:textId="77777777" w:rsidR="000079E1" w:rsidRDefault="0021350D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a objednavatel se zavazují před přistoupením k sankcím spolu jednat a sporné otázky předem řešit dohodou</w:t>
      </w:r>
      <w:r w:rsid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7C2016B0" w14:textId="77777777" w:rsidR="000079E1" w:rsidRDefault="008A5156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Občanskéh</w:t>
      </w: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zákoníku.</w:t>
      </w:r>
    </w:p>
    <w:p w14:paraId="76136328" w14:textId="77777777" w:rsidR="000079E1" w:rsidRDefault="00216D52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079E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B8625AA" w14:textId="1DBC69BF" w:rsidR="0038106C" w:rsidRDefault="0038106C" w:rsidP="009921D4">
      <w:pPr>
        <w:pStyle w:val="Normlnweb"/>
        <w:numPr>
          <w:ilvl w:val="1"/>
          <w:numId w:val="26"/>
        </w:numPr>
        <w:tabs>
          <w:tab w:val="left" w:pos="709"/>
        </w:tabs>
        <w:spacing w:after="60"/>
        <w:ind w:hanging="622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této smlouvy na svém jednání konaném dne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12.11.2020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číslem usnesení 20-58-001.</w:t>
      </w:r>
      <w:bookmarkStart w:id="0" w:name="_GoBack"/>
      <w:bookmarkEnd w:id="0"/>
    </w:p>
    <w:p w14:paraId="60CFF43C" w14:textId="77777777"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24D981A2" w14:textId="77777777"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474EE38A" w14:textId="77777777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14:paraId="387C0E1C" w14:textId="77777777" w:rsidR="00603701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981AAE">
        <w:rPr>
          <w:rFonts w:ascii="Calibri Light" w:hAnsi="Calibri Light"/>
          <w:sz w:val="22"/>
          <w:szCs w:val="22"/>
        </w:rPr>
        <w:t>Nabídkový rozpočet (o</w:t>
      </w:r>
      <w:r w:rsidRPr="0081632D">
        <w:rPr>
          <w:rFonts w:ascii="Calibri Light" w:hAnsi="Calibri Light"/>
          <w:sz w:val="22"/>
          <w:szCs w:val="22"/>
        </w:rPr>
        <w:t>ceněný výkaz výměr</w:t>
      </w:r>
      <w:r w:rsidR="00981AAE">
        <w:rPr>
          <w:rFonts w:ascii="Calibri Light" w:hAnsi="Calibri Light"/>
          <w:sz w:val="22"/>
          <w:szCs w:val="22"/>
        </w:rPr>
        <w:t>)</w:t>
      </w:r>
    </w:p>
    <w:p w14:paraId="0A360E02" w14:textId="77777777" w:rsidR="009921D4" w:rsidRDefault="009921D4" w:rsidP="00603701">
      <w:pPr>
        <w:jc w:val="both"/>
        <w:rPr>
          <w:rFonts w:ascii="Calibri Light" w:hAnsi="Calibri Light"/>
          <w:sz w:val="22"/>
          <w:szCs w:val="22"/>
        </w:rPr>
      </w:pPr>
    </w:p>
    <w:p w14:paraId="56C4214A" w14:textId="77777777"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442"/>
        <w:gridCol w:w="2416"/>
        <w:gridCol w:w="2342"/>
      </w:tblGrid>
      <w:tr w:rsidR="00737E9C" w:rsidRPr="0081632D" w14:paraId="57A9614C" w14:textId="77777777" w:rsidTr="00534998">
        <w:trPr>
          <w:trHeight w:val="573"/>
        </w:trPr>
        <w:tc>
          <w:tcPr>
            <w:tcW w:w="2207" w:type="dxa"/>
          </w:tcPr>
          <w:p w14:paraId="3D3E076C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lastRenderedPageBreak/>
              <w:t>V Říčanech</w:t>
            </w:r>
          </w:p>
        </w:tc>
        <w:tc>
          <w:tcPr>
            <w:tcW w:w="2559" w:type="dxa"/>
          </w:tcPr>
          <w:p w14:paraId="0FAF9786" w14:textId="4E278F5A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410" w:type="dxa"/>
          </w:tcPr>
          <w:p w14:paraId="5E54A8A0" w14:textId="6CE8DB0F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</w:p>
        </w:tc>
        <w:tc>
          <w:tcPr>
            <w:tcW w:w="2453" w:type="dxa"/>
          </w:tcPr>
          <w:p w14:paraId="70D5DDC2" w14:textId="64B7C424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737E9C" w:rsidRPr="0081632D" w14:paraId="25F4E5D0" w14:textId="77777777" w:rsidTr="00534998">
        <w:trPr>
          <w:trHeight w:val="689"/>
        </w:trPr>
        <w:tc>
          <w:tcPr>
            <w:tcW w:w="2207" w:type="dxa"/>
          </w:tcPr>
          <w:p w14:paraId="54546D92" w14:textId="77777777" w:rsidR="00737E9C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  <w:p w14:paraId="7E6F5648" w14:textId="77777777" w:rsidR="008C5F79" w:rsidRDefault="008C5F79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E4CF008" w14:textId="77777777" w:rsidR="008C5F79" w:rsidRDefault="008C5F79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8740D4D" w14:textId="77777777" w:rsidR="008C5F79" w:rsidRDefault="008C5F79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D456AB3" w14:textId="77777777" w:rsidR="00534998" w:rsidRDefault="008C5F79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…………………………………</w:t>
            </w:r>
          </w:p>
          <w:p w14:paraId="2CC1EE9A" w14:textId="77777777" w:rsidR="00534998" w:rsidRDefault="00534998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18068A56" w14:textId="46670BD1" w:rsidR="008C5F79" w:rsidRPr="0081632D" w:rsidRDefault="00534998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města</w:t>
            </w:r>
            <w:r w:rsidR="008C5F79">
              <w:rPr>
                <w:rFonts w:ascii="Calibri Light" w:hAnsi="Calibri Light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2559" w:type="dxa"/>
          </w:tcPr>
          <w:p w14:paraId="4DF5C408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AB798D" w14:textId="77777777" w:rsidR="00737E9C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  <w:p w14:paraId="607D9204" w14:textId="0CF879E5" w:rsidR="008C5F79" w:rsidRDefault="008C5F79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368F5D9" w14:textId="5CAC4D63" w:rsidR="00534998" w:rsidRDefault="00534998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921BAB6" w14:textId="7E04B998" w:rsidR="00534998" w:rsidRDefault="00534998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651087D" w14:textId="39D3B68B" w:rsidR="00534998" w:rsidRDefault="00534998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……………………………………..</w:t>
            </w:r>
          </w:p>
          <w:p w14:paraId="00DBA410" w14:textId="77777777" w:rsidR="00534998" w:rsidRDefault="00327F70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Michal Jakubec</w:t>
            </w:r>
            <w:r w:rsidR="00534998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</w:p>
          <w:p w14:paraId="686E48FC" w14:textId="66D2A05A" w:rsidR="00327F70" w:rsidRPr="0081632D" w:rsidRDefault="00327F70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jednatel</w:t>
            </w:r>
          </w:p>
        </w:tc>
        <w:tc>
          <w:tcPr>
            <w:tcW w:w="2453" w:type="dxa"/>
          </w:tcPr>
          <w:p w14:paraId="69F2E2D5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3F212DA3" w14:textId="77777777" w:rsidR="00AA4B69" w:rsidRPr="00737E9C" w:rsidRDefault="00AA4B69" w:rsidP="00D7500D">
      <w:pPr>
        <w:rPr>
          <w:rFonts w:asciiTheme="minorHAnsi" w:hAnsiTheme="minorHAnsi"/>
          <w:sz w:val="22"/>
          <w:szCs w:val="22"/>
        </w:rPr>
      </w:pPr>
    </w:p>
    <w:sectPr w:rsidR="00AA4B69" w:rsidRPr="00737E9C" w:rsidSect="00BD1936">
      <w:footerReference w:type="default" r:id="rId9"/>
      <w:footerReference w:type="first" r:id="rId10"/>
      <w:pgSz w:w="12240" w:h="15840"/>
      <w:pgMar w:top="814" w:right="1134" w:bottom="1134" w:left="1701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9EA6" w14:textId="77777777" w:rsidR="0007772C" w:rsidRDefault="0007772C">
      <w:r>
        <w:separator/>
      </w:r>
    </w:p>
  </w:endnote>
  <w:endnote w:type="continuationSeparator" w:id="0">
    <w:p w14:paraId="25C0977F" w14:textId="77777777" w:rsidR="0007772C" w:rsidRDefault="000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7B1D" w14:textId="77777777" w:rsidR="00FD11A0" w:rsidRPr="00314BB8" w:rsidRDefault="00FD11A0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C84B30">
      <w:rPr>
        <w:rFonts w:ascii="Calibri Light" w:hAnsi="Calibri Light"/>
        <w:sz w:val="18"/>
        <w:szCs w:val="18"/>
        <w:lang w:val="en-US"/>
      </w:rPr>
      <w:t>propojení komunikace Dukelská Táborská</w:t>
    </w:r>
    <w:r>
      <w:rPr>
        <w:rFonts w:ascii="Calibri Light" w:hAnsi="Calibri Light"/>
        <w:sz w:val="18"/>
        <w:szCs w:val="18"/>
        <w:lang w:val="en-US"/>
      </w:rPr>
      <w:t xml:space="preserve"> Říčany 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8106C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8106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D2B6" w14:textId="77777777" w:rsidR="00FD11A0" w:rsidRDefault="00FD11A0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  <w:lang w:val="en-US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5137CA">
      <w:rPr>
        <w:rFonts w:ascii="Calibri Light" w:hAnsi="Calibri Light"/>
        <w:sz w:val="18"/>
        <w:szCs w:val="18"/>
        <w:lang w:val="en-US"/>
      </w:rPr>
      <w:t>propojení komunikace Dukelská Táborská Říčany</w:t>
    </w:r>
  </w:p>
  <w:p w14:paraId="5B9291BE" w14:textId="77777777" w:rsidR="00FD11A0" w:rsidRPr="007C4453" w:rsidRDefault="00FD11A0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8106C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38106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C9100" w14:textId="77777777" w:rsidR="0007772C" w:rsidRDefault="0007772C">
      <w:r>
        <w:separator/>
      </w:r>
    </w:p>
  </w:footnote>
  <w:footnote w:type="continuationSeparator" w:id="0">
    <w:p w14:paraId="2AEADAF5" w14:textId="77777777" w:rsidR="0007772C" w:rsidRDefault="000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92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1354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5611B5"/>
    <w:multiLevelType w:val="multilevel"/>
    <w:tmpl w:val="103C22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870854"/>
    <w:multiLevelType w:val="multilevel"/>
    <w:tmpl w:val="3C480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6716D"/>
    <w:multiLevelType w:val="hybridMultilevel"/>
    <w:tmpl w:val="5C408496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57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5059F"/>
    <w:multiLevelType w:val="multilevel"/>
    <w:tmpl w:val="A9521FC8"/>
    <w:lvl w:ilvl="0">
      <w:start w:val="1"/>
      <w:numFmt w:val="decimal"/>
      <w:lvlText w:val="%1."/>
      <w:lvlJc w:val="left"/>
      <w:pPr>
        <w:ind w:left="540" w:hanging="540"/>
      </w:pPr>
      <w:rPr>
        <w:rFonts w:cs="Segoe UI" w:hint="default"/>
        <w:i/>
      </w:rPr>
    </w:lvl>
    <w:lvl w:ilvl="1">
      <w:start w:val="5"/>
      <w:numFmt w:val="decimal"/>
      <w:lvlText w:val="%1.%2."/>
      <w:lvlJc w:val="left"/>
      <w:pPr>
        <w:ind w:left="1036" w:hanging="540"/>
      </w:pPr>
      <w:rPr>
        <w:rFonts w:cs="Segoe UI" w:hint="default"/>
        <w:i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Segoe UI" w:hint="default"/>
        <w:i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cs="Segoe UI" w:hint="default"/>
        <w:i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Segoe UI" w:hint="default"/>
        <w:i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Segoe UI" w:hint="default"/>
        <w:i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Segoe UI" w:hint="default"/>
        <w:i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Segoe UI" w:hint="default"/>
        <w:i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Segoe UI" w:hint="default"/>
        <w:i/>
      </w:rPr>
    </w:lvl>
  </w:abstractNum>
  <w:abstractNum w:abstractNumId="37" w15:restartNumberingAfterBreak="0">
    <w:nsid w:val="7DDF21E4"/>
    <w:multiLevelType w:val="multilevel"/>
    <w:tmpl w:val="D042165A"/>
    <w:lvl w:ilvl="0">
      <w:start w:val="7"/>
      <w:numFmt w:val="decimal"/>
      <w:lvlText w:val="%1."/>
      <w:lvlJc w:val="left"/>
      <w:pPr>
        <w:ind w:left="360" w:hanging="360"/>
      </w:pPr>
      <w:rPr>
        <w:rFonts w:cs="Segoe UI" w:hint="default"/>
        <w:i/>
        <w:color w:val="000000"/>
      </w:rPr>
    </w:lvl>
    <w:lvl w:ilvl="1">
      <w:start w:val="3"/>
      <w:numFmt w:val="decimal"/>
      <w:lvlText w:val="%1.%2."/>
      <w:lvlJc w:val="left"/>
      <w:pPr>
        <w:ind w:left="1077" w:hanging="360"/>
      </w:pPr>
      <w:rPr>
        <w:rFonts w:cs="Segoe UI"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cs="Segoe UI"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cs="Segoe UI"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Segoe UI"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cs="Segoe UI"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cs="Segoe UI"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cs="Segoe UI"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cs="Segoe UI" w:hint="default"/>
        <w:i/>
        <w:color w:val="000000"/>
      </w:rPr>
    </w:lvl>
  </w:abstractNum>
  <w:abstractNum w:abstractNumId="38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FB2987"/>
    <w:multiLevelType w:val="multilevel"/>
    <w:tmpl w:val="C3C4D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33"/>
  </w:num>
  <w:num w:numId="5">
    <w:abstractNumId w:val="32"/>
  </w:num>
  <w:num w:numId="6">
    <w:abstractNumId w:val="38"/>
  </w:num>
  <w:num w:numId="7">
    <w:abstractNumId w:val="21"/>
  </w:num>
  <w:num w:numId="8">
    <w:abstractNumId w:val="11"/>
  </w:num>
  <w:num w:numId="9">
    <w:abstractNumId w:val="20"/>
  </w:num>
  <w:num w:numId="10">
    <w:abstractNumId w:val="8"/>
  </w:num>
  <w:num w:numId="11">
    <w:abstractNumId w:val="30"/>
  </w:num>
  <w:num w:numId="12">
    <w:abstractNumId w:val="26"/>
  </w:num>
  <w:num w:numId="13">
    <w:abstractNumId w:val="27"/>
  </w:num>
  <w:num w:numId="14">
    <w:abstractNumId w:val="25"/>
  </w:num>
  <w:num w:numId="15">
    <w:abstractNumId w:val="31"/>
  </w:num>
  <w:num w:numId="16">
    <w:abstractNumId w:val="29"/>
  </w:num>
  <w:num w:numId="17">
    <w:abstractNumId w:val="14"/>
  </w:num>
  <w:num w:numId="18">
    <w:abstractNumId w:val="13"/>
  </w:num>
  <w:num w:numId="19">
    <w:abstractNumId w:val="17"/>
  </w:num>
  <w:num w:numId="20">
    <w:abstractNumId w:val="16"/>
  </w:num>
  <w:num w:numId="21">
    <w:abstractNumId w:val="34"/>
  </w:num>
  <w:num w:numId="22">
    <w:abstractNumId w:val="12"/>
  </w:num>
  <w:num w:numId="23">
    <w:abstractNumId w:val="24"/>
  </w:num>
  <w:num w:numId="24">
    <w:abstractNumId w:val="10"/>
  </w:num>
  <w:num w:numId="25">
    <w:abstractNumId w:val="28"/>
  </w:num>
  <w:num w:numId="26">
    <w:abstractNumId w:val="15"/>
  </w:num>
  <w:num w:numId="27">
    <w:abstractNumId w:val="23"/>
  </w:num>
  <w:num w:numId="28">
    <w:abstractNumId w:val="39"/>
  </w:num>
  <w:num w:numId="29">
    <w:abstractNumId w:val="7"/>
  </w:num>
  <w:num w:numId="30">
    <w:abstractNumId w:val="37"/>
  </w:num>
  <w:num w:numId="31">
    <w:abstractNumId w:val="9"/>
  </w:num>
  <w:num w:numId="32">
    <w:abstractNumId w:val="3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79E1"/>
    <w:rsid w:val="000105E5"/>
    <w:rsid w:val="00022A67"/>
    <w:rsid w:val="000278BB"/>
    <w:rsid w:val="00034949"/>
    <w:rsid w:val="00034ED6"/>
    <w:rsid w:val="00036E8E"/>
    <w:rsid w:val="00041419"/>
    <w:rsid w:val="00056EFB"/>
    <w:rsid w:val="000656C1"/>
    <w:rsid w:val="00070621"/>
    <w:rsid w:val="00072C88"/>
    <w:rsid w:val="0007772C"/>
    <w:rsid w:val="000777E2"/>
    <w:rsid w:val="0009119C"/>
    <w:rsid w:val="000950A7"/>
    <w:rsid w:val="000967CF"/>
    <w:rsid w:val="00097149"/>
    <w:rsid w:val="000B242A"/>
    <w:rsid w:val="000D1AB7"/>
    <w:rsid w:val="000D1BEB"/>
    <w:rsid w:val="000D31EA"/>
    <w:rsid w:val="000E5CF8"/>
    <w:rsid w:val="000E6960"/>
    <w:rsid w:val="000F68FC"/>
    <w:rsid w:val="00101350"/>
    <w:rsid w:val="001030CB"/>
    <w:rsid w:val="00105CE0"/>
    <w:rsid w:val="00111994"/>
    <w:rsid w:val="001142FF"/>
    <w:rsid w:val="00114952"/>
    <w:rsid w:val="00122F95"/>
    <w:rsid w:val="00130714"/>
    <w:rsid w:val="00136E46"/>
    <w:rsid w:val="001413F7"/>
    <w:rsid w:val="001425E5"/>
    <w:rsid w:val="001431C4"/>
    <w:rsid w:val="00147DE4"/>
    <w:rsid w:val="00165622"/>
    <w:rsid w:val="00174C10"/>
    <w:rsid w:val="00176C5F"/>
    <w:rsid w:val="001A73BE"/>
    <w:rsid w:val="001B6A6D"/>
    <w:rsid w:val="001E0C96"/>
    <w:rsid w:val="001E0D91"/>
    <w:rsid w:val="001E0E37"/>
    <w:rsid w:val="001E28BB"/>
    <w:rsid w:val="001E33B9"/>
    <w:rsid w:val="001E60DE"/>
    <w:rsid w:val="001F2EC6"/>
    <w:rsid w:val="001F5763"/>
    <w:rsid w:val="0020359B"/>
    <w:rsid w:val="00207C3E"/>
    <w:rsid w:val="0021350D"/>
    <w:rsid w:val="00216D52"/>
    <w:rsid w:val="002222F7"/>
    <w:rsid w:val="002538F1"/>
    <w:rsid w:val="0025574D"/>
    <w:rsid w:val="00256CB2"/>
    <w:rsid w:val="002674CC"/>
    <w:rsid w:val="00286686"/>
    <w:rsid w:val="00287E1B"/>
    <w:rsid w:val="002A3C62"/>
    <w:rsid w:val="002A5AA5"/>
    <w:rsid w:val="002B10EC"/>
    <w:rsid w:val="002E394A"/>
    <w:rsid w:val="002E3BB9"/>
    <w:rsid w:val="002F0604"/>
    <w:rsid w:val="00314BB8"/>
    <w:rsid w:val="003154EE"/>
    <w:rsid w:val="003164F1"/>
    <w:rsid w:val="00317250"/>
    <w:rsid w:val="00321581"/>
    <w:rsid w:val="0032366F"/>
    <w:rsid w:val="00323D9C"/>
    <w:rsid w:val="00327F70"/>
    <w:rsid w:val="00345A47"/>
    <w:rsid w:val="00352020"/>
    <w:rsid w:val="00352DE5"/>
    <w:rsid w:val="00353E23"/>
    <w:rsid w:val="0036662C"/>
    <w:rsid w:val="00374A56"/>
    <w:rsid w:val="00374DA4"/>
    <w:rsid w:val="00377EFD"/>
    <w:rsid w:val="0038106C"/>
    <w:rsid w:val="00381500"/>
    <w:rsid w:val="003A2320"/>
    <w:rsid w:val="003B653F"/>
    <w:rsid w:val="003C550A"/>
    <w:rsid w:val="003D0AA9"/>
    <w:rsid w:val="003E602A"/>
    <w:rsid w:val="003F3621"/>
    <w:rsid w:val="003F40FA"/>
    <w:rsid w:val="003F656D"/>
    <w:rsid w:val="003F714F"/>
    <w:rsid w:val="0040724E"/>
    <w:rsid w:val="004342E6"/>
    <w:rsid w:val="0044237A"/>
    <w:rsid w:val="004438BF"/>
    <w:rsid w:val="00445914"/>
    <w:rsid w:val="00454FC6"/>
    <w:rsid w:val="00457E94"/>
    <w:rsid w:val="00474D65"/>
    <w:rsid w:val="00492145"/>
    <w:rsid w:val="00496399"/>
    <w:rsid w:val="004A0F24"/>
    <w:rsid w:val="004B2EFA"/>
    <w:rsid w:val="004B51C2"/>
    <w:rsid w:val="004D40BC"/>
    <w:rsid w:val="004D6396"/>
    <w:rsid w:val="004E5B78"/>
    <w:rsid w:val="004E6402"/>
    <w:rsid w:val="004F0461"/>
    <w:rsid w:val="004F092B"/>
    <w:rsid w:val="004F4F91"/>
    <w:rsid w:val="00504FEE"/>
    <w:rsid w:val="005108D5"/>
    <w:rsid w:val="00511BA6"/>
    <w:rsid w:val="005137CA"/>
    <w:rsid w:val="005211A9"/>
    <w:rsid w:val="005261A7"/>
    <w:rsid w:val="00534998"/>
    <w:rsid w:val="0053775C"/>
    <w:rsid w:val="00540B68"/>
    <w:rsid w:val="005500FF"/>
    <w:rsid w:val="005667DB"/>
    <w:rsid w:val="00566B91"/>
    <w:rsid w:val="005830BC"/>
    <w:rsid w:val="005845EA"/>
    <w:rsid w:val="005900FC"/>
    <w:rsid w:val="00595B64"/>
    <w:rsid w:val="005A2A58"/>
    <w:rsid w:val="005B5F91"/>
    <w:rsid w:val="005C4BCF"/>
    <w:rsid w:val="00603701"/>
    <w:rsid w:val="0061310D"/>
    <w:rsid w:val="006264C8"/>
    <w:rsid w:val="006352A1"/>
    <w:rsid w:val="00652FC1"/>
    <w:rsid w:val="006546CB"/>
    <w:rsid w:val="00654A62"/>
    <w:rsid w:val="00676FB1"/>
    <w:rsid w:val="006B0480"/>
    <w:rsid w:val="006B3138"/>
    <w:rsid w:val="006B6C9F"/>
    <w:rsid w:val="006E29C5"/>
    <w:rsid w:val="006E7A52"/>
    <w:rsid w:val="006F4560"/>
    <w:rsid w:val="007008ED"/>
    <w:rsid w:val="00702402"/>
    <w:rsid w:val="00702A1D"/>
    <w:rsid w:val="00705835"/>
    <w:rsid w:val="00722F34"/>
    <w:rsid w:val="00725D89"/>
    <w:rsid w:val="00737E9C"/>
    <w:rsid w:val="007444FD"/>
    <w:rsid w:val="0075008A"/>
    <w:rsid w:val="0077626C"/>
    <w:rsid w:val="00795FD1"/>
    <w:rsid w:val="007A1BB7"/>
    <w:rsid w:val="007A7FA4"/>
    <w:rsid w:val="007C10CF"/>
    <w:rsid w:val="007C3569"/>
    <w:rsid w:val="007C4453"/>
    <w:rsid w:val="007D160F"/>
    <w:rsid w:val="007D6CAE"/>
    <w:rsid w:val="007E055C"/>
    <w:rsid w:val="007E4471"/>
    <w:rsid w:val="007E6043"/>
    <w:rsid w:val="007F703E"/>
    <w:rsid w:val="00805020"/>
    <w:rsid w:val="00810A7D"/>
    <w:rsid w:val="0081632D"/>
    <w:rsid w:val="00820082"/>
    <w:rsid w:val="008449ED"/>
    <w:rsid w:val="0084793E"/>
    <w:rsid w:val="00850696"/>
    <w:rsid w:val="00871009"/>
    <w:rsid w:val="00883332"/>
    <w:rsid w:val="00891D70"/>
    <w:rsid w:val="008A5156"/>
    <w:rsid w:val="008B009B"/>
    <w:rsid w:val="008B0EBC"/>
    <w:rsid w:val="008C12A4"/>
    <w:rsid w:val="008C238C"/>
    <w:rsid w:val="008C5F79"/>
    <w:rsid w:val="008D25EE"/>
    <w:rsid w:val="008F23A4"/>
    <w:rsid w:val="008F52F7"/>
    <w:rsid w:val="00900F66"/>
    <w:rsid w:val="00901C7F"/>
    <w:rsid w:val="00915724"/>
    <w:rsid w:val="00926B35"/>
    <w:rsid w:val="00926D2C"/>
    <w:rsid w:val="00931158"/>
    <w:rsid w:val="0094605A"/>
    <w:rsid w:val="00975419"/>
    <w:rsid w:val="00975A01"/>
    <w:rsid w:val="00981AAE"/>
    <w:rsid w:val="009867B3"/>
    <w:rsid w:val="009921D4"/>
    <w:rsid w:val="009E1F7B"/>
    <w:rsid w:val="009F5538"/>
    <w:rsid w:val="009F5971"/>
    <w:rsid w:val="00A01BA0"/>
    <w:rsid w:val="00A33157"/>
    <w:rsid w:val="00A412F7"/>
    <w:rsid w:val="00A5325B"/>
    <w:rsid w:val="00A55299"/>
    <w:rsid w:val="00A65CE4"/>
    <w:rsid w:val="00A7104B"/>
    <w:rsid w:val="00A72313"/>
    <w:rsid w:val="00A80FE8"/>
    <w:rsid w:val="00A83F36"/>
    <w:rsid w:val="00A85A37"/>
    <w:rsid w:val="00A92631"/>
    <w:rsid w:val="00A93D00"/>
    <w:rsid w:val="00A948C3"/>
    <w:rsid w:val="00AA07B6"/>
    <w:rsid w:val="00AA1CA1"/>
    <w:rsid w:val="00AA4B69"/>
    <w:rsid w:val="00AA6A19"/>
    <w:rsid w:val="00AB075F"/>
    <w:rsid w:val="00AC2446"/>
    <w:rsid w:val="00AC3F0B"/>
    <w:rsid w:val="00AC7426"/>
    <w:rsid w:val="00AD40DC"/>
    <w:rsid w:val="00AE2004"/>
    <w:rsid w:val="00B038EE"/>
    <w:rsid w:val="00B05A05"/>
    <w:rsid w:val="00B12CC8"/>
    <w:rsid w:val="00B167F6"/>
    <w:rsid w:val="00B25500"/>
    <w:rsid w:val="00B3393C"/>
    <w:rsid w:val="00B47D09"/>
    <w:rsid w:val="00B62733"/>
    <w:rsid w:val="00B67B4C"/>
    <w:rsid w:val="00B73EAB"/>
    <w:rsid w:val="00BA2BC0"/>
    <w:rsid w:val="00BA6CC7"/>
    <w:rsid w:val="00BB01CC"/>
    <w:rsid w:val="00BC7022"/>
    <w:rsid w:val="00BD1936"/>
    <w:rsid w:val="00BE0C53"/>
    <w:rsid w:val="00BE20B6"/>
    <w:rsid w:val="00BF3C1F"/>
    <w:rsid w:val="00BF54C1"/>
    <w:rsid w:val="00C05F28"/>
    <w:rsid w:val="00C10A35"/>
    <w:rsid w:val="00C23B14"/>
    <w:rsid w:val="00C37298"/>
    <w:rsid w:val="00C44C14"/>
    <w:rsid w:val="00C62802"/>
    <w:rsid w:val="00C6537B"/>
    <w:rsid w:val="00C84B30"/>
    <w:rsid w:val="00C86AFE"/>
    <w:rsid w:val="00C87F0C"/>
    <w:rsid w:val="00C95434"/>
    <w:rsid w:val="00CB6F74"/>
    <w:rsid w:val="00CB732F"/>
    <w:rsid w:val="00CB758C"/>
    <w:rsid w:val="00CD422E"/>
    <w:rsid w:val="00CD65D0"/>
    <w:rsid w:val="00CD7BC6"/>
    <w:rsid w:val="00CE1A98"/>
    <w:rsid w:val="00D00595"/>
    <w:rsid w:val="00D07A74"/>
    <w:rsid w:val="00D32334"/>
    <w:rsid w:val="00D450DE"/>
    <w:rsid w:val="00D457BC"/>
    <w:rsid w:val="00D501C0"/>
    <w:rsid w:val="00D72423"/>
    <w:rsid w:val="00D7500D"/>
    <w:rsid w:val="00D764FD"/>
    <w:rsid w:val="00D87805"/>
    <w:rsid w:val="00D90E04"/>
    <w:rsid w:val="00DA39E7"/>
    <w:rsid w:val="00DB30A1"/>
    <w:rsid w:val="00DC5B2A"/>
    <w:rsid w:val="00DD78FB"/>
    <w:rsid w:val="00DF206A"/>
    <w:rsid w:val="00DF55FE"/>
    <w:rsid w:val="00DF58BE"/>
    <w:rsid w:val="00DF722E"/>
    <w:rsid w:val="00E131E4"/>
    <w:rsid w:val="00E35F57"/>
    <w:rsid w:val="00E45253"/>
    <w:rsid w:val="00E500E1"/>
    <w:rsid w:val="00E51835"/>
    <w:rsid w:val="00E55C84"/>
    <w:rsid w:val="00E72469"/>
    <w:rsid w:val="00E80301"/>
    <w:rsid w:val="00EA2926"/>
    <w:rsid w:val="00EA2ED1"/>
    <w:rsid w:val="00EA6A59"/>
    <w:rsid w:val="00EB0EB8"/>
    <w:rsid w:val="00ED63E5"/>
    <w:rsid w:val="00EE2FC7"/>
    <w:rsid w:val="00EE3762"/>
    <w:rsid w:val="00F048B0"/>
    <w:rsid w:val="00F23BEE"/>
    <w:rsid w:val="00F3018B"/>
    <w:rsid w:val="00F34CC8"/>
    <w:rsid w:val="00F3541B"/>
    <w:rsid w:val="00F44E02"/>
    <w:rsid w:val="00F46A4E"/>
    <w:rsid w:val="00F46B38"/>
    <w:rsid w:val="00F532DE"/>
    <w:rsid w:val="00F720DC"/>
    <w:rsid w:val="00F8799E"/>
    <w:rsid w:val="00FA459C"/>
    <w:rsid w:val="00FC032C"/>
    <w:rsid w:val="00FC06E7"/>
    <w:rsid w:val="00FC6BEE"/>
    <w:rsid w:val="00FD11A0"/>
    <w:rsid w:val="00FD47DD"/>
    <w:rsid w:val="00FE1F4D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D5BC0F"/>
  <w15:docId w15:val="{4EFC90AA-C3C6-49AC-8E87-21680C6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customStyle="1" w:styleId="Textbody">
    <w:name w:val="Text body"/>
    <w:basedOn w:val="Normln"/>
    <w:rsid w:val="00A65CE4"/>
    <w:pPr>
      <w:widowControl w:val="0"/>
      <w:autoSpaceDN w:val="0"/>
      <w:spacing w:after="85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Nadpislnku">
    <w:name w:val="Nadpis článku"/>
    <w:basedOn w:val="Odstavecseseznamem"/>
    <w:uiPriority w:val="1"/>
    <w:qFormat/>
    <w:rsid w:val="005211A9"/>
    <w:pPr>
      <w:numPr>
        <w:numId w:val="31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5211A9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5211A9"/>
    <w:rPr>
      <w:rFonts w:ascii="Calibri" w:eastAsia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415991C41D479C8563D27B0351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AB077-5872-46D8-8355-A30E7BAC19CA}"/>
      </w:docPartPr>
      <w:docPartBody>
        <w:p w:rsidR="009F4839" w:rsidRDefault="00146796" w:rsidP="00146796">
          <w:pPr>
            <w:pStyle w:val="59415991C41D479C8563D27B035102EF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3B4DB45F2754D8695996EDB4A865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9CBAB-3885-4E0B-A242-1A39C0C5D37C}"/>
      </w:docPartPr>
      <w:docPartBody>
        <w:p w:rsidR="009F4839" w:rsidRDefault="00146796" w:rsidP="00146796">
          <w:pPr>
            <w:pStyle w:val="F3B4DB45F2754D8695996EDB4A86557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EA6C60C449B419597A675772E8F4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EA67-A403-48AD-BFA1-4F7AEB2E507F}"/>
      </w:docPartPr>
      <w:docPartBody>
        <w:p w:rsidR="009F4839" w:rsidRDefault="00146796" w:rsidP="00146796">
          <w:pPr>
            <w:pStyle w:val="2EA6C60C449B419597A675772E8F473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73AC0D73CD348D0945025BB99901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A9620-042F-494F-AB43-D7AADB322662}"/>
      </w:docPartPr>
      <w:docPartBody>
        <w:p w:rsidR="009F4839" w:rsidRDefault="008E2CE5" w:rsidP="008E2CE5">
          <w:pPr>
            <w:pStyle w:val="173AC0D73CD348D0945025BB9990160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6767346B28B48B7B700FE4C1BBFA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5613-694F-4707-BF68-FD22CC848945}"/>
      </w:docPartPr>
      <w:docPartBody>
        <w:p w:rsidR="009F4839" w:rsidRDefault="008E2CE5" w:rsidP="008E2CE5">
          <w:pPr>
            <w:pStyle w:val="B6767346B28B48B7B700FE4C1BBFA9E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458C9698A6A4D189CF5FD89D077C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65C9D-0B50-4737-A3AD-39C4D6C89707}"/>
      </w:docPartPr>
      <w:docPartBody>
        <w:p w:rsidR="009F4839" w:rsidRDefault="008E2CE5" w:rsidP="008E2CE5">
          <w:pPr>
            <w:pStyle w:val="F458C9698A6A4D189CF5FD89D077CD4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E33ACA3ED3C494BAC2595A1F8B4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7E2DD-BAB3-4476-B06D-F707AE96E866}"/>
      </w:docPartPr>
      <w:docPartBody>
        <w:p w:rsidR="009F4839" w:rsidRDefault="008E2CE5" w:rsidP="008E2CE5">
          <w:pPr>
            <w:pStyle w:val="2E33ACA3ED3C494BAC2595A1F8B45A36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AAF5E16833F4D4B9E133A070E954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3BDBC-ED56-4785-9CCB-91805B52B958}"/>
      </w:docPartPr>
      <w:docPartBody>
        <w:p w:rsidR="009F4839" w:rsidRDefault="008E2CE5" w:rsidP="008E2CE5">
          <w:pPr>
            <w:pStyle w:val="8AAF5E16833F4D4B9E133A070E9547C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7946316D2D943BFA9F7405F7F58F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86CB1-2B89-40DB-957F-F74567A982EA}"/>
      </w:docPartPr>
      <w:docPartBody>
        <w:p w:rsidR="009F4839" w:rsidRDefault="008E2CE5" w:rsidP="008E2CE5">
          <w:pPr>
            <w:pStyle w:val="F7946316D2D943BFA9F7405F7F58F31B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E1E3B56004BC47B0AE100D374799D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4459D-030C-43FA-AB57-45609178B331}"/>
      </w:docPartPr>
      <w:docPartBody>
        <w:p w:rsidR="004B2A90" w:rsidRDefault="004D58AB" w:rsidP="004D58AB">
          <w:pPr>
            <w:pStyle w:val="E1E3B56004BC47B0AE100D374799D67E"/>
          </w:pPr>
          <w:r w:rsidRPr="0081632D">
            <w:rPr>
              <w:rStyle w:val="Zstupntext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6394E"/>
    <w:rsid w:val="00146796"/>
    <w:rsid w:val="001A1CBD"/>
    <w:rsid w:val="002457FD"/>
    <w:rsid w:val="00312BE7"/>
    <w:rsid w:val="0031401F"/>
    <w:rsid w:val="003522D4"/>
    <w:rsid w:val="003C2F61"/>
    <w:rsid w:val="003D311A"/>
    <w:rsid w:val="004A4110"/>
    <w:rsid w:val="004B2A90"/>
    <w:rsid w:val="004D58AB"/>
    <w:rsid w:val="005E461B"/>
    <w:rsid w:val="007F2D4E"/>
    <w:rsid w:val="008D60BE"/>
    <w:rsid w:val="008E2CE5"/>
    <w:rsid w:val="00915468"/>
    <w:rsid w:val="009F4839"/>
    <w:rsid w:val="00AF7297"/>
    <w:rsid w:val="00B069C6"/>
    <w:rsid w:val="00B161FA"/>
    <w:rsid w:val="00B30007"/>
    <w:rsid w:val="00BC15AE"/>
    <w:rsid w:val="00BE39AA"/>
    <w:rsid w:val="00D916BD"/>
    <w:rsid w:val="00F07194"/>
    <w:rsid w:val="00F72ABC"/>
    <w:rsid w:val="00F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15AE"/>
    <w:rPr>
      <w:color w:val="808080"/>
    </w:rPr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E3B56004BC47B0AE100D374799D67E">
    <w:name w:val="E1E3B56004BC47B0AE100D374799D67E"/>
    <w:rsid w:val="004D58AB"/>
  </w:style>
  <w:style w:type="paragraph" w:customStyle="1" w:styleId="0B8DBAA996B84A1FB2631C54B31F86DA">
    <w:name w:val="0B8DBAA996B84A1FB2631C54B31F86DA"/>
    <w:rsid w:val="0031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D0F28-7818-42C2-B9C4-5A9D8C11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3776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2019-03-22T07:28:00Z</cp:lastPrinted>
  <dcterms:created xsi:type="dcterms:W3CDTF">2020-12-09T09:59:00Z</dcterms:created>
  <dcterms:modified xsi:type="dcterms:W3CDTF">2020-12-09T10:01:00Z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