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12" w:rsidRDefault="004F65A6">
      <w:pPr>
        <w:spacing w:after="190" w:line="259" w:lineRule="auto"/>
        <w:ind w:left="0" w:right="449" w:firstLine="0"/>
        <w:jc w:val="center"/>
      </w:pPr>
      <w:r>
        <w:rPr>
          <w:b/>
        </w:rPr>
        <w:t xml:space="preserve">Dodatek č. 3 </w:t>
      </w:r>
    </w:p>
    <w:p w:rsidR="00EF1512" w:rsidRDefault="004F65A6">
      <w:pPr>
        <w:spacing w:after="0" w:line="259" w:lineRule="auto"/>
        <w:jc w:val="center"/>
      </w:pPr>
      <w:r>
        <w:t xml:space="preserve">SMLOUVY O PRODEJI PRÁV </w:t>
      </w:r>
      <w:r>
        <w:t xml:space="preserve">K UŽITÍ PROGRAMOVÉHO PRODUKTU INFORMAČNÍ </w:t>
      </w:r>
    </w:p>
    <w:p w:rsidR="00EF1512" w:rsidRDefault="004F65A6">
      <w:pPr>
        <w:spacing w:after="21" w:line="259" w:lineRule="auto"/>
        <w:ind w:left="0" w:right="839" w:firstLine="0"/>
        <w:jc w:val="right"/>
      </w:pPr>
      <w:r>
        <w:t>SYSTÉM PRO PSYCHIATRII (</w:t>
      </w:r>
      <w:proofErr w:type="spellStart"/>
      <w:r>
        <w:t>ISpP</w:t>
      </w:r>
      <w:proofErr w:type="spellEnd"/>
      <w:r>
        <w:t xml:space="preserve">) A SOUVISEJÍCÍHO PROGRAMOVÉHO VYBAVENÍ  </w:t>
      </w:r>
    </w:p>
    <w:p w:rsidR="00EF1512" w:rsidRDefault="004F65A6">
      <w:pPr>
        <w:spacing w:after="182" w:line="259" w:lineRule="auto"/>
        <w:ind w:right="447"/>
        <w:jc w:val="center"/>
      </w:pPr>
      <w:r>
        <w:t>č.:17NA0045/PNB</w:t>
      </w:r>
      <w:r>
        <w:t xml:space="preserve"> ze dne 17. 1. 2018 </w:t>
      </w:r>
    </w:p>
    <w:p w:rsidR="00EF1512" w:rsidRDefault="004F65A6">
      <w:pPr>
        <w:pStyle w:val="Nadpis1"/>
        <w:spacing w:after="206"/>
      </w:pPr>
      <w:r>
        <w:t xml:space="preserve">ROZŠÍŘENÍ PRÁV K UŽITÍ </w:t>
      </w:r>
      <w:r>
        <w:t>- DODÁVKA SW LICENCÍ</w:t>
      </w:r>
      <w:r>
        <w:rPr>
          <w:u w:val="none"/>
        </w:rPr>
        <w:t xml:space="preserve"> </w:t>
      </w:r>
    </w:p>
    <w:p w:rsidR="00EF1512" w:rsidRDefault="004F65A6">
      <w:pPr>
        <w:spacing w:after="144" w:line="259" w:lineRule="auto"/>
        <w:ind w:right="447"/>
        <w:jc w:val="center"/>
      </w:pPr>
      <w:r>
        <w:t xml:space="preserve">uzavřený </w:t>
      </w:r>
      <w:proofErr w:type="gramStart"/>
      <w:r>
        <w:t>mezi</w:t>
      </w:r>
      <w:proofErr w:type="gramEnd"/>
      <w:r>
        <w:t xml:space="preserve"> </w:t>
      </w:r>
    </w:p>
    <w:p w:rsidR="00EF1512" w:rsidRDefault="004F65A6">
      <w:pPr>
        <w:spacing w:after="129" w:line="259" w:lineRule="auto"/>
        <w:ind w:left="79" w:right="0" w:firstLine="0"/>
        <w:jc w:val="left"/>
      </w:pPr>
      <w:r>
        <w:t xml:space="preserve"> </w:t>
      </w:r>
      <w:r>
        <w:tab/>
        <w:t xml:space="preserve"> </w:t>
      </w:r>
    </w:p>
    <w:p w:rsidR="00EF1512" w:rsidRDefault="004F65A6">
      <w:pPr>
        <w:ind w:left="89" w:right="1889"/>
      </w:pPr>
      <w:r>
        <w:rPr>
          <w:b/>
        </w:rPr>
        <w:t xml:space="preserve">HIPPO, spol. s r.o. </w:t>
      </w:r>
      <w:r>
        <w:t xml:space="preserve"> </w:t>
      </w:r>
      <w:r>
        <w:tab/>
        <w:t xml:space="preserve"> </w:t>
      </w:r>
      <w:r>
        <w:tab/>
      </w:r>
      <w:r>
        <w:t>společnost je zapsaná do OR vedeného KS v</w:t>
      </w:r>
      <w:r>
        <w:t xml:space="preserve"> </w:t>
      </w:r>
      <w:r>
        <w:t>Brně oddíl C, vložka 632</w:t>
      </w:r>
      <w:r>
        <w:t xml:space="preserve"> </w:t>
      </w:r>
    </w:p>
    <w:tbl>
      <w:tblPr>
        <w:tblStyle w:val="TableGrid"/>
        <w:tblW w:w="8916" w:type="dxa"/>
        <w:tblInd w:w="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596"/>
      </w:tblGrid>
      <w:tr w:rsidR="00EF1512">
        <w:trPr>
          <w:trHeight w:val="34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0"/>
                <w:tab w:val="center" w:pos="1754"/>
                <w:tab w:val="center" w:pos="288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adresa: </w:t>
            </w:r>
            <w:r>
              <w:tab/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0" w:right="0" w:firstLine="0"/>
              <w:jc w:val="left"/>
            </w:pPr>
            <w:r>
              <w:t>Žabovřeská 72/12, 603 00 Brno</w:t>
            </w:r>
            <w:r>
              <w:t xml:space="preserve"> </w:t>
            </w:r>
          </w:p>
        </w:tc>
      </w:tr>
      <w:tr w:rsidR="00EF1512">
        <w:trPr>
          <w:trHeight w:val="40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0"/>
                <w:tab w:val="center" w:pos="2051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zastoupeným: 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0" w:right="0" w:firstLine="0"/>
              <w:jc w:val="left"/>
            </w:pPr>
            <w:r>
              <w:t xml:space="preserve">Ing. Petrem Hájkem, jednatelem </w:t>
            </w:r>
          </w:p>
        </w:tc>
      </w:tr>
      <w:tr w:rsidR="00EF1512">
        <w:trPr>
          <w:trHeight w:val="40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0"/>
                <w:tab w:val="center" w:pos="1610"/>
                <w:tab w:val="center" w:pos="2881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tel.:  </w:t>
            </w:r>
            <w:r>
              <w:tab/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0" w:right="0" w:firstLine="0"/>
              <w:jc w:val="left"/>
            </w:pPr>
            <w:r>
              <w:t xml:space="preserve">543210134 </w:t>
            </w:r>
          </w:p>
        </w:tc>
      </w:tr>
      <w:tr w:rsidR="00EF1512">
        <w:trPr>
          <w:trHeight w:val="40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1"/>
                <w:tab w:val="center" w:pos="1659"/>
                <w:tab w:val="center" w:pos="2881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t xml:space="preserve">IČO: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0" w:right="0" w:firstLine="0"/>
              <w:jc w:val="left"/>
            </w:pPr>
            <w:r>
              <w:t xml:space="preserve">15528561 </w:t>
            </w:r>
          </w:p>
        </w:tc>
      </w:tr>
      <w:tr w:rsidR="00EF1512">
        <w:trPr>
          <w:trHeight w:val="40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1"/>
                <w:tab w:val="center" w:pos="1659"/>
                <w:tab w:val="center" w:pos="2881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t xml:space="preserve">DIČ: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0" w:right="0" w:firstLine="0"/>
              <w:jc w:val="left"/>
            </w:pPr>
            <w:r>
              <w:t xml:space="preserve">CZ15528561 </w:t>
            </w:r>
          </w:p>
        </w:tc>
      </w:tr>
      <w:tr w:rsidR="00EF1512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1"/>
                <w:tab w:val="center" w:pos="223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bankovní spojení: 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Waldviertler</w:t>
            </w:r>
            <w:proofErr w:type="spellEnd"/>
            <w:r>
              <w:t xml:space="preserve"> </w:t>
            </w:r>
            <w:proofErr w:type="spellStart"/>
            <w:r>
              <w:t>Sparkasse</w:t>
            </w:r>
            <w:proofErr w:type="spellEnd"/>
            <w:r>
              <w:t xml:space="preserve"> Bank AG </w:t>
            </w:r>
          </w:p>
        </w:tc>
      </w:tr>
      <w:tr w:rsidR="00EF1512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0"/>
                <w:tab w:val="center" w:pos="1900"/>
                <w:tab w:val="center" w:pos="2881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t>číslo účtu: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0" w:right="0" w:firstLine="0"/>
              <w:jc w:val="left"/>
            </w:pPr>
            <w:r>
              <w:t xml:space="preserve">4800000605/7940 </w:t>
            </w:r>
          </w:p>
        </w:tc>
      </w:tr>
      <w:tr w:rsidR="00EF1512">
        <w:trPr>
          <w:trHeight w:val="40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1"/>
                <w:tab w:val="center" w:pos="2174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kontaktní osoba: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0" w:right="0" w:firstLine="0"/>
              <w:jc w:val="left"/>
            </w:pPr>
            <w:r>
              <w:t xml:space="preserve">Ing. Petr Hájek,  </w:t>
            </w:r>
          </w:p>
        </w:tc>
      </w:tr>
      <w:tr w:rsidR="00EF1512">
        <w:trPr>
          <w:trHeight w:val="200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124" w:line="259" w:lineRule="auto"/>
              <w:ind w:left="1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EF1512" w:rsidRDefault="004F65A6">
            <w:pPr>
              <w:spacing w:after="0" w:line="376" w:lineRule="auto"/>
              <w:ind w:left="1" w:right="1605" w:firstLine="0"/>
              <w:jc w:val="left"/>
            </w:pPr>
            <w:r>
              <w:t xml:space="preserve"> </w:t>
            </w:r>
            <w:r>
              <w:tab/>
              <w:t xml:space="preserve">(dále jen </w:t>
            </w:r>
            <w:proofErr w:type="gramStart"/>
            <w:r>
              <w:t>zhotovitel)  a</w:t>
            </w:r>
            <w:proofErr w:type="gramEnd"/>
            <w:r>
              <w:t xml:space="preserve"> </w:t>
            </w:r>
          </w:p>
          <w:p w:rsidR="00EF1512" w:rsidRDefault="004F65A6">
            <w:pPr>
              <w:spacing w:after="129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EF1512" w:rsidRDefault="004F65A6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Psychiatrická nemocnice Bohnice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EF1512">
        <w:trPr>
          <w:trHeight w:val="39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1"/>
                <w:tab w:val="center" w:pos="1755"/>
                <w:tab w:val="center" w:pos="2881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adresa: </w:t>
            </w:r>
            <w:r>
              <w:tab/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3601"/>
                <w:tab w:val="center" w:pos="4321"/>
              </w:tabs>
              <w:spacing w:after="0" w:line="259" w:lineRule="auto"/>
              <w:ind w:left="0" w:right="0" w:firstLine="0"/>
              <w:jc w:val="left"/>
            </w:pPr>
            <w:r>
              <w:t xml:space="preserve">Ústavní 91, 181 02 Praha-Bohnice </w:t>
            </w:r>
            <w:r>
              <w:tab/>
              <w:t xml:space="preserve"> </w:t>
            </w:r>
            <w:r>
              <w:tab/>
              <w:t xml:space="preserve">  </w:t>
            </w:r>
          </w:p>
        </w:tc>
      </w:tr>
      <w:tr w:rsidR="00EF1512">
        <w:trPr>
          <w:trHeight w:val="40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1"/>
                <w:tab w:val="center" w:pos="2079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proofErr w:type="gramStart"/>
            <w:r>
              <w:t>zastoupeným :</w:t>
            </w:r>
            <w:proofErr w:type="gramEnd"/>
            <w:r>
              <w:t xml:space="preserve">  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1" w:right="0" w:firstLine="0"/>
              <w:jc w:val="left"/>
            </w:pPr>
            <w:r>
              <w:t>MUDr. Martinem Holým, MBA</w:t>
            </w:r>
            <w:r>
              <w:t>, ředitelem</w:t>
            </w:r>
            <w:r>
              <w:t xml:space="preserve"> </w:t>
            </w:r>
          </w:p>
        </w:tc>
      </w:tr>
      <w:tr w:rsidR="00EF1512">
        <w:trPr>
          <w:trHeight w:val="40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2"/>
                <w:tab w:val="center" w:pos="1660"/>
                <w:tab w:val="center" w:pos="2882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t>IČO</w:t>
            </w:r>
            <w:r>
              <w:t xml:space="preserve">: </w:t>
            </w:r>
            <w:r>
              <w:tab/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2" w:right="0" w:firstLine="0"/>
              <w:jc w:val="left"/>
            </w:pPr>
            <w:r>
              <w:t xml:space="preserve">00064220 </w:t>
            </w:r>
          </w:p>
        </w:tc>
      </w:tr>
      <w:tr w:rsidR="00EF1512">
        <w:trPr>
          <w:trHeight w:val="39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2"/>
                <w:tab w:val="center" w:pos="1660"/>
                <w:tab w:val="center" w:pos="2882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t>DIČ: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2" w:right="0" w:firstLine="0"/>
              <w:jc w:val="left"/>
            </w:pPr>
            <w:r>
              <w:t xml:space="preserve">CZ00064220 </w:t>
            </w:r>
          </w:p>
        </w:tc>
      </w:tr>
      <w:tr w:rsidR="00EF1512">
        <w:trPr>
          <w:trHeight w:val="40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2"/>
                <w:tab w:val="center" w:pos="1903"/>
                <w:tab w:val="center" w:pos="288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</w:r>
            <w:r>
              <w:t xml:space="preserve">registrace: </w:t>
            </w:r>
            <w:r>
              <w:tab/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2" w:right="0" w:firstLine="0"/>
            </w:pPr>
            <w:r>
              <w:t>zřizovací listina č. j.: 8870</w:t>
            </w:r>
            <w:r>
              <w:t>-</w:t>
            </w:r>
            <w:r>
              <w:t>II/2013, vydaná MZ ČR</w:t>
            </w:r>
            <w:r>
              <w:t xml:space="preserve"> </w:t>
            </w:r>
          </w:p>
        </w:tc>
      </w:tr>
      <w:tr w:rsidR="00EF1512">
        <w:trPr>
          <w:trHeight w:val="39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tabs>
                <w:tab w:val="center" w:pos="722"/>
                <w:tab w:val="center" w:pos="217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kontaktní osoba: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2" w:right="0" w:firstLine="0"/>
              <w:jc w:val="left"/>
            </w:pPr>
            <w:r>
              <w:t xml:space="preserve">Ing. Josef Lukeš. Ph.D.,  </w:t>
            </w:r>
          </w:p>
        </w:tc>
      </w:tr>
      <w:tr w:rsidR="00EF1512">
        <w:trPr>
          <w:trHeight w:val="75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128" w:line="259" w:lineRule="auto"/>
              <w:ind w:left="2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EF1512" w:rsidRDefault="004F65A6">
            <w:pPr>
              <w:tabs>
                <w:tab w:val="center" w:pos="163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(dále jen objednatel)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F1512" w:rsidRDefault="004F65A6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</w:tbl>
    <w:p w:rsidR="00EF1512" w:rsidRDefault="004F65A6">
      <w:pPr>
        <w:ind w:left="92" w:right="35"/>
      </w:pPr>
      <w:r>
        <w:t xml:space="preserve">(zhotovitel a objednatel společně též jako „smluvní strany“ a/nebo jednotlivě jako </w:t>
      </w:r>
      <w:r>
        <w:t xml:space="preserve">„smluvní strana“) </w:t>
      </w:r>
    </w:p>
    <w:p w:rsidR="00EF1512" w:rsidRDefault="004F65A6">
      <w:pPr>
        <w:spacing w:after="208" w:line="259" w:lineRule="auto"/>
        <w:ind w:right="51"/>
        <w:jc w:val="center"/>
      </w:pPr>
      <w:r>
        <w:t xml:space="preserve">I. </w:t>
      </w:r>
    </w:p>
    <w:p w:rsidR="00EF1512" w:rsidRDefault="004F65A6">
      <w:pPr>
        <w:pStyle w:val="Nadpis1"/>
        <w:ind w:right="54"/>
      </w:pPr>
      <w:r>
        <w:t>Předmět</w:t>
      </w:r>
      <w:r>
        <w:rPr>
          <w:u w:val="none"/>
        </w:rPr>
        <w:t xml:space="preserve"> </w:t>
      </w:r>
    </w:p>
    <w:p w:rsidR="00EF1512" w:rsidRDefault="004F65A6">
      <w:pPr>
        <w:numPr>
          <w:ilvl w:val="0"/>
          <w:numId w:val="1"/>
        </w:numPr>
        <w:spacing w:after="180"/>
        <w:ind w:right="35"/>
      </w:pPr>
      <w:r>
        <w:t xml:space="preserve">Předmětem </w:t>
      </w:r>
      <w:r>
        <w:t xml:space="preserve">dodatku je prodej </w:t>
      </w:r>
      <w:r>
        <w:t xml:space="preserve">rozšíření stávajících </w:t>
      </w:r>
      <w:r>
        <w:t xml:space="preserve">práv k užití programového produktu IS HIPPO. Specifikace </w:t>
      </w:r>
      <w:r>
        <w:t xml:space="preserve">předmětu </w:t>
      </w:r>
      <w:r>
        <w:t xml:space="preserve">dodatku </w:t>
      </w:r>
      <w:r>
        <w:t xml:space="preserve">je uvedena v příloze č. 1 (Nabídka č. </w:t>
      </w:r>
      <w:r>
        <w:t xml:space="preserve">20NA0094). V rámci takto a </w:t>
      </w:r>
      <w:r>
        <w:t>dříve poskytnutých práv umožní zh</w:t>
      </w:r>
      <w:r>
        <w:t xml:space="preserve">otovitel objednateli používat programový produkt IS HIPPO na 275 </w:t>
      </w:r>
      <w:r>
        <w:t>zařízeních současně</w:t>
      </w:r>
      <w:r>
        <w:t>. Kde současně znamená spuštění programového produktu na více zařízeních v</w:t>
      </w:r>
      <w:r>
        <w:t xml:space="preserve"> jednom </w:t>
      </w:r>
      <w:r>
        <w:t xml:space="preserve">časovém okamžiku. Celkový počet instalovaných zařízení ani vícenásobné spuštění na jednom zařízení není </w:t>
      </w:r>
      <w:r>
        <w:t xml:space="preserve">omezeno. </w:t>
      </w:r>
    </w:p>
    <w:p w:rsidR="00EF1512" w:rsidRDefault="004F65A6">
      <w:pPr>
        <w:numPr>
          <w:ilvl w:val="0"/>
          <w:numId w:val="1"/>
        </w:numPr>
        <w:spacing w:after="28" w:line="332" w:lineRule="auto"/>
        <w:ind w:right="35"/>
      </w:pPr>
      <w:r>
        <w:t xml:space="preserve">Předmětem </w:t>
      </w:r>
      <w:r>
        <w:t xml:space="preserve">dodatku </w:t>
      </w:r>
      <w:r>
        <w:t xml:space="preserve">je řádná a včasná dodávka počítačového </w:t>
      </w:r>
      <w:proofErr w:type="gramStart"/>
      <w:r>
        <w:t>sof</w:t>
      </w:r>
      <w:r>
        <w:t xml:space="preserve">tware </w:t>
      </w:r>
      <w:r>
        <w:t xml:space="preserve"> </w:t>
      </w:r>
      <w:r>
        <w:t>v příslušném</w:t>
      </w:r>
      <w:proofErr w:type="gramEnd"/>
      <w:r>
        <w:t xml:space="preserve"> počtu licencí, který má charakter autorského díla a jako takový je chráněn autorským zákonem a</w:t>
      </w:r>
      <w:r>
        <w:t xml:space="preserve"> </w:t>
      </w:r>
      <w:r>
        <w:t>příslušnými právními ustanoveními a předpisy.</w:t>
      </w:r>
      <w:r>
        <w:t xml:space="preserve"> </w:t>
      </w:r>
    </w:p>
    <w:p w:rsidR="00EF1512" w:rsidRDefault="004F65A6">
      <w:pPr>
        <w:spacing w:after="166" w:line="259" w:lineRule="auto"/>
        <w:ind w:left="0" w:right="5" w:firstLine="0"/>
        <w:jc w:val="center"/>
      </w:pPr>
      <w:r>
        <w:rPr>
          <w:sz w:val="18"/>
        </w:rPr>
        <w:lastRenderedPageBreak/>
        <w:t xml:space="preserve"> </w:t>
      </w:r>
    </w:p>
    <w:p w:rsidR="00EF1512" w:rsidRDefault="004F65A6">
      <w:pPr>
        <w:spacing w:after="129" w:line="259" w:lineRule="auto"/>
        <w:ind w:right="53"/>
        <w:jc w:val="center"/>
      </w:pPr>
      <w:r>
        <w:t xml:space="preserve">II. </w:t>
      </w:r>
    </w:p>
    <w:p w:rsidR="00EF1512" w:rsidRDefault="004F65A6">
      <w:pPr>
        <w:spacing w:line="351" w:lineRule="auto"/>
        <w:ind w:left="-14" w:right="35" w:firstLine="4546"/>
      </w:pPr>
      <w:proofErr w:type="gramStart"/>
      <w:r>
        <w:rPr>
          <w:b/>
          <w:u w:val="single" w:color="000000"/>
        </w:rPr>
        <w:t>Cena</w:t>
      </w:r>
      <w:r>
        <w:rPr>
          <w:b/>
        </w:rPr>
        <w:t xml:space="preserve"> </w:t>
      </w:r>
      <w:r>
        <w:t xml:space="preserve"> 1.</w:t>
      </w:r>
      <w:proofErr w:type="gramEnd"/>
      <w:r>
        <w:t xml:space="preserve"> </w:t>
      </w:r>
      <w:r>
        <w:t xml:space="preserve">Cena předmětu </w:t>
      </w:r>
      <w:r>
        <w:t xml:space="preserve">dodatku </w:t>
      </w:r>
      <w:r>
        <w:t xml:space="preserve">je stanovena v příloze č. 1 (Nabídka č. </w:t>
      </w:r>
      <w:r>
        <w:t>20NA0094), ktero</w:t>
      </w:r>
      <w:r>
        <w:t xml:space="preserve">u si </w:t>
      </w:r>
      <w:r>
        <w:t>odsouhlasenou předají smluvní strany pomocí svých kontaktních osob</w:t>
      </w:r>
      <w:r>
        <w:t xml:space="preserve"> </w:t>
      </w:r>
      <w:r>
        <w:t xml:space="preserve">a je splatná na základě daňového dokladu vystaveného zhotovitelem ke dni dodávky předmětu smlouvy. </w:t>
      </w:r>
      <w:r>
        <w:t>S</w:t>
      </w:r>
      <w:r>
        <w:t>platnost tohoto daňového dokladu bude 30 dnů od data vystavení.</w:t>
      </w:r>
      <w:r>
        <w:t xml:space="preserve">     </w:t>
      </w:r>
    </w:p>
    <w:p w:rsidR="00EF1512" w:rsidRDefault="004F65A6">
      <w:pPr>
        <w:spacing w:after="166" w:line="259" w:lineRule="auto"/>
        <w:ind w:left="0" w:right="5" w:firstLine="0"/>
        <w:jc w:val="center"/>
      </w:pPr>
      <w:r>
        <w:rPr>
          <w:sz w:val="18"/>
        </w:rPr>
        <w:t xml:space="preserve"> </w:t>
      </w:r>
    </w:p>
    <w:p w:rsidR="00EF1512" w:rsidRDefault="004F65A6">
      <w:pPr>
        <w:spacing w:after="211" w:line="259" w:lineRule="auto"/>
        <w:ind w:right="51"/>
        <w:jc w:val="center"/>
      </w:pPr>
      <w:r>
        <w:t xml:space="preserve">III. </w:t>
      </w:r>
    </w:p>
    <w:p w:rsidR="00EF1512" w:rsidRDefault="004F65A6">
      <w:pPr>
        <w:pStyle w:val="Nadpis1"/>
        <w:ind w:right="52"/>
      </w:pPr>
      <w:r>
        <w:t>Doba a způsob dodání zboží</w:t>
      </w:r>
      <w:r>
        <w:rPr>
          <w:u w:val="none"/>
        </w:rPr>
        <w:t xml:space="preserve"> </w:t>
      </w:r>
    </w:p>
    <w:p w:rsidR="00EF1512" w:rsidRDefault="004F65A6">
      <w:pPr>
        <w:numPr>
          <w:ilvl w:val="0"/>
          <w:numId w:val="2"/>
        </w:numPr>
        <w:spacing w:after="194" w:line="265" w:lineRule="auto"/>
        <w:ind w:right="35"/>
      </w:pPr>
      <w:r>
        <w:t>Zhotovitel se zavazuje dodat a nainstalovat programové produkty, jejichž užití je p</w:t>
      </w:r>
      <w:r>
        <w:rPr>
          <w:sz w:val="34"/>
          <w:vertAlign w:val="subscript"/>
        </w:rPr>
        <w:t xml:space="preserve">ředmětem </w:t>
      </w:r>
      <w:r>
        <w:t>smlouvy nejpozději do 1</w:t>
      </w:r>
      <w:r>
        <w:t xml:space="preserve">0 </w:t>
      </w:r>
      <w:r>
        <w:t>dnů od nabytí účinnosti dodatku</w:t>
      </w:r>
      <w:r>
        <w:t xml:space="preserve">. Dodávkou se rozumí jejich instalace v sídle objednatele.  </w:t>
      </w:r>
    </w:p>
    <w:p w:rsidR="00EF1512" w:rsidRDefault="004F65A6">
      <w:pPr>
        <w:numPr>
          <w:ilvl w:val="0"/>
          <w:numId w:val="2"/>
        </w:numPr>
        <w:spacing w:after="80"/>
        <w:ind w:right="35"/>
      </w:pPr>
      <w:r>
        <w:t xml:space="preserve">Dnem dodávky zhotovitel poskytuje práva k užití počítačového software, jež je předmětem </w:t>
      </w:r>
      <w:r>
        <w:t xml:space="preserve">smlouvy, objednateli v </w:t>
      </w:r>
      <w:r>
        <w:t xml:space="preserve">počtu licencí dle čl. I. odst. 1. </w:t>
      </w:r>
      <w:r>
        <w:rPr>
          <w:i/>
        </w:rPr>
        <w:t>výše</w:t>
      </w:r>
      <w:r>
        <w:t xml:space="preserve">. </w:t>
      </w:r>
    </w:p>
    <w:p w:rsidR="00EF1512" w:rsidRDefault="004F65A6">
      <w:pPr>
        <w:spacing w:after="16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F1512" w:rsidRDefault="004F65A6">
      <w:pPr>
        <w:spacing w:after="129" w:line="259" w:lineRule="auto"/>
        <w:ind w:right="53"/>
        <w:jc w:val="center"/>
      </w:pPr>
      <w:r>
        <w:t xml:space="preserve">IV. </w:t>
      </w:r>
    </w:p>
    <w:p w:rsidR="00EF1512" w:rsidRDefault="004F65A6">
      <w:pPr>
        <w:spacing w:after="176" w:line="259" w:lineRule="auto"/>
        <w:ind w:left="0" w:right="52" w:firstLine="0"/>
        <w:jc w:val="center"/>
      </w:pPr>
      <w:r>
        <w:rPr>
          <w:b/>
          <w:u w:val="single" w:color="000000"/>
        </w:rPr>
        <w:t>Ostatní ujednání</w:t>
      </w:r>
      <w:r>
        <w:rPr>
          <w:b/>
        </w:rPr>
        <w:t xml:space="preserve"> </w:t>
      </w:r>
    </w:p>
    <w:p w:rsidR="00EF1512" w:rsidRDefault="004F65A6">
      <w:pPr>
        <w:numPr>
          <w:ilvl w:val="0"/>
          <w:numId w:val="3"/>
        </w:numPr>
        <w:spacing w:after="100" w:line="324" w:lineRule="auto"/>
        <w:ind w:right="35" w:hanging="221"/>
      </w:pPr>
      <w:r>
        <w:t xml:space="preserve">Práva a povinnosti </w:t>
      </w:r>
      <w:r>
        <w:t xml:space="preserve">tímto Dodatkem č. </w:t>
      </w:r>
      <w:r>
        <w:t xml:space="preserve">1 </w:t>
      </w:r>
      <w:r>
        <w:t>výslovně</w:t>
      </w:r>
      <w:r>
        <w:t xml:space="preserve"> </w:t>
      </w:r>
      <w:r>
        <w:t>neupravené se řídí občanským zá</w:t>
      </w:r>
      <w:r>
        <w:t xml:space="preserve">koníkem </w:t>
      </w:r>
      <w:r>
        <w:t xml:space="preserve">a </w:t>
      </w:r>
      <w:r>
        <w:t>souvisejícími právními předpisy.</w:t>
      </w:r>
      <w:r>
        <w:t xml:space="preserve"> </w:t>
      </w:r>
    </w:p>
    <w:p w:rsidR="00EF1512" w:rsidRDefault="004F65A6">
      <w:pPr>
        <w:numPr>
          <w:ilvl w:val="0"/>
          <w:numId w:val="3"/>
        </w:numPr>
        <w:spacing w:after="130"/>
        <w:ind w:right="35" w:hanging="221"/>
      </w:pPr>
      <w:r>
        <w:t xml:space="preserve">Tento dodatek je platný po podpisu druhou smluvní stranou </w:t>
      </w:r>
      <w:r>
        <w:t xml:space="preserve">a nabývá účinnosti uveřejněním </w:t>
      </w:r>
      <w:r>
        <w:t xml:space="preserve">v registru smluv ve smyslu ustanovení § 2 odst. 1, písm. c) </w:t>
      </w:r>
      <w:r>
        <w:t>a § 5 odst. 2 zákona č. 340/2015 Sb. o registru smluv v platném</w:t>
      </w:r>
      <w:r>
        <w:t xml:space="preserve"> znění. Povinnost k uveřejnění smlouvy v registru smluv přebírá objednatel. Zhotovitel bere na vědomí zveřejnění této smlouvy či jejího obsahu v</w:t>
      </w:r>
      <w:r>
        <w:t xml:space="preserve"> </w:t>
      </w:r>
      <w:r>
        <w:t>rámci plnění zákonných povinností objednatele.</w:t>
      </w:r>
      <w:r>
        <w:t xml:space="preserve"> </w:t>
      </w:r>
    </w:p>
    <w:p w:rsidR="00EF1512" w:rsidRDefault="004F65A6">
      <w:pPr>
        <w:numPr>
          <w:ilvl w:val="0"/>
          <w:numId w:val="3"/>
        </w:numPr>
        <w:spacing w:after="190" w:line="265" w:lineRule="auto"/>
        <w:ind w:right="35" w:hanging="221"/>
      </w:pPr>
      <w:r>
        <w:t>Je vyhotoven ve dvou stejnopisech, z nichž každá ze smluvních s</w:t>
      </w:r>
      <w:r>
        <w:t xml:space="preserve">tran obdrží po jednom z nich. </w:t>
      </w:r>
    </w:p>
    <w:p w:rsidR="00EF1512" w:rsidRDefault="004F65A6">
      <w:pPr>
        <w:numPr>
          <w:ilvl w:val="0"/>
          <w:numId w:val="3"/>
        </w:numPr>
        <w:spacing w:after="132"/>
        <w:ind w:right="35" w:hanging="221"/>
      </w:pPr>
      <w:r>
        <w:t>Na důkaz své pravé vůle strany tento dodatek podepisují</w:t>
      </w:r>
      <w:r>
        <w:t xml:space="preserve">. </w:t>
      </w:r>
    </w:p>
    <w:p w:rsidR="00EF1512" w:rsidRDefault="004F65A6">
      <w:pPr>
        <w:spacing w:after="157" w:line="259" w:lineRule="auto"/>
        <w:ind w:left="1" w:right="0" w:firstLine="0"/>
        <w:jc w:val="left"/>
      </w:pPr>
      <w:r>
        <w:t xml:space="preserve"> </w:t>
      </w:r>
    </w:p>
    <w:p w:rsidR="00EF1512" w:rsidRDefault="004F65A6">
      <w:pPr>
        <w:tabs>
          <w:tab w:val="center" w:pos="1289"/>
          <w:tab w:val="center" w:pos="2881"/>
          <w:tab w:val="center" w:pos="4321"/>
          <w:tab w:val="center" w:pos="6359"/>
        </w:tabs>
        <w:spacing w:after="123" w:line="265" w:lineRule="auto"/>
        <w:ind w:left="-14" w:right="0" w:firstLine="0"/>
        <w:jc w:val="left"/>
      </w:pPr>
      <w:r>
        <w:t xml:space="preserve"> </w:t>
      </w:r>
      <w:r>
        <w:tab/>
      </w:r>
      <w:r>
        <w:t>V Brně dne 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V Praze </w:t>
      </w:r>
      <w:proofErr w:type="gramStart"/>
      <w:r>
        <w:t>dne :</w:t>
      </w:r>
      <w:proofErr w:type="gramEnd"/>
      <w:r>
        <w:t xml:space="preserve"> </w:t>
      </w:r>
    </w:p>
    <w:p w:rsidR="00EF1512" w:rsidRDefault="004F65A6">
      <w:pPr>
        <w:tabs>
          <w:tab w:val="center" w:pos="1211"/>
          <w:tab w:val="center" w:pos="2881"/>
          <w:tab w:val="center" w:pos="4321"/>
          <w:tab w:val="center" w:pos="6279"/>
        </w:tabs>
        <w:spacing w:after="123" w:line="265" w:lineRule="auto"/>
        <w:ind w:left="-14" w:right="0" w:firstLine="0"/>
        <w:jc w:val="left"/>
      </w:pPr>
      <w:r>
        <w:t xml:space="preserve"> </w:t>
      </w:r>
      <w:r>
        <w:tab/>
        <w:t xml:space="preserve">Zhotovitel: </w:t>
      </w:r>
      <w:r>
        <w:tab/>
        <w:t xml:space="preserve"> </w:t>
      </w:r>
      <w:r>
        <w:tab/>
        <w:t xml:space="preserve"> </w:t>
      </w:r>
      <w:r>
        <w:tab/>
        <w:t xml:space="preserve">Objednatel: </w:t>
      </w:r>
    </w:p>
    <w:p w:rsidR="00EF1512" w:rsidRDefault="004F65A6">
      <w:pPr>
        <w:spacing w:after="124" w:line="259" w:lineRule="auto"/>
        <w:ind w:left="1" w:right="0" w:firstLine="0"/>
        <w:jc w:val="left"/>
      </w:pPr>
      <w:r>
        <w:t xml:space="preserve"> </w:t>
      </w:r>
    </w:p>
    <w:p w:rsidR="00EF1512" w:rsidRDefault="004F65A6">
      <w:pPr>
        <w:spacing w:after="125" w:line="259" w:lineRule="auto"/>
        <w:ind w:left="1" w:right="0" w:firstLine="0"/>
        <w:jc w:val="left"/>
      </w:pPr>
      <w:r>
        <w:t xml:space="preserve"> </w:t>
      </w:r>
      <w:bookmarkStart w:id="0" w:name="_GoBack"/>
      <w:bookmarkEnd w:id="0"/>
    </w:p>
    <w:p w:rsidR="00EF1512" w:rsidRDefault="004F65A6">
      <w:pPr>
        <w:tabs>
          <w:tab w:val="center" w:pos="1627"/>
          <w:tab w:val="center" w:pos="2881"/>
          <w:tab w:val="center" w:pos="4321"/>
          <w:tab w:val="center" w:pos="6667"/>
        </w:tabs>
        <w:spacing w:after="446" w:line="265" w:lineRule="auto"/>
        <w:ind w:left="-14" w:right="0" w:firstLine="0"/>
        <w:jc w:val="left"/>
      </w:pPr>
      <w:r>
        <w:t xml:space="preserve"> </w:t>
      </w:r>
      <w:r>
        <w:tab/>
        <w:t xml:space="preserve">-------------------------- </w:t>
      </w:r>
      <w:r>
        <w:tab/>
        <w:t xml:space="preserve"> </w:t>
      </w:r>
      <w:r>
        <w:tab/>
        <w:t xml:space="preserve"> </w:t>
      </w:r>
      <w:r>
        <w:tab/>
        <w:t xml:space="preserve">-------------------------- </w:t>
      </w:r>
      <w:r>
        <w:rPr>
          <w:sz w:val="20"/>
        </w:rPr>
        <w:t xml:space="preserve"> </w:t>
      </w:r>
    </w:p>
    <w:p w:rsidR="00EF1512" w:rsidRDefault="004F65A6">
      <w:pPr>
        <w:spacing w:after="0" w:line="247" w:lineRule="auto"/>
        <w:ind w:left="4747" w:right="4785" w:hanging="4747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2  </w:t>
      </w:r>
    </w:p>
    <w:sectPr w:rsidR="00EF1512">
      <w:pgSz w:w="11906" w:h="16838"/>
      <w:pgMar w:top="1196" w:right="914" w:bottom="107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451A"/>
    <w:multiLevelType w:val="hybridMultilevel"/>
    <w:tmpl w:val="8842CCC8"/>
    <w:lvl w:ilvl="0" w:tplc="B0DEA24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0201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E602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7C172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FC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A75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242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82E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A42C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890AA8"/>
    <w:multiLevelType w:val="hybridMultilevel"/>
    <w:tmpl w:val="0E5C2C48"/>
    <w:lvl w:ilvl="0" w:tplc="389C495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54E1F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011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84A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E013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49B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0E6A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F849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A4C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4D7B4B"/>
    <w:multiLevelType w:val="hybridMultilevel"/>
    <w:tmpl w:val="815AC77C"/>
    <w:lvl w:ilvl="0" w:tplc="735E694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21E2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AC336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14B0C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6FB3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8BA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0631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CCA81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06C33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12"/>
    <w:rsid w:val="004F65A6"/>
    <w:rsid w:val="00E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380F4-18B4-4E2B-8810-A97EBECA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71" w:lineRule="auto"/>
      <w:ind w:left="10" w:right="44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2"/>
      <w:ind w:left="10" w:right="4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PL Bohnice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Hájek</dc:creator>
  <cp:keywords/>
  <cp:lastModifiedBy>sivt</cp:lastModifiedBy>
  <cp:revision>2</cp:revision>
  <dcterms:created xsi:type="dcterms:W3CDTF">2020-12-23T07:47:00Z</dcterms:created>
  <dcterms:modified xsi:type="dcterms:W3CDTF">2020-12-23T07:47:00Z</dcterms:modified>
</cp:coreProperties>
</file>