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7B" w:rsidRPr="0046445A" w:rsidRDefault="00DA687B" w:rsidP="00DA68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</w:t>
      </w:r>
      <w:r w:rsidRPr="00973167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FA208E" w:rsidRPr="0097316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38676C" w:rsidRPr="00973167">
        <w:rPr>
          <w:rFonts w:ascii="Arial" w:hAnsi="Arial" w:cs="Arial"/>
          <w:b/>
          <w:color w:val="000000" w:themeColor="text1"/>
          <w:sz w:val="32"/>
          <w:szCs w:val="32"/>
        </w:rPr>
        <w:t>10</w:t>
      </w:r>
      <w:r w:rsidR="00B87207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smlouvy</w:t>
      </w:r>
      <w:r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D5003D" w:rsidRPr="00094F8C" w:rsidRDefault="00D5003D" w:rsidP="00C23C8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bCs/>
          <w:sz w:val="18"/>
          <w:szCs w:val="18"/>
        </w:rPr>
        <w:t xml:space="preserve">na </w:t>
      </w:r>
      <w:r w:rsidR="00FA208E" w:rsidRPr="00094F8C">
        <w:rPr>
          <w:rFonts w:ascii="Arial" w:hAnsi="Arial" w:cs="Arial"/>
          <w:bCs/>
          <w:sz w:val="18"/>
          <w:szCs w:val="18"/>
        </w:rPr>
        <w:t>vypracování</w:t>
      </w:r>
      <w:r w:rsidR="00FA208E">
        <w:rPr>
          <w:rFonts w:ascii="Arial" w:hAnsi="Arial" w:cs="Arial"/>
          <w:bCs/>
          <w:sz w:val="20"/>
          <w:szCs w:val="20"/>
        </w:rPr>
        <w:t xml:space="preserve">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Projektové dokumentace akce „</w:t>
      </w:r>
      <w:r w:rsidR="00BD1241">
        <w:rPr>
          <w:rFonts w:ascii="Arial" w:hAnsi="Arial" w:cs="Arial"/>
          <w:b/>
          <w:bCs/>
          <w:sz w:val="20"/>
          <w:szCs w:val="20"/>
        </w:rPr>
        <w:t xml:space="preserve">Protipovodňová opatření na vodním toku Polančice pro zástavbu Polanky nad Odrou,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stavba č. 5</w:t>
      </w:r>
      <w:r w:rsidR="00904E18">
        <w:rPr>
          <w:rFonts w:ascii="Arial" w:hAnsi="Arial" w:cs="Arial"/>
          <w:b/>
          <w:bCs/>
          <w:sz w:val="20"/>
          <w:szCs w:val="20"/>
        </w:rPr>
        <w:t>578</w:t>
      </w:r>
      <w:r w:rsidRPr="00FA208E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875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uzavřen</w:t>
      </w:r>
      <w:r w:rsidR="00FA208E" w:rsidRPr="00094F8C">
        <w:rPr>
          <w:rFonts w:ascii="Arial" w:hAnsi="Arial" w:cs="Arial"/>
          <w:sz w:val="18"/>
          <w:szCs w:val="18"/>
        </w:rPr>
        <w:t xml:space="preserve">é </w:t>
      </w:r>
      <w:r w:rsidR="0056447F" w:rsidRPr="00094F8C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1978BB" w:rsidRPr="00094F8C">
        <w:rPr>
          <w:rFonts w:ascii="Arial" w:hAnsi="Arial" w:cs="Arial"/>
          <w:sz w:val="18"/>
          <w:szCs w:val="18"/>
        </w:rPr>
        <w:t>27.7.</w:t>
      </w:r>
      <w:r w:rsidR="0056447F" w:rsidRPr="00094F8C">
        <w:rPr>
          <w:rFonts w:ascii="Arial" w:hAnsi="Arial" w:cs="Arial"/>
          <w:sz w:val="18"/>
          <w:szCs w:val="18"/>
        </w:rPr>
        <w:t>201</w:t>
      </w:r>
      <w:r w:rsidR="001978BB" w:rsidRPr="00094F8C">
        <w:rPr>
          <w:rFonts w:ascii="Arial" w:hAnsi="Arial" w:cs="Arial"/>
          <w:sz w:val="18"/>
          <w:szCs w:val="18"/>
        </w:rPr>
        <w:t>2</w:t>
      </w:r>
      <w:proofErr w:type="gramEnd"/>
      <w:r w:rsidR="00094F8C" w:rsidRPr="00094F8C">
        <w:rPr>
          <w:rFonts w:ascii="Arial" w:hAnsi="Arial" w:cs="Arial"/>
          <w:sz w:val="18"/>
          <w:szCs w:val="18"/>
        </w:rPr>
        <w:t xml:space="preserve"> mezi smluvními stranami</w:t>
      </w:r>
    </w:p>
    <w:p w:rsidR="00DA687B" w:rsidRPr="00094F8C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Objednatel:</w:t>
      </w:r>
    </w:p>
    <w:p w:rsidR="00DA687B" w:rsidRPr="00094F8C" w:rsidRDefault="00DA687B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DA687B" w:rsidRDefault="00C23C82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Varenská 3101/49, </w:t>
      </w:r>
      <w:r w:rsidR="00DA687B" w:rsidRPr="00094F8C">
        <w:rPr>
          <w:rFonts w:ascii="Arial" w:hAnsi="Arial" w:cs="Arial"/>
          <w:sz w:val="18"/>
          <w:szCs w:val="18"/>
        </w:rPr>
        <w:t>Moravská Ostrava,</w:t>
      </w:r>
      <w:r w:rsidRPr="00094F8C">
        <w:rPr>
          <w:rFonts w:ascii="Arial" w:hAnsi="Arial" w:cs="Arial"/>
          <w:sz w:val="18"/>
          <w:szCs w:val="18"/>
        </w:rPr>
        <w:t xml:space="preserve"> 702 00 Ostrava, Doručovací číslo: </w:t>
      </w:r>
      <w:r w:rsidR="00DA687B" w:rsidRPr="00094F8C">
        <w:rPr>
          <w:rFonts w:ascii="Arial" w:hAnsi="Arial" w:cs="Arial"/>
          <w:sz w:val="18"/>
          <w:szCs w:val="18"/>
        </w:rPr>
        <w:t>701</w:t>
      </w:r>
      <w:r w:rsidR="00D5003D" w:rsidRPr="00094F8C">
        <w:rPr>
          <w:rFonts w:ascii="Arial" w:hAnsi="Arial" w:cs="Arial"/>
          <w:sz w:val="18"/>
          <w:szCs w:val="18"/>
        </w:rPr>
        <w:t xml:space="preserve"> </w:t>
      </w:r>
      <w:r w:rsidR="00DA687B" w:rsidRPr="00094F8C">
        <w:rPr>
          <w:rFonts w:ascii="Arial" w:hAnsi="Arial" w:cs="Arial"/>
          <w:sz w:val="18"/>
          <w:szCs w:val="18"/>
        </w:rPr>
        <w:t>26</w:t>
      </w:r>
    </w:p>
    <w:p w:rsidR="00A87AB2" w:rsidRPr="00094F8C" w:rsidRDefault="00A87AB2" w:rsidP="00A87AB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Statutární zástupce:</w:t>
      </w:r>
      <w:r>
        <w:rPr>
          <w:rFonts w:ascii="Arial" w:hAnsi="Arial" w:cs="Arial"/>
          <w:sz w:val="18"/>
          <w:szCs w:val="18"/>
        </w:rPr>
        <w:tab/>
        <w:t xml:space="preserve">Ing. Jiří </w:t>
      </w:r>
      <w:proofErr w:type="spellStart"/>
      <w:r>
        <w:rPr>
          <w:rFonts w:ascii="Arial" w:hAnsi="Arial" w:cs="Arial"/>
          <w:sz w:val="18"/>
          <w:szCs w:val="18"/>
        </w:rPr>
        <w:t>Tkáč</w:t>
      </w:r>
      <w:proofErr w:type="spellEnd"/>
      <w:r>
        <w:rPr>
          <w:rFonts w:ascii="Arial" w:hAnsi="Arial" w:cs="Arial"/>
          <w:sz w:val="18"/>
          <w:szCs w:val="18"/>
        </w:rPr>
        <w:t>, generální ředitel</w:t>
      </w:r>
      <w:r>
        <w:rPr>
          <w:rFonts w:ascii="Arial" w:hAnsi="Arial" w:cs="Arial"/>
          <w:sz w:val="18"/>
          <w:szCs w:val="18"/>
        </w:rPr>
        <w:tab/>
      </w:r>
    </w:p>
    <w:p w:rsidR="00DA687B" w:rsidRPr="00094F8C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IČ</w:t>
      </w:r>
      <w:r w:rsidR="00C23C82" w:rsidRPr="00094F8C">
        <w:rPr>
          <w:rFonts w:ascii="Arial" w:hAnsi="Arial" w:cs="Arial"/>
          <w:sz w:val="18"/>
          <w:szCs w:val="18"/>
        </w:rPr>
        <w:t>O</w:t>
      </w:r>
      <w:r w:rsidRPr="00094F8C">
        <w:rPr>
          <w:rFonts w:ascii="Arial" w:hAnsi="Arial" w:cs="Arial"/>
          <w:sz w:val="18"/>
          <w:szCs w:val="18"/>
        </w:rPr>
        <w:t xml:space="preserve">: </w:t>
      </w:r>
      <w:r w:rsidRPr="00094F8C">
        <w:rPr>
          <w:rFonts w:ascii="Arial" w:hAnsi="Arial" w:cs="Arial"/>
          <w:sz w:val="18"/>
          <w:szCs w:val="18"/>
        </w:rPr>
        <w:tab/>
        <w:t>70890021</w:t>
      </w:r>
    </w:p>
    <w:p w:rsidR="00DA687B" w:rsidRPr="00094F8C" w:rsidRDefault="00DA687B" w:rsidP="00DA687B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Zápis v obchodním rejstříku:</w:t>
      </w:r>
      <w:r w:rsidRPr="00094F8C">
        <w:rPr>
          <w:rFonts w:ascii="Arial" w:hAnsi="Arial" w:cs="Arial"/>
          <w:sz w:val="18"/>
          <w:szCs w:val="18"/>
        </w:rPr>
        <w:tab/>
        <w:t>Krajský soud v Ostravě, oddíl A XIV, vložka č.584</w:t>
      </w:r>
    </w:p>
    <w:p w:rsidR="00DA687B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76F70" w:rsidRPr="00094F8C" w:rsidRDefault="00276F70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Zhotovitel:</w:t>
      </w:r>
    </w:p>
    <w:p w:rsidR="00DA687B" w:rsidRPr="00094F8C" w:rsidRDefault="009D6F5A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Valbek, spol. s r.o.</w:t>
      </w:r>
    </w:p>
    <w:p w:rsidR="00B52072" w:rsidRDefault="00B52072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 xml:space="preserve">Vaňurova 505/17, Liberec III-Jeřáb, 460 07 Liberec </w:t>
      </w:r>
    </w:p>
    <w:p w:rsidR="00D5003D" w:rsidRPr="00B52072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>IČ</w:t>
      </w:r>
      <w:r w:rsidR="00C23C82" w:rsidRPr="00B52072">
        <w:rPr>
          <w:rFonts w:ascii="Arial" w:hAnsi="Arial" w:cs="Arial"/>
          <w:sz w:val="18"/>
          <w:szCs w:val="18"/>
        </w:rPr>
        <w:t>O</w:t>
      </w:r>
      <w:r w:rsidRPr="00B52072">
        <w:rPr>
          <w:rFonts w:ascii="Arial" w:hAnsi="Arial" w:cs="Arial"/>
          <w:sz w:val="18"/>
          <w:szCs w:val="18"/>
        </w:rPr>
        <w:t xml:space="preserve">:    </w:t>
      </w:r>
      <w:r w:rsidRPr="00B52072">
        <w:rPr>
          <w:rFonts w:ascii="Arial" w:hAnsi="Arial" w:cs="Arial"/>
          <w:sz w:val="18"/>
          <w:szCs w:val="18"/>
        </w:rPr>
        <w:tab/>
      </w:r>
      <w:r w:rsidR="009D6F5A" w:rsidRPr="00B52072">
        <w:rPr>
          <w:rFonts w:ascii="Arial" w:hAnsi="Arial" w:cs="Arial"/>
          <w:sz w:val="18"/>
          <w:szCs w:val="18"/>
        </w:rPr>
        <w:tab/>
      </w:r>
      <w:r w:rsidR="006F4E5A" w:rsidRPr="00B52072">
        <w:rPr>
          <w:rFonts w:ascii="Arial" w:hAnsi="Arial" w:cs="Arial"/>
          <w:sz w:val="18"/>
          <w:szCs w:val="18"/>
        </w:rPr>
        <w:t>4</w:t>
      </w:r>
      <w:r w:rsidR="009D6F5A" w:rsidRPr="00B52072">
        <w:rPr>
          <w:rFonts w:ascii="Arial" w:hAnsi="Arial" w:cs="Arial"/>
          <w:sz w:val="18"/>
          <w:szCs w:val="18"/>
        </w:rPr>
        <w:t>8266230</w:t>
      </w:r>
    </w:p>
    <w:p w:rsidR="00D5003D" w:rsidRPr="00094F8C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</w:t>
      </w:r>
      <w:r w:rsidR="00C23C82" w:rsidRPr="00094F8C">
        <w:rPr>
          <w:rFonts w:ascii="Arial" w:hAnsi="Arial" w:cs="Arial"/>
          <w:sz w:val="18"/>
          <w:szCs w:val="18"/>
        </w:rPr>
        <w:t>á</w:t>
      </w:r>
      <w:r w:rsidRPr="00094F8C">
        <w:rPr>
          <w:rFonts w:ascii="Arial" w:hAnsi="Arial" w:cs="Arial"/>
          <w:sz w:val="18"/>
          <w:szCs w:val="18"/>
        </w:rPr>
        <w:t>p</w:t>
      </w:r>
      <w:r w:rsidR="00B87207" w:rsidRPr="00094F8C">
        <w:rPr>
          <w:rFonts w:ascii="Arial" w:hAnsi="Arial" w:cs="Arial"/>
          <w:sz w:val="18"/>
          <w:szCs w:val="18"/>
        </w:rPr>
        <w:t>i</w:t>
      </w:r>
      <w:r w:rsidRPr="00094F8C">
        <w:rPr>
          <w:rFonts w:ascii="Arial" w:hAnsi="Arial" w:cs="Arial"/>
          <w:sz w:val="18"/>
          <w:szCs w:val="18"/>
        </w:rPr>
        <w:t>s v obchodním rejstříku</w:t>
      </w:r>
      <w:r w:rsidR="00B87207" w:rsidRPr="00094F8C">
        <w:rPr>
          <w:rFonts w:ascii="Arial" w:hAnsi="Arial" w:cs="Arial"/>
          <w:sz w:val="18"/>
          <w:szCs w:val="18"/>
        </w:rPr>
        <w:t>:</w:t>
      </w:r>
      <w:r w:rsidR="00B87207" w:rsidRPr="00094F8C">
        <w:rPr>
          <w:rFonts w:ascii="Arial" w:hAnsi="Arial" w:cs="Arial"/>
          <w:sz w:val="18"/>
          <w:szCs w:val="18"/>
        </w:rPr>
        <w:tab/>
      </w:r>
      <w:r w:rsidR="009D6F5A" w:rsidRPr="00094F8C">
        <w:rPr>
          <w:rFonts w:ascii="Arial" w:hAnsi="Arial" w:cs="Arial"/>
          <w:sz w:val="18"/>
          <w:szCs w:val="18"/>
        </w:rPr>
        <w:tab/>
      </w:r>
      <w:r w:rsidR="00B87207" w:rsidRPr="00094F8C">
        <w:rPr>
          <w:rFonts w:ascii="Arial" w:hAnsi="Arial" w:cs="Arial"/>
          <w:sz w:val="18"/>
          <w:szCs w:val="18"/>
        </w:rPr>
        <w:t>K</w:t>
      </w:r>
      <w:r w:rsidRPr="00094F8C">
        <w:rPr>
          <w:rFonts w:ascii="Arial" w:hAnsi="Arial" w:cs="Arial"/>
          <w:sz w:val="18"/>
          <w:szCs w:val="18"/>
        </w:rPr>
        <w:t>rajský soud v</w:t>
      </w:r>
      <w:r w:rsidR="003C0117" w:rsidRPr="00094F8C">
        <w:rPr>
          <w:rFonts w:ascii="Arial" w:hAnsi="Arial" w:cs="Arial"/>
          <w:sz w:val="18"/>
          <w:szCs w:val="18"/>
        </w:rPr>
        <w:t> Ústí nad Labem</w:t>
      </w:r>
      <w:r w:rsidRPr="00094F8C">
        <w:rPr>
          <w:rFonts w:ascii="Arial" w:hAnsi="Arial" w:cs="Arial"/>
          <w:sz w:val="18"/>
          <w:szCs w:val="18"/>
        </w:rPr>
        <w:t xml:space="preserve">, oddíl </w:t>
      </w:r>
      <w:r w:rsidR="003C0117" w:rsidRPr="00094F8C">
        <w:rPr>
          <w:rFonts w:ascii="Arial" w:hAnsi="Arial" w:cs="Arial"/>
          <w:sz w:val="18"/>
          <w:szCs w:val="18"/>
        </w:rPr>
        <w:t>C</w:t>
      </w:r>
      <w:r w:rsidRPr="00094F8C">
        <w:rPr>
          <w:rFonts w:ascii="Arial" w:hAnsi="Arial" w:cs="Arial"/>
          <w:sz w:val="18"/>
          <w:szCs w:val="18"/>
        </w:rPr>
        <w:t xml:space="preserve">, vložka </w:t>
      </w:r>
      <w:r w:rsidR="003C0117" w:rsidRPr="00094F8C">
        <w:rPr>
          <w:rFonts w:ascii="Arial" w:hAnsi="Arial" w:cs="Arial"/>
          <w:sz w:val="18"/>
          <w:szCs w:val="18"/>
        </w:rPr>
        <w:t>4487</w:t>
      </w:r>
    </w:p>
    <w:p w:rsidR="00EF41B3" w:rsidRPr="00094F8C" w:rsidRDefault="00EF41B3" w:rsidP="00EF41B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0293E" w:rsidRDefault="0000293E" w:rsidP="00E615B1">
      <w:pPr>
        <w:jc w:val="both"/>
        <w:rPr>
          <w:rFonts w:ascii="Arial" w:hAnsi="Arial" w:cs="Arial"/>
          <w:sz w:val="18"/>
          <w:szCs w:val="18"/>
        </w:rPr>
      </w:pPr>
    </w:p>
    <w:p w:rsidR="00E615B1" w:rsidRDefault="00E615B1" w:rsidP="00E615B1">
      <w:pPr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souladu </w:t>
      </w:r>
      <w:r w:rsidR="00366772" w:rsidRPr="00094F8C">
        <w:rPr>
          <w:rFonts w:ascii="Arial" w:hAnsi="Arial" w:cs="Arial"/>
          <w:sz w:val="18"/>
          <w:szCs w:val="18"/>
        </w:rPr>
        <w:t xml:space="preserve">s ustanovením čl. </w:t>
      </w:r>
      <w:r w:rsidR="003F4995" w:rsidRPr="00094F8C">
        <w:rPr>
          <w:rFonts w:ascii="Arial" w:hAnsi="Arial" w:cs="Arial"/>
          <w:sz w:val="18"/>
          <w:szCs w:val="18"/>
        </w:rPr>
        <w:t>14</w:t>
      </w:r>
      <w:r w:rsidR="00E94C79" w:rsidRPr="00094F8C">
        <w:rPr>
          <w:rFonts w:ascii="Arial" w:hAnsi="Arial" w:cs="Arial"/>
          <w:sz w:val="18"/>
          <w:szCs w:val="18"/>
        </w:rPr>
        <w:t>.</w:t>
      </w:r>
      <w:r w:rsidR="001978BB" w:rsidRPr="00094F8C">
        <w:rPr>
          <w:rFonts w:ascii="Arial" w:hAnsi="Arial" w:cs="Arial"/>
          <w:sz w:val="18"/>
          <w:szCs w:val="18"/>
        </w:rPr>
        <w:t>,</w:t>
      </w:r>
      <w:r w:rsidR="00366772" w:rsidRPr="00094F8C">
        <w:rPr>
          <w:rFonts w:ascii="Arial" w:hAnsi="Arial" w:cs="Arial"/>
          <w:sz w:val="18"/>
          <w:szCs w:val="18"/>
        </w:rPr>
        <w:t xml:space="preserve"> bod </w:t>
      </w:r>
      <w:r w:rsidR="003F4995" w:rsidRPr="00094F8C">
        <w:rPr>
          <w:rFonts w:ascii="Arial" w:hAnsi="Arial" w:cs="Arial"/>
          <w:sz w:val="18"/>
          <w:szCs w:val="18"/>
        </w:rPr>
        <w:t>14.6</w:t>
      </w:r>
      <w:r w:rsidRPr="00094F8C">
        <w:rPr>
          <w:rFonts w:ascii="Arial" w:hAnsi="Arial" w:cs="Arial"/>
          <w:sz w:val="18"/>
          <w:szCs w:val="18"/>
        </w:rPr>
        <w:t xml:space="preserve"> se smluvn</w:t>
      </w:r>
      <w:r w:rsidR="003F4995" w:rsidRPr="00094F8C">
        <w:rPr>
          <w:rFonts w:ascii="Arial" w:hAnsi="Arial" w:cs="Arial"/>
          <w:sz w:val="18"/>
          <w:szCs w:val="18"/>
        </w:rPr>
        <w:t xml:space="preserve">í strany dohodly na </w:t>
      </w:r>
      <w:r w:rsidR="003F4995" w:rsidRPr="00973167">
        <w:rPr>
          <w:rFonts w:ascii="Arial" w:hAnsi="Arial" w:cs="Arial"/>
          <w:sz w:val="18"/>
          <w:szCs w:val="18"/>
        </w:rPr>
        <w:t xml:space="preserve">dodatku č. </w:t>
      </w:r>
      <w:r w:rsidR="00AF2DD1" w:rsidRPr="00973167">
        <w:rPr>
          <w:rFonts w:ascii="Arial" w:hAnsi="Arial" w:cs="Arial"/>
          <w:sz w:val="18"/>
          <w:szCs w:val="18"/>
        </w:rPr>
        <w:t>10</w:t>
      </w:r>
      <w:r w:rsidRPr="00973167">
        <w:rPr>
          <w:rFonts w:ascii="Arial" w:hAnsi="Arial" w:cs="Arial"/>
          <w:sz w:val="18"/>
          <w:szCs w:val="18"/>
        </w:rPr>
        <w:t>, kterým</w:t>
      </w:r>
      <w:r w:rsidRPr="00094F8C">
        <w:rPr>
          <w:rFonts w:ascii="Arial" w:hAnsi="Arial" w:cs="Arial"/>
          <w:sz w:val="18"/>
          <w:szCs w:val="18"/>
        </w:rPr>
        <w:t xml:space="preserve"> se mění a doplňují ustanovení smlouvy o dílo ev. č. B 00</w:t>
      </w:r>
      <w:r w:rsidR="00D009AF" w:rsidRPr="00094F8C">
        <w:rPr>
          <w:rFonts w:ascii="Arial" w:hAnsi="Arial" w:cs="Arial"/>
          <w:sz w:val="18"/>
          <w:szCs w:val="18"/>
        </w:rPr>
        <w:t>3</w:t>
      </w:r>
      <w:r w:rsidRPr="00094F8C">
        <w:rPr>
          <w:rFonts w:ascii="Arial" w:hAnsi="Arial" w:cs="Arial"/>
          <w:sz w:val="18"/>
          <w:szCs w:val="18"/>
        </w:rPr>
        <w:t>0/1</w:t>
      </w:r>
      <w:r w:rsidR="00D009AF" w:rsidRPr="00094F8C">
        <w:rPr>
          <w:rFonts w:ascii="Arial" w:hAnsi="Arial" w:cs="Arial"/>
          <w:sz w:val="18"/>
          <w:szCs w:val="18"/>
        </w:rPr>
        <w:t>2</w:t>
      </w:r>
      <w:r w:rsidRPr="00094F8C">
        <w:rPr>
          <w:rFonts w:ascii="Arial" w:hAnsi="Arial" w:cs="Arial"/>
          <w:sz w:val="18"/>
          <w:szCs w:val="18"/>
        </w:rPr>
        <w:t xml:space="preserve"> uzavřené dne </w:t>
      </w:r>
      <w:proofErr w:type="gramStart"/>
      <w:r w:rsidR="00D009AF" w:rsidRPr="00094F8C">
        <w:rPr>
          <w:rFonts w:ascii="Arial" w:hAnsi="Arial" w:cs="Arial"/>
          <w:sz w:val="18"/>
          <w:szCs w:val="18"/>
        </w:rPr>
        <w:t>27</w:t>
      </w:r>
      <w:r w:rsidRPr="00094F8C">
        <w:rPr>
          <w:rFonts w:ascii="Arial" w:hAnsi="Arial" w:cs="Arial"/>
          <w:sz w:val="18"/>
          <w:szCs w:val="18"/>
        </w:rPr>
        <w:t>.</w:t>
      </w:r>
      <w:r w:rsidR="00D009AF" w:rsidRPr="00094F8C">
        <w:rPr>
          <w:rFonts w:ascii="Arial" w:hAnsi="Arial" w:cs="Arial"/>
          <w:sz w:val="18"/>
          <w:szCs w:val="18"/>
        </w:rPr>
        <w:t>7</w:t>
      </w:r>
      <w:r w:rsidRPr="00094F8C">
        <w:rPr>
          <w:rFonts w:ascii="Arial" w:hAnsi="Arial" w:cs="Arial"/>
          <w:sz w:val="18"/>
          <w:szCs w:val="18"/>
        </w:rPr>
        <w:t>.201</w:t>
      </w:r>
      <w:r w:rsidR="00D009AF" w:rsidRPr="00094F8C">
        <w:rPr>
          <w:rFonts w:ascii="Arial" w:hAnsi="Arial" w:cs="Arial"/>
          <w:sz w:val="18"/>
          <w:szCs w:val="18"/>
        </w:rPr>
        <w:t>2</w:t>
      </w:r>
      <w:proofErr w:type="gramEnd"/>
      <w:r w:rsidRPr="00094F8C">
        <w:rPr>
          <w:rFonts w:ascii="Arial" w:hAnsi="Arial" w:cs="Arial"/>
          <w:sz w:val="18"/>
          <w:szCs w:val="18"/>
        </w:rPr>
        <w:t xml:space="preserve"> </w:t>
      </w:r>
      <w:r w:rsidR="00715320" w:rsidRPr="00094F8C">
        <w:rPr>
          <w:rFonts w:ascii="Arial" w:hAnsi="Arial" w:cs="Arial"/>
          <w:sz w:val="18"/>
          <w:szCs w:val="18"/>
        </w:rPr>
        <w:t>ve znění dodatk</w:t>
      </w:r>
      <w:r w:rsidR="00EF7471" w:rsidRPr="00094F8C">
        <w:rPr>
          <w:rFonts w:ascii="Arial" w:hAnsi="Arial" w:cs="Arial"/>
          <w:sz w:val="18"/>
          <w:szCs w:val="18"/>
        </w:rPr>
        <w:t>ů</w:t>
      </w:r>
      <w:r w:rsidR="00715320" w:rsidRPr="00094F8C">
        <w:rPr>
          <w:rFonts w:ascii="Arial" w:hAnsi="Arial" w:cs="Arial"/>
          <w:sz w:val="18"/>
          <w:szCs w:val="18"/>
        </w:rPr>
        <w:t xml:space="preserve"> č. 1</w:t>
      </w:r>
      <w:r w:rsidR="00EF7471" w:rsidRPr="00094F8C">
        <w:rPr>
          <w:rFonts w:ascii="Arial" w:hAnsi="Arial" w:cs="Arial"/>
          <w:sz w:val="18"/>
          <w:szCs w:val="18"/>
        </w:rPr>
        <w:t>, č. 2</w:t>
      </w:r>
      <w:r w:rsidR="00DB6769">
        <w:rPr>
          <w:rFonts w:ascii="Arial" w:hAnsi="Arial" w:cs="Arial"/>
          <w:sz w:val="18"/>
          <w:szCs w:val="18"/>
        </w:rPr>
        <w:t>, č. 3</w:t>
      </w:r>
      <w:r w:rsidR="000F5F01">
        <w:rPr>
          <w:rFonts w:ascii="Arial" w:hAnsi="Arial" w:cs="Arial"/>
          <w:sz w:val="18"/>
          <w:szCs w:val="18"/>
        </w:rPr>
        <w:t>,</w:t>
      </w:r>
      <w:r w:rsidR="00715320" w:rsidRPr="00094F8C">
        <w:rPr>
          <w:rFonts w:ascii="Arial" w:hAnsi="Arial" w:cs="Arial"/>
          <w:sz w:val="18"/>
          <w:szCs w:val="18"/>
        </w:rPr>
        <w:t xml:space="preserve"> č. </w:t>
      </w:r>
      <w:r w:rsidR="00DB6769">
        <w:rPr>
          <w:rFonts w:ascii="Arial" w:hAnsi="Arial" w:cs="Arial"/>
          <w:sz w:val="18"/>
          <w:szCs w:val="18"/>
        </w:rPr>
        <w:t>4</w:t>
      </w:r>
      <w:r w:rsidR="000F5F01">
        <w:rPr>
          <w:rFonts w:ascii="Arial" w:hAnsi="Arial" w:cs="Arial"/>
          <w:sz w:val="18"/>
          <w:szCs w:val="18"/>
        </w:rPr>
        <w:t>, č. 5</w:t>
      </w:r>
      <w:r w:rsidR="008D273E">
        <w:rPr>
          <w:rFonts w:ascii="Arial" w:hAnsi="Arial" w:cs="Arial"/>
          <w:sz w:val="18"/>
          <w:szCs w:val="18"/>
        </w:rPr>
        <w:t>,</w:t>
      </w:r>
      <w:r w:rsidR="0000293E" w:rsidRPr="0000293E">
        <w:rPr>
          <w:rFonts w:ascii="Arial" w:hAnsi="Arial" w:cs="Arial"/>
          <w:sz w:val="18"/>
          <w:szCs w:val="18"/>
        </w:rPr>
        <w:t xml:space="preserve"> č. 6</w:t>
      </w:r>
      <w:r w:rsidR="008D273E">
        <w:rPr>
          <w:rFonts w:ascii="Arial" w:hAnsi="Arial" w:cs="Arial"/>
          <w:sz w:val="18"/>
          <w:szCs w:val="18"/>
        </w:rPr>
        <w:t xml:space="preserve">, </w:t>
      </w:r>
      <w:r w:rsidR="008D273E" w:rsidRPr="00CD5007">
        <w:rPr>
          <w:rFonts w:ascii="Arial" w:hAnsi="Arial" w:cs="Arial"/>
          <w:sz w:val="18"/>
          <w:szCs w:val="18"/>
        </w:rPr>
        <w:t>č. 7</w:t>
      </w:r>
      <w:r w:rsidR="00AF2DD1" w:rsidRPr="00CD5007">
        <w:rPr>
          <w:rFonts w:ascii="Arial" w:hAnsi="Arial" w:cs="Arial"/>
          <w:sz w:val="18"/>
          <w:szCs w:val="18"/>
        </w:rPr>
        <w:t>, č. 8</w:t>
      </w:r>
      <w:r w:rsidR="0000293E" w:rsidRPr="00CD5007">
        <w:rPr>
          <w:rFonts w:ascii="Arial" w:hAnsi="Arial" w:cs="Arial"/>
          <w:sz w:val="18"/>
          <w:szCs w:val="18"/>
        </w:rPr>
        <w:t xml:space="preserve"> a č. </w:t>
      </w:r>
      <w:r w:rsidR="00AF2DD1" w:rsidRPr="00CD5007">
        <w:rPr>
          <w:rFonts w:ascii="Arial" w:hAnsi="Arial" w:cs="Arial"/>
          <w:sz w:val="18"/>
          <w:szCs w:val="18"/>
        </w:rPr>
        <w:t>9</w:t>
      </w:r>
      <w:r w:rsidR="0000293E" w:rsidRPr="00CD5007">
        <w:rPr>
          <w:rFonts w:ascii="Arial" w:hAnsi="Arial" w:cs="Arial"/>
          <w:sz w:val="18"/>
          <w:szCs w:val="18"/>
        </w:rPr>
        <w:t xml:space="preserve"> </w:t>
      </w:r>
      <w:r w:rsidRPr="00CD5007">
        <w:rPr>
          <w:rFonts w:ascii="Arial" w:hAnsi="Arial" w:cs="Arial"/>
          <w:sz w:val="18"/>
          <w:szCs w:val="18"/>
        </w:rPr>
        <w:t>takto:</w:t>
      </w:r>
    </w:p>
    <w:p w:rsidR="000207B5" w:rsidRDefault="000F5CA5" w:rsidP="000207B5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č</w:t>
      </w:r>
      <w:r w:rsidR="00327AF2" w:rsidRPr="00327AF2">
        <w:rPr>
          <w:rFonts w:ascii="Arial" w:hAnsi="Arial" w:cs="Arial"/>
          <w:b/>
          <w:sz w:val="18"/>
          <w:szCs w:val="18"/>
          <w:u w:val="single"/>
        </w:rPr>
        <w:t>l. 2. Předmět smlouvy</w:t>
      </w:r>
      <w:r w:rsidR="00327AF2" w:rsidRPr="00094F8C">
        <w:rPr>
          <w:rFonts w:ascii="Arial" w:hAnsi="Arial" w:cs="Arial"/>
          <w:sz w:val="18"/>
          <w:szCs w:val="18"/>
        </w:rPr>
        <w:t xml:space="preserve"> </w:t>
      </w:r>
      <w:r w:rsidR="00327AF2">
        <w:rPr>
          <w:rFonts w:ascii="Arial" w:hAnsi="Arial" w:cs="Arial"/>
          <w:sz w:val="18"/>
          <w:szCs w:val="18"/>
        </w:rPr>
        <w:t xml:space="preserve">- </w:t>
      </w:r>
      <w:r w:rsidR="000207B5" w:rsidRPr="00094F8C">
        <w:rPr>
          <w:rFonts w:ascii="Arial" w:hAnsi="Arial" w:cs="Arial"/>
          <w:sz w:val="18"/>
          <w:szCs w:val="18"/>
        </w:rPr>
        <w:t xml:space="preserve">bod </w:t>
      </w:r>
      <w:proofErr w:type="gramStart"/>
      <w:r w:rsidR="000207B5">
        <w:rPr>
          <w:rFonts w:ascii="Arial" w:hAnsi="Arial" w:cs="Arial"/>
          <w:sz w:val="18"/>
          <w:szCs w:val="18"/>
        </w:rPr>
        <w:t>2.5.</w:t>
      </w:r>
      <w:r w:rsidR="000207B5" w:rsidRPr="00094F8C">
        <w:rPr>
          <w:rFonts w:ascii="Arial" w:hAnsi="Arial" w:cs="Arial"/>
          <w:sz w:val="18"/>
          <w:szCs w:val="18"/>
        </w:rPr>
        <w:t xml:space="preserve"> se</w:t>
      </w:r>
      <w:proofErr w:type="gramEnd"/>
      <w:r w:rsidR="000207B5" w:rsidRPr="00094F8C">
        <w:rPr>
          <w:rFonts w:ascii="Arial" w:hAnsi="Arial" w:cs="Arial"/>
          <w:sz w:val="18"/>
          <w:szCs w:val="18"/>
        </w:rPr>
        <w:t xml:space="preserve"> ruší v celém rozsahu a nově zní takto:</w:t>
      </w:r>
    </w:p>
    <w:p w:rsidR="00327AF2" w:rsidRPr="00094F8C" w:rsidRDefault="00327AF2" w:rsidP="000207B5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</w:p>
    <w:p w:rsidR="008E34B5" w:rsidRPr="000207B5" w:rsidRDefault="008E34B5" w:rsidP="000207B5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0207B5">
        <w:rPr>
          <w:rFonts w:ascii="Arial" w:hAnsi="Arial" w:cs="Arial"/>
          <w:b/>
          <w:sz w:val="18"/>
          <w:szCs w:val="18"/>
        </w:rPr>
        <w:t>Projektovou dokumentaci pro stavební povolení (DSP)</w:t>
      </w:r>
      <w:r w:rsidRPr="000207B5">
        <w:rPr>
          <w:rFonts w:ascii="Arial" w:hAnsi="Arial" w:cs="Arial"/>
          <w:b/>
          <w:color w:val="000000" w:themeColor="text1"/>
          <w:sz w:val="18"/>
          <w:szCs w:val="18"/>
        </w:rPr>
        <w:t xml:space="preserve"> pro objekty SO 01.1 Protipovodňová úprava vodního toku </w:t>
      </w:r>
      <w:proofErr w:type="spellStart"/>
      <w:r w:rsidRPr="000207B5">
        <w:rPr>
          <w:rFonts w:ascii="Arial" w:hAnsi="Arial" w:cs="Arial"/>
          <w:b/>
          <w:color w:val="000000" w:themeColor="text1"/>
          <w:sz w:val="18"/>
          <w:szCs w:val="18"/>
        </w:rPr>
        <w:t>Polančice</w:t>
      </w:r>
      <w:proofErr w:type="spellEnd"/>
      <w:r w:rsidRPr="000207B5">
        <w:rPr>
          <w:rFonts w:ascii="Arial" w:hAnsi="Arial" w:cs="Arial"/>
          <w:b/>
          <w:color w:val="000000" w:themeColor="text1"/>
          <w:sz w:val="18"/>
          <w:szCs w:val="18"/>
        </w:rPr>
        <w:t xml:space="preserve">, I. etapa, Polanka nad Odrou, SO 01.2 rotipovodňová úprava vodního toku </w:t>
      </w:r>
      <w:proofErr w:type="spellStart"/>
      <w:r w:rsidRPr="000207B5">
        <w:rPr>
          <w:rFonts w:ascii="Arial" w:hAnsi="Arial" w:cs="Arial"/>
          <w:b/>
          <w:color w:val="000000" w:themeColor="text1"/>
          <w:sz w:val="18"/>
          <w:szCs w:val="18"/>
        </w:rPr>
        <w:t>Polančice</w:t>
      </w:r>
      <w:proofErr w:type="spellEnd"/>
      <w:r w:rsidRPr="000207B5">
        <w:rPr>
          <w:rFonts w:ascii="Arial" w:hAnsi="Arial" w:cs="Arial"/>
          <w:b/>
          <w:color w:val="000000" w:themeColor="text1"/>
          <w:sz w:val="18"/>
          <w:szCs w:val="18"/>
        </w:rPr>
        <w:t xml:space="preserve">, II. etapa, </w:t>
      </w:r>
      <w:proofErr w:type="spellStart"/>
      <w:r w:rsidRPr="000207B5">
        <w:rPr>
          <w:rFonts w:ascii="Arial" w:hAnsi="Arial" w:cs="Arial"/>
          <w:b/>
          <w:color w:val="000000" w:themeColor="text1"/>
          <w:sz w:val="18"/>
          <w:szCs w:val="18"/>
        </w:rPr>
        <w:t>Klimkovice</w:t>
      </w:r>
      <w:proofErr w:type="spellEnd"/>
      <w:r w:rsidRPr="000207B5">
        <w:rPr>
          <w:rFonts w:ascii="Arial" w:hAnsi="Arial" w:cs="Arial"/>
          <w:b/>
          <w:color w:val="000000" w:themeColor="text1"/>
          <w:sz w:val="18"/>
          <w:szCs w:val="18"/>
        </w:rPr>
        <w:t xml:space="preserve">,  SO 03 Malá vodní nádrž na </w:t>
      </w:r>
      <w:proofErr w:type="spellStart"/>
      <w:r w:rsidRPr="000207B5">
        <w:rPr>
          <w:rFonts w:ascii="Arial" w:hAnsi="Arial" w:cs="Arial"/>
          <w:b/>
          <w:color w:val="000000" w:themeColor="text1"/>
          <w:sz w:val="18"/>
          <w:szCs w:val="18"/>
        </w:rPr>
        <w:t>Rakovci</w:t>
      </w:r>
      <w:proofErr w:type="spellEnd"/>
      <w:r w:rsidRPr="000207B5">
        <w:rPr>
          <w:rFonts w:ascii="Arial" w:hAnsi="Arial" w:cs="Arial"/>
          <w:b/>
          <w:color w:val="000000" w:themeColor="text1"/>
          <w:sz w:val="18"/>
          <w:szCs w:val="18"/>
        </w:rPr>
        <w:t xml:space="preserve"> a </w:t>
      </w:r>
      <w:r w:rsidRPr="000207B5">
        <w:rPr>
          <w:rFonts w:ascii="Arial" w:hAnsi="Arial" w:cs="Arial"/>
          <w:b/>
          <w:sz w:val="18"/>
          <w:szCs w:val="18"/>
        </w:rPr>
        <w:t>projektovou dokumentaci pro společné povolení (DUSP)</w:t>
      </w:r>
      <w:r w:rsidRPr="000207B5">
        <w:rPr>
          <w:rFonts w:ascii="Arial" w:hAnsi="Arial" w:cs="Arial"/>
          <w:b/>
          <w:color w:val="000000" w:themeColor="text1"/>
          <w:sz w:val="18"/>
          <w:szCs w:val="18"/>
        </w:rPr>
        <w:t xml:space="preserve"> pro objekt SO 02 Malá vodní nádrž na </w:t>
      </w:r>
      <w:proofErr w:type="spellStart"/>
      <w:r w:rsidRPr="000207B5">
        <w:rPr>
          <w:rFonts w:ascii="Arial" w:hAnsi="Arial" w:cs="Arial"/>
          <w:b/>
          <w:color w:val="000000" w:themeColor="text1"/>
          <w:sz w:val="18"/>
          <w:szCs w:val="18"/>
        </w:rPr>
        <w:t>Polančici</w:t>
      </w:r>
      <w:proofErr w:type="spellEnd"/>
    </w:p>
    <w:p w:rsidR="008E34B5" w:rsidRPr="008E34B5" w:rsidRDefault="008E34B5" w:rsidP="008E34B5">
      <w:pPr>
        <w:numPr>
          <w:ilvl w:val="2"/>
          <w:numId w:val="11"/>
        </w:numPr>
        <w:spacing w:after="0" w:line="240" w:lineRule="auto"/>
        <w:ind w:left="1418" w:hanging="698"/>
        <w:jc w:val="both"/>
        <w:rPr>
          <w:rFonts w:ascii="Arial" w:hAnsi="Arial" w:cs="Arial"/>
          <w:sz w:val="18"/>
          <w:szCs w:val="18"/>
        </w:rPr>
      </w:pPr>
      <w:r w:rsidRPr="008E34B5">
        <w:rPr>
          <w:rFonts w:ascii="Arial" w:hAnsi="Arial" w:cs="Arial"/>
          <w:sz w:val="18"/>
          <w:szCs w:val="18"/>
        </w:rPr>
        <w:t xml:space="preserve">Projektová dokumentace pro stavební povolení v rozsahu podle přílohy č. 1 vyhlášky č. 499/2006 Sb., o dokumentaci staveb v platném znění. Podkladem pro vypracování projektové dokumentace pro stavební povolení bude dokumentace k žádosti o vydání rozhodnutí o umístění stavby vypracovaná podle čl. </w:t>
      </w:r>
      <w:proofErr w:type="gramStart"/>
      <w:r w:rsidRPr="008E34B5">
        <w:rPr>
          <w:rFonts w:ascii="Arial" w:hAnsi="Arial" w:cs="Arial"/>
          <w:sz w:val="18"/>
          <w:szCs w:val="18"/>
        </w:rPr>
        <w:t>2.4. této</w:t>
      </w:r>
      <w:proofErr w:type="gramEnd"/>
      <w:r w:rsidRPr="008E34B5">
        <w:rPr>
          <w:rFonts w:ascii="Arial" w:hAnsi="Arial" w:cs="Arial"/>
          <w:sz w:val="18"/>
          <w:szCs w:val="18"/>
        </w:rPr>
        <w:t xml:space="preserve"> smlouvy. </w:t>
      </w:r>
      <w:r w:rsidRPr="008E34B5">
        <w:rPr>
          <w:rFonts w:ascii="Arial" w:hAnsi="Arial" w:cs="Arial"/>
          <w:b/>
          <w:sz w:val="18"/>
          <w:szCs w:val="18"/>
        </w:rPr>
        <w:t>Projektov</w:t>
      </w:r>
      <w:r w:rsidR="004F6D20">
        <w:rPr>
          <w:rFonts w:ascii="Arial" w:hAnsi="Arial" w:cs="Arial"/>
          <w:b/>
          <w:sz w:val="18"/>
          <w:szCs w:val="18"/>
        </w:rPr>
        <w:t>á</w:t>
      </w:r>
      <w:r w:rsidRPr="008E34B5">
        <w:rPr>
          <w:rFonts w:ascii="Arial" w:hAnsi="Arial" w:cs="Arial"/>
          <w:b/>
          <w:sz w:val="18"/>
          <w:szCs w:val="18"/>
        </w:rPr>
        <w:t xml:space="preserve"> dokumentac</w:t>
      </w:r>
      <w:r w:rsidR="004F6D20">
        <w:rPr>
          <w:rFonts w:ascii="Arial" w:hAnsi="Arial" w:cs="Arial"/>
          <w:b/>
          <w:sz w:val="18"/>
          <w:szCs w:val="18"/>
        </w:rPr>
        <w:t>e</w:t>
      </w:r>
      <w:r w:rsidRPr="008E34B5">
        <w:rPr>
          <w:rFonts w:ascii="Arial" w:hAnsi="Arial" w:cs="Arial"/>
          <w:b/>
          <w:sz w:val="18"/>
          <w:szCs w:val="18"/>
        </w:rPr>
        <w:t xml:space="preserve"> pro společné povolení v rozsahu podle přílohy č. 8 vyhlášky č. 499/2006 Sb. o dokumentaci staveb, v platném znění.</w:t>
      </w:r>
      <w:r w:rsidRPr="008E34B5">
        <w:rPr>
          <w:rFonts w:ascii="Arial" w:hAnsi="Arial" w:cs="Arial"/>
          <w:sz w:val="18"/>
          <w:szCs w:val="18"/>
        </w:rPr>
        <w:t xml:space="preserve"> Součástí vypracování projektové dokumentace pro stavební povolení </w:t>
      </w:r>
      <w:r w:rsidRPr="008E34B5">
        <w:rPr>
          <w:rFonts w:ascii="Arial" w:hAnsi="Arial" w:cs="Arial"/>
          <w:b/>
          <w:sz w:val="18"/>
          <w:szCs w:val="18"/>
        </w:rPr>
        <w:t>a projektové dokumentace pro společné povolení</w:t>
      </w:r>
      <w:r>
        <w:rPr>
          <w:rFonts w:ascii="Arial" w:hAnsi="Arial" w:cs="Arial"/>
          <w:sz w:val="18"/>
          <w:szCs w:val="18"/>
        </w:rPr>
        <w:t xml:space="preserve"> </w:t>
      </w:r>
      <w:r w:rsidRPr="008E34B5">
        <w:rPr>
          <w:rFonts w:ascii="Arial" w:hAnsi="Arial" w:cs="Arial"/>
          <w:sz w:val="18"/>
          <w:szCs w:val="18"/>
        </w:rPr>
        <w:t>budou dále uvedené náležitosti:</w:t>
      </w:r>
    </w:p>
    <w:p w:rsidR="008E34B5" w:rsidRPr="008E34B5" w:rsidRDefault="008E34B5" w:rsidP="008E34B5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>soupis stavebních prací, dodávek a služeb včetně výkazu výměr a jeho výpočtu v členění podle stavebních objektů a provozních souborů ve dvou podobách – oceněný v CÚ příslušného roku a neoceněný jako součást zadávací dokumentace pro výběr zhotovitele stavby. Neoceněný soupis stavebních prací, dodávek a služeb včetně výkazu výměr a jeho výpočtu, včetně jeho elektronické podoby bude splňovat požadavky podle §44 odst. 4 zákona č. 137/2006 Sb., o veřejných zakázkách v platném znění a příslušných prováděcích předpisů.</w:t>
      </w:r>
    </w:p>
    <w:p w:rsidR="008E34B5" w:rsidRPr="008E34B5" w:rsidRDefault="008E34B5" w:rsidP="008E34B5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>vypracování plánu kontrolních prohlídek stavby podle zákona č. 183/2006 Sb., o územním plánování a stavebním řádu ve znění pozdějších předpisů</w:t>
      </w:r>
    </w:p>
    <w:p w:rsidR="008E34B5" w:rsidRPr="008E34B5" w:rsidRDefault="008E34B5" w:rsidP="008E34B5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>majetkoprávní náležitosti v rozsahu katastrální mapy zájmového území (včetně parcel EN, PK) se zakreslením situace stavby, POV a vyznačení dotčených parcel, výkaz dotčených parcel, výpisy z katastru nemovitostí formou výpisu z listu vlastnictví pro parcely dotčené stavbou, informativní výpisy z katastru nemovitostí pro sousední parcely</w:t>
      </w:r>
    </w:p>
    <w:p w:rsidR="008E34B5" w:rsidRPr="008E34B5" w:rsidRDefault="008E34B5" w:rsidP="008E34B5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>vypracování barevné fotodokumentace současného stavu zájmového území v místě budoucích staveb s datem pořízení a popisem lokalizace</w:t>
      </w:r>
    </w:p>
    <w:p w:rsidR="008E34B5" w:rsidRPr="008E34B5" w:rsidRDefault="008E34B5" w:rsidP="008E34B5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>vypracování návrhu havarijního plánu a povodňového plánu pro provádění stavby</w:t>
      </w:r>
    </w:p>
    <w:p w:rsidR="008E34B5" w:rsidRPr="008E34B5" w:rsidRDefault="008E34B5" w:rsidP="008E34B5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>objektová skladba a členění výkresové dokumentace bude respektovat příslušnost k jednotlivým stavebním úřadům, resp. jimi vydávaným stavebním povolením</w:t>
      </w:r>
    </w:p>
    <w:p w:rsidR="008E34B5" w:rsidRPr="008E34B5" w:rsidRDefault="008E34B5" w:rsidP="008E34B5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>v případě návrhu na odstranění stávajících staveb bude projektová dokumentace obsahovat dílčí dokumentace bouracích prací podle přílohy č. 4 vyhlášky č. 499/2006 Sb., o dokumentaci staveb v platném znění.</w:t>
      </w:r>
    </w:p>
    <w:p w:rsidR="008E34B5" w:rsidRDefault="008E34B5" w:rsidP="008E34B5">
      <w:pPr>
        <w:pStyle w:val="Zkladntext"/>
        <w:ind w:left="113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 xml:space="preserve">Projektová dokumentace </w:t>
      </w:r>
      <w:r w:rsidR="000207B5" w:rsidRPr="000207B5">
        <w:rPr>
          <w:rFonts w:cs="Arial"/>
          <w:b/>
          <w:sz w:val="18"/>
          <w:szCs w:val="18"/>
        </w:rPr>
        <w:t xml:space="preserve">pro stavební povolení </w:t>
      </w:r>
      <w:r w:rsidRPr="008E34B5">
        <w:rPr>
          <w:rFonts w:cs="Arial"/>
          <w:sz w:val="18"/>
          <w:szCs w:val="18"/>
        </w:rPr>
        <w:t>bude zohledňovat podmínky stanovené v rozhodnutí o umístění stavby. Po nabytí právní moci stavebního povolení budou do dokumentace zapracovány případné podmínky stanovené ve stavebním řízení.</w:t>
      </w:r>
      <w:r w:rsidR="000207B5">
        <w:rPr>
          <w:rFonts w:cs="Arial"/>
          <w:sz w:val="18"/>
          <w:szCs w:val="18"/>
        </w:rPr>
        <w:t xml:space="preserve"> </w:t>
      </w:r>
      <w:r w:rsidR="000207B5" w:rsidRPr="000207B5">
        <w:rPr>
          <w:rFonts w:cs="Arial"/>
          <w:b/>
          <w:sz w:val="18"/>
          <w:szCs w:val="18"/>
        </w:rPr>
        <w:t>Po nabytí právní moci společného povolení budou do dokumentace zapracovány případné podmínky stanovené ve společném územním a</w:t>
      </w:r>
      <w:r w:rsidR="000207B5">
        <w:rPr>
          <w:rFonts w:cs="Arial"/>
          <w:b/>
          <w:sz w:val="18"/>
          <w:szCs w:val="18"/>
        </w:rPr>
        <w:t> </w:t>
      </w:r>
      <w:r w:rsidR="000207B5" w:rsidRPr="000207B5">
        <w:rPr>
          <w:rFonts w:cs="Arial"/>
          <w:b/>
          <w:sz w:val="18"/>
          <w:szCs w:val="18"/>
        </w:rPr>
        <w:t>stavebním řízení.</w:t>
      </w:r>
    </w:p>
    <w:p w:rsidR="000207B5" w:rsidRPr="008E34B5" w:rsidRDefault="000207B5" w:rsidP="008E34B5">
      <w:pPr>
        <w:pStyle w:val="Zkladntext"/>
        <w:ind w:left="1134"/>
        <w:jc w:val="both"/>
        <w:rPr>
          <w:rFonts w:cs="Arial"/>
          <w:sz w:val="18"/>
          <w:szCs w:val="18"/>
        </w:rPr>
      </w:pPr>
    </w:p>
    <w:p w:rsidR="008E34B5" w:rsidRPr="000207B5" w:rsidRDefault="008E34B5" w:rsidP="008E34B5">
      <w:pPr>
        <w:numPr>
          <w:ilvl w:val="2"/>
          <w:numId w:val="11"/>
        </w:numPr>
        <w:spacing w:after="0" w:line="240" w:lineRule="auto"/>
        <w:ind w:left="1418" w:hanging="698"/>
        <w:jc w:val="both"/>
        <w:rPr>
          <w:rFonts w:ascii="Arial" w:hAnsi="Arial" w:cs="Arial"/>
          <w:sz w:val="18"/>
          <w:szCs w:val="18"/>
        </w:rPr>
      </w:pPr>
      <w:r w:rsidRPr="000207B5">
        <w:rPr>
          <w:rFonts w:ascii="Arial" w:hAnsi="Arial" w:cs="Arial"/>
          <w:sz w:val="18"/>
          <w:szCs w:val="18"/>
        </w:rPr>
        <w:t>Projednání projektové dokumentace pro stavební povolení</w:t>
      </w:r>
      <w:r w:rsidR="000207B5" w:rsidRPr="000207B5">
        <w:rPr>
          <w:rFonts w:ascii="Arial" w:hAnsi="Arial" w:cs="Arial"/>
          <w:sz w:val="18"/>
          <w:szCs w:val="18"/>
        </w:rPr>
        <w:t xml:space="preserve"> </w:t>
      </w:r>
      <w:r w:rsidR="000207B5" w:rsidRPr="000207B5">
        <w:rPr>
          <w:rFonts w:ascii="Arial" w:hAnsi="Arial" w:cs="Arial"/>
          <w:b/>
          <w:sz w:val="18"/>
          <w:szCs w:val="18"/>
        </w:rPr>
        <w:t>a dokumentace pro společné povolení</w:t>
      </w:r>
    </w:p>
    <w:p w:rsidR="008E34B5" w:rsidRPr="008E34B5" w:rsidRDefault="008E34B5" w:rsidP="008E34B5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>zajištění všech dokladů a náležitostí pro vypracování projektové dokumentace a podání žádosti o stavební povolení</w:t>
      </w:r>
      <w:r w:rsidR="000207B5">
        <w:rPr>
          <w:rFonts w:cs="Arial"/>
          <w:sz w:val="18"/>
          <w:szCs w:val="18"/>
        </w:rPr>
        <w:t xml:space="preserve"> </w:t>
      </w:r>
      <w:r w:rsidR="000207B5" w:rsidRPr="000207B5">
        <w:rPr>
          <w:rFonts w:eastAsia="Calibri" w:cs="Arial"/>
          <w:b/>
          <w:sz w:val="18"/>
          <w:szCs w:val="18"/>
          <w:lang w:val="cs-CZ" w:eastAsia="en-US"/>
        </w:rPr>
        <w:t>a podání žádosti o vydání společného rozhodnutí</w:t>
      </w:r>
      <w:r w:rsidRPr="008E34B5">
        <w:rPr>
          <w:rFonts w:cs="Arial"/>
          <w:sz w:val="18"/>
          <w:szCs w:val="18"/>
        </w:rPr>
        <w:t>, tj. vyjádření a stanoviska vlastníků veřejné infrastruktury (dopravní infrastruktura, technická infrastruktura, občanská vybavenost, veřejné prostranství, stavby soukromých vlastníků), dále vyjádření, stanoviska a rozhodnutí dotčených orgánů a zajištění zapracování podmínek z výše uvedených dokladů do projektové dokumentace</w:t>
      </w:r>
    </w:p>
    <w:p w:rsidR="008E34B5" w:rsidRPr="008E34B5" w:rsidRDefault="008E34B5" w:rsidP="008E34B5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>zajištění všech dokladů a náležitostí pro vypracování a podání žádosti o nakládání s vodami pro navržené objekty a stavby, které vyžadují povolení k nakládání s vodami podle zákona č. 254/2001 Sb., o vodách v platném znění</w:t>
      </w:r>
    </w:p>
    <w:p w:rsidR="008E34B5" w:rsidRPr="008E34B5" w:rsidRDefault="008E34B5" w:rsidP="008E34B5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>aktualizace souhlasů se vstupem a dočasným užíváním a případně nájemních smluv k dotčeným pozemkům s dočasným záborem vypracovaných podle čl. 2.4. této smlouvy o dílo</w:t>
      </w:r>
    </w:p>
    <w:p w:rsidR="008E34B5" w:rsidRPr="008E34B5" w:rsidRDefault="008E34B5" w:rsidP="008E34B5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>aktualizace smluv o budoucí kupní smlouvě, případně smluv o budoucích smlouvách o zřízení věcného břemene nebo smluv o právu provést stavbu k dotčeným pozemkům s trvalým záborem vypracovaných podle čl. 2.4. této smlouvy o dílo</w:t>
      </w:r>
    </w:p>
    <w:p w:rsidR="008E34B5" w:rsidRPr="008E34B5" w:rsidRDefault="008E34B5" w:rsidP="008E34B5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>zajištění rozhodnutí o zařazení staveb suchých nádrži Polančice a Rakovec do kategorie z hlediska technicko-bezpečnostního dohledu nad vodními díly včetně zajištění vypracování posudků k zařazení uvedených suchých nádrží do kategorie z hlediska provádění technicko-bezpečnostního dohledu</w:t>
      </w:r>
    </w:p>
    <w:p w:rsidR="008E34B5" w:rsidRPr="008E34B5" w:rsidRDefault="008E34B5" w:rsidP="008E34B5">
      <w:pPr>
        <w:pStyle w:val="Zkladntext"/>
        <w:ind w:left="1134"/>
        <w:jc w:val="both"/>
        <w:rPr>
          <w:rFonts w:cs="Arial"/>
          <w:sz w:val="18"/>
          <w:szCs w:val="18"/>
        </w:rPr>
      </w:pPr>
      <w:r w:rsidRPr="008E34B5">
        <w:rPr>
          <w:rFonts w:cs="Arial"/>
          <w:sz w:val="18"/>
          <w:szCs w:val="18"/>
        </w:rPr>
        <w:t>Před podáním návrhu na vydání stavebního povolení bude dokumentace a výše uvedené majetkoprávní náležitosti podle potřeby aktualizovány a budou doplněny dle požadavků objednatele, vlastníků dotčených pozemků a na základě vyjádření vlastníků veřejné infrastruktury a dotčených orgánů. Po nabytí právní moci stavebního povolení budou do dokumentace zapracovány případné podmínky stanovené ve stavebním řízení.</w:t>
      </w:r>
    </w:p>
    <w:p w:rsidR="008E34B5" w:rsidRDefault="008E34B5" w:rsidP="00E615B1">
      <w:pPr>
        <w:jc w:val="both"/>
        <w:rPr>
          <w:rFonts w:ascii="Arial" w:hAnsi="Arial" w:cs="Arial"/>
          <w:sz w:val="18"/>
          <w:szCs w:val="18"/>
        </w:rPr>
      </w:pPr>
    </w:p>
    <w:p w:rsidR="008E34B5" w:rsidRDefault="008E34B5" w:rsidP="00E615B1">
      <w:pPr>
        <w:jc w:val="both"/>
        <w:rPr>
          <w:rFonts w:ascii="Arial" w:hAnsi="Arial" w:cs="Arial"/>
          <w:sz w:val="18"/>
          <w:szCs w:val="18"/>
        </w:rPr>
      </w:pPr>
    </w:p>
    <w:p w:rsidR="00E615B1" w:rsidRPr="00094F8C" w:rsidRDefault="00E615B1" w:rsidP="00094F8C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  <w:u w:val="single"/>
        </w:rPr>
        <w:t xml:space="preserve">čl. </w:t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3</w:t>
      </w:r>
      <w:r w:rsidRPr="00094F8C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094F8C">
        <w:rPr>
          <w:rFonts w:ascii="Arial" w:hAnsi="Arial" w:cs="Arial"/>
          <w:b/>
          <w:sz w:val="18"/>
          <w:szCs w:val="18"/>
          <w:u w:val="single"/>
        </w:rPr>
        <w:tab/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Dodací lhůta</w:t>
      </w:r>
      <w:r w:rsidR="00EA73FC" w:rsidRPr="00094F8C">
        <w:rPr>
          <w:rFonts w:ascii="Arial" w:hAnsi="Arial" w:cs="Arial"/>
          <w:sz w:val="18"/>
          <w:szCs w:val="18"/>
        </w:rPr>
        <w:t xml:space="preserve">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–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bod </w:t>
      </w:r>
      <w:proofErr w:type="gramStart"/>
      <w:r w:rsidR="00EA73FC" w:rsidRPr="00094F8C">
        <w:rPr>
          <w:rFonts w:ascii="Arial" w:hAnsi="Arial" w:cs="Arial"/>
          <w:sz w:val="18"/>
          <w:szCs w:val="18"/>
        </w:rPr>
        <w:t xml:space="preserve">3.2. </w:t>
      </w:r>
      <w:r w:rsidR="00720EA4" w:rsidRPr="00094F8C">
        <w:rPr>
          <w:rFonts w:ascii="Arial" w:hAnsi="Arial" w:cs="Arial"/>
          <w:sz w:val="18"/>
          <w:szCs w:val="18"/>
        </w:rPr>
        <w:t>se</w:t>
      </w:r>
      <w:proofErr w:type="gramEnd"/>
      <w:r w:rsidR="00720EA4" w:rsidRPr="00094F8C">
        <w:rPr>
          <w:rFonts w:ascii="Arial" w:hAnsi="Arial" w:cs="Arial"/>
          <w:sz w:val="18"/>
          <w:szCs w:val="18"/>
        </w:rPr>
        <w:t xml:space="preserve"> ruší v celém rozsahu a nově zní takto:</w:t>
      </w:r>
    </w:p>
    <w:p w:rsidR="006D35B2" w:rsidRDefault="006D35B2" w:rsidP="006D35B2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EA73FC" w:rsidRPr="00094F8C" w:rsidRDefault="00EA73FC" w:rsidP="00EA73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3.2.</w:t>
      </w:r>
      <w:r w:rsidRPr="00094F8C">
        <w:rPr>
          <w:rFonts w:ascii="Arial" w:hAnsi="Arial" w:cs="Arial"/>
          <w:sz w:val="18"/>
          <w:szCs w:val="18"/>
        </w:rPr>
        <w:tab/>
        <w:t>Zhotovitel se zavazuje provést a předat hotové dílo</w:t>
      </w:r>
    </w:p>
    <w:p w:rsidR="00B44E24" w:rsidRPr="00094F8C" w:rsidRDefault="00B44E24" w:rsidP="00B44E24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590"/>
        <w:gridCol w:w="2835"/>
      </w:tblGrid>
      <w:tr w:rsidR="00B44E24" w:rsidRPr="00094F8C" w:rsidTr="00064B2C">
        <w:trPr>
          <w:trHeight w:val="312"/>
          <w:jc w:val="center"/>
        </w:trPr>
        <w:tc>
          <w:tcPr>
            <w:tcW w:w="665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geodetické zaměření podle čl. 2.1.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31.10.2012</w:t>
            </w:r>
          </w:p>
        </w:tc>
      </w:tr>
      <w:tr w:rsidR="00B44E24" w:rsidRPr="00094F8C" w:rsidTr="00064B2C">
        <w:trPr>
          <w:trHeight w:val="302"/>
          <w:jc w:val="center"/>
        </w:trPr>
        <w:tc>
          <w:tcPr>
            <w:tcW w:w="665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vytýčení parcelních hranic pozemků podle čl. 2.2.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31.1.2013</w:t>
            </w:r>
          </w:p>
        </w:tc>
      </w:tr>
      <w:tr w:rsidR="00B44E24" w:rsidRPr="00094F8C" w:rsidTr="00064B2C">
        <w:trPr>
          <w:trHeight w:val="340"/>
          <w:jc w:val="center"/>
        </w:trPr>
        <w:tc>
          <w:tcPr>
            <w:tcW w:w="6658" w:type="dxa"/>
            <w:gridSpan w:val="2"/>
            <w:vAlign w:val="bottom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inženýrsko-geologický průzkum podle čl. 2.3.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15.12.2012</w:t>
            </w:r>
          </w:p>
        </w:tc>
      </w:tr>
      <w:tr w:rsidR="00B44E24" w:rsidRPr="00094F8C" w:rsidTr="00064B2C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vydání rozhodnutí o umístění stavby podle čl. 2.4.1.</w:t>
            </w:r>
          </w:p>
        </w:tc>
        <w:tc>
          <w:tcPr>
            <w:tcW w:w="259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15.1.2013</w:t>
            </w:r>
          </w:p>
        </w:tc>
      </w:tr>
      <w:tr w:rsidR="00B44E24" w:rsidRPr="00094F8C" w:rsidTr="00064B2C">
        <w:trPr>
          <w:trHeight w:val="396"/>
          <w:jc w:val="center"/>
        </w:trPr>
        <w:tc>
          <w:tcPr>
            <w:tcW w:w="4068" w:type="dxa"/>
            <w:vMerge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31.5.2013</w:t>
            </w:r>
          </w:p>
        </w:tc>
      </w:tr>
      <w:tr w:rsidR="00B44E24" w:rsidRPr="005F4783" w:rsidTr="00064B2C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:rsidR="00B44E24" w:rsidRPr="005F4783" w:rsidRDefault="00B44E24" w:rsidP="00F86A5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projednání dokumentace pro vydání rozhodnutí o umístění stavby podle čl. 2.4.2.</w:t>
            </w:r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 objekt SO 01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Protipovodňová úprava vodního toku Polančice,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I. etapa, Polanka nad Odrou a pro objekt SO </w:t>
            </w:r>
            <w:proofErr w:type="gramStart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01.2  Protipovodňová</w:t>
            </w:r>
            <w:proofErr w:type="gramEnd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úprava vodního toku Polančice, II. etapa, Klimkovice</w:t>
            </w:r>
          </w:p>
        </w:tc>
        <w:tc>
          <w:tcPr>
            <w:tcW w:w="2835" w:type="dxa"/>
            <w:vAlign w:val="center"/>
          </w:tcPr>
          <w:p w:rsidR="00B44E24" w:rsidRPr="005F4783" w:rsidRDefault="003327CA" w:rsidP="00201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  <w:r w:rsidR="00FC5171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64B2C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samostatně 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pro každý objekt</w:t>
            </w:r>
          </w:p>
        </w:tc>
      </w:tr>
      <w:tr w:rsidR="00C83607" w:rsidRPr="005F4783" w:rsidTr="00064B2C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:rsidR="00C83607" w:rsidRPr="005F4783" w:rsidRDefault="00C83607" w:rsidP="00C8360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projednání dokumentace pro vydání rozhodnutí o umístění stavby podle čl. 2.4.2. pro objekt SO 02 Malá vodní nádrž na </w:t>
            </w:r>
            <w:proofErr w:type="spellStart"/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Polančici</w:t>
            </w:r>
            <w:proofErr w:type="spellEnd"/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pro objekt SO 03 Malá vodní nádrž na Rakovci</w:t>
            </w:r>
          </w:p>
        </w:tc>
        <w:tc>
          <w:tcPr>
            <w:tcW w:w="2835" w:type="dxa"/>
            <w:vAlign w:val="center"/>
          </w:tcPr>
          <w:p w:rsidR="00C83607" w:rsidRPr="005F4783" w:rsidRDefault="003327CA" w:rsidP="00FC51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</w:p>
        </w:tc>
      </w:tr>
      <w:tr w:rsidR="00B44E24" w:rsidRPr="005F4783" w:rsidTr="00064B2C">
        <w:trPr>
          <w:trHeight w:val="444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663980" w:rsidRDefault="00B44E24" w:rsidP="00064B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3980">
              <w:rPr>
                <w:rFonts w:ascii="Arial" w:hAnsi="Arial" w:cs="Arial"/>
                <w:sz w:val="18"/>
                <w:szCs w:val="18"/>
              </w:rPr>
              <w:t>vypracování dokumentace pro stavební povolení podle čl. 2.5.1.</w:t>
            </w:r>
            <w:r w:rsidR="00933248" w:rsidRPr="00663980">
              <w:rPr>
                <w:rFonts w:ascii="Arial" w:hAnsi="Arial" w:cs="Arial"/>
                <w:sz w:val="18"/>
                <w:szCs w:val="18"/>
              </w:rPr>
              <w:t xml:space="preserve"> pro objekt SO 01</w:t>
            </w:r>
            <w:r w:rsidR="00064B2C" w:rsidRPr="00663980">
              <w:rPr>
                <w:rFonts w:ascii="Arial" w:hAnsi="Arial" w:cs="Arial"/>
                <w:sz w:val="18"/>
                <w:szCs w:val="18"/>
              </w:rPr>
              <w:t>.1 a pro objekt SO 01.2</w:t>
            </w:r>
          </w:p>
        </w:tc>
        <w:tc>
          <w:tcPr>
            <w:tcW w:w="2590" w:type="dxa"/>
            <w:vAlign w:val="center"/>
          </w:tcPr>
          <w:p w:rsidR="00B44E24" w:rsidRPr="005F4783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B44E24" w:rsidRPr="005F4783" w:rsidRDefault="00B44E24" w:rsidP="00064B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3 měsíce od vydání rozhodnutí o umístění stavby</w:t>
            </w:r>
            <w:r w:rsidR="002018BE" w:rsidRPr="005F4783">
              <w:rPr>
                <w:rFonts w:ascii="Arial" w:hAnsi="Arial" w:cs="Arial"/>
                <w:sz w:val="18"/>
                <w:szCs w:val="18"/>
              </w:rPr>
              <w:t>,</w:t>
            </w:r>
            <w:r w:rsidR="005D581F" w:rsidRPr="005F47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B2C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samostatně pro každý objekt</w:t>
            </w:r>
          </w:p>
        </w:tc>
      </w:tr>
      <w:tr w:rsidR="00B44E24" w:rsidRPr="005F4783" w:rsidTr="00064B2C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B44E24" w:rsidRPr="005F4783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B44E24" w:rsidRPr="005F4783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B44E24" w:rsidRPr="005F4783" w:rsidRDefault="00B44E24" w:rsidP="00064B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783">
              <w:rPr>
                <w:rFonts w:ascii="Arial" w:hAnsi="Arial" w:cs="Arial"/>
                <w:sz w:val="18"/>
                <w:szCs w:val="18"/>
              </w:rPr>
              <w:t>4 měsíce od vydání rozhodnutí o umístění stavby</w:t>
            </w:r>
            <w:r w:rsidR="002018BE" w:rsidRPr="005F4783">
              <w:rPr>
                <w:rFonts w:ascii="Arial" w:hAnsi="Arial" w:cs="Arial"/>
                <w:sz w:val="18"/>
                <w:szCs w:val="18"/>
              </w:rPr>
              <w:t>,</w:t>
            </w:r>
            <w:r w:rsidR="005D581F" w:rsidRPr="005F47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B2C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samostatně pro každý objekt</w:t>
            </w:r>
          </w:p>
        </w:tc>
      </w:tr>
      <w:tr w:rsidR="00D567C3" w:rsidRPr="008875B2" w:rsidTr="00D567C3">
        <w:trPr>
          <w:trHeight w:val="749"/>
          <w:jc w:val="center"/>
        </w:trPr>
        <w:tc>
          <w:tcPr>
            <w:tcW w:w="4068" w:type="dxa"/>
            <w:vAlign w:val="center"/>
          </w:tcPr>
          <w:p w:rsidR="00D567C3" w:rsidRPr="008875B2" w:rsidRDefault="00D567C3" w:rsidP="00327AF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953359"/>
            <w:r w:rsidRPr="007235C8">
              <w:rPr>
                <w:rFonts w:ascii="Arial" w:hAnsi="Arial" w:cs="Arial"/>
                <w:b/>
                <w:sz w:val="18"/>
                <w:szCs w:val="18"/>
              </w:rPr>
              <w:t>vypracování dokumentace pro vydání společného povolení podle čl. 2.5.1. pro objekt SO 02</w:t>
            </w:r>
            <w:r w:rsidRPr="008875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vAlign w:val="center"/>
          </w:tcPr>
          <w:p w:rsidR="00D567C3" w:rsidRPr="008875B2" w:rsidRDefault="00D567C3" w:rsidP="00D56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3980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D567C3" w:rsidRPr="00663980" w:rsidRDefault="00D567C3" w:rsidP="00D567C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73167">
              <w:rPr>
                <w:rFonts w:ascii="Arial" w:hAnsi="Arial" w:cs="Arial"/>
                <w:b/>
                <w:sz w:val="18"/>
                <w:szCs w:val="18"/>
              </w:rPr>
              <w:t>1 měsíc od projednání připomínek v Technické radě objednatele</w:t>
            </w:r>
            <w:r w:rsidRPr="006639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bookmarkEnd w:id="0"/>
      <w:tr w:rsidR="008D273E" w:rsidRPr="008875B2" w:rsidTr="00064B2C">
        <w:trPr>
          <w:trHeight w:val="338"/>
          <w:jc w:val="center"/>
        </w:trPr>
        <w:tc>
          <w:tcPr>
            <w:tcW w:w="4068" w:type="dxa"/>
            <w:vMerge w:val="restart"/>
            <w:vAlign w:val="center"/>
          </w:tcPr>
          <w:p w:rsidR="008D273E" w:rsidRPr="00663980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3980">
              <w:rPr>
                <w:rFonts w:ascii="Arial" w:hAnsi="Arial" w:cs="Arial"/>
                <w:sz w:val="18"/>
                <w:szCs w:val="18"/>
              </w:rPr>
              <w:t xml:space="preserve">vypracování dokumentace pro stavební povolení podle čl. 2.5.1. pro objekt SO 03 </w:t>
            </w:r>
          </w:p>
        </w:tc>
        <w:tc>
          <w:tcPr>
            <w:tcW w:w="2590" w:type="dxa"/>
            <w:vAlign w:val="center"/>
          </w:tcPr>
          <w:p w:rsidR="008D273E" w:rsidRPr="00663980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3980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8D273E" w:rsidRPr="00663980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3980">
              <w:rPr>
                <w:rFonts w:ascii="Arial" w:hAnsi="Arial" w:cs="Arial"/>
                <w:sz w:val="18"/>
                <w:szCs w:val="18"/>
              </w:rPr>
              <w:t>15.2.2019</w:t>
            </w:r>
          </w:p>
        </w:tc>
      </w:tr>
      <w:tr w:rsidR="008D273E" w:rsidRPr="008875B2" w:rsidTr="00064B2C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8D273E" w:rsidRPr="00663980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8D273E" w:rsidRPr="00663980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3980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8D273E" w:rsidRPr="00663980" w:rsidRDefault="00C5728D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63980">
              <w:rPr>
                <w:rFonts w:ascii="Arial" w:hAnsi="Arial" w:cs="Arial"/>
                <w:sz w:val="18"/>
                <w:szCs w:val="18"/>
              </w:rPr>
              <w:t>15</w:t>
            </w:r>
            <w:r w:rsidR="008D273E" w:rsidRPr="00663980">
              <w:rPr>
                <w:rFonts w:ascii="Arial" w:hAnsi="Arial" w:cs="Arial"/>
                <w:sz w:val="18"/>
                <w:szCs w:val="18"/>
              </w:rPr>
              <w:t>.4.2019</w:t>
            </w:r>
            <w:proofErr w:type="gramEnd"/>
          </w:p>
        </w:tc>
      </w:tr>
      <w:tr w:rsidR="008D273E" w:rsidRPr="008875B2" w:rsidTr="00064B2C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663980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3980">
              <w:rPr>
                <w:rFonts w:ascii="Arial" w:hAnsi="Arial" w:cs="Arial"/>
                <w:sz w:val="18"/>
                <w:szCs w:val="18"/>
              </w:rPr>
              <w:t>projednání dokumentace pro stavební povolení podle čl. 2.5.2. pro objekt SO 01.1 a pro objekt SO 01.2</w:t>
            </w:r>
          </w:p>
        </w:tc>
        <w:tc>
          <w:tcPr>
            <w:tcW w:w="2835" w:type="dxa"/>
            <w:vAlign w:val="center"/>
          </w:tcPr>
          <w:p w:rsidR="008D273E" w:rsidRPr="00663980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3980">
              <w:rPr>
                <w:rFonts w:ascii="Arial" w:hAnsi="Arial" w:cs="Arial"/>
                <w:sz w:val="18"/>
                <w:szCs w:val="18"/>
              </w:rPr>
              <w:t xml:space="preserve">6 měsíců od vydání rozhodnutí o umístění stavby a 1 měsíc od ukončení majetkoprávních </w:t>
            </w:r>
            <w:r w:rsidRPr="00663980">
              <w:rPr>
                <w:rFonts w:ascii="Arial" w:hAnsi="Arial" w:cs="Arial"/>
                <w:sz w:val="18"/>
                <w:szCs w:val="18"/>
              </w:rPr>
              <w:lastRenderedPageBreak/>
              <w:t>jednání, samostatně pro každý objekt</w:t>
            </w:r>
          </w:p>
        </w:tc>
      </w:tr>
      <w:tr w:rsidR="008D273E" w:rsidRPr="008875B2" w:rsidTr="00064B2C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8875B2" w:rsidRDefault="008D273E" w:rsidP="007235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875B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projednání </w:t>
            </w:r>
            <w:r w:rsidRPr="007235C8">
              <w:rPr>
                <w:rFonts w:ascii="Arial" w:hAnsi="Arial" w:cs="Arial"/>
                <w:b/>
                <w:sz w:val="18"/>
                <w:szCs w:val="18"/>
              </w:rPr>
              <w:t xml:space="preserve">dokumentace pro </w:t>
            </w:r>
            <w:r w:rsidR="00AF2DD1" w:rsidRPr="007235C8">
              <w:rPr>
                <w:rFonts w:ascii="Arial" w:hAnsi="Arial" w:cs="Arial"/>
                <w:b/>
                <w:sz w:val="18"/>
                <w:szCs w:val="18"/>
              </w:rPr>
              <w:t>vydání společného povolení</w:t>
            </w:r>
            <w:r w:rsidRPr="007235C8">
              <w:rPr>
                <w:rFonts w:ascii="Arial" w:hAnsi="Arial" w:cs="Arial"/>
                <w:b/>
                <w:sz w:val="18"/>
                <w:szCs w:val="18"/>
              </w:rPr>
              <w:t xml:space="preserve"> podle</w:t>
            </w:r>
            <w:r w:rsidRPr="008875B2">
              <w:rPr>
                <w:rFonts w:ascii="Arial" w:hAnsi="Arial" w:cs="Arial"/>
                <w:b/>
                <w:sz w:val="18"/>
                <w:szCs w:val="18"/>
              </w:rPr>
              <w:t xml:space="preserve"> 2.5.</w:t>
            </w:r>
            <w:r w:rsidR="00AF2DD1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8875B2">
              <w:rPr>
                <w:rFonts w:ascii="Arial" w:hAnsi="Arial" w:cs="Arial"/>
                <w:b/>
                <w:sz w:val="18"/>
                <w:szCs w:val="18"/>
              </w:rPr>
              <w:t xml:space="preserve"> pro objekt SO 02 </w:t>
            </w:r>
          </w:p>
        </w:tc>
        <w:tc>
          <w:tcPr>
            <w:tcW w:w="2835" w:type="dxa"/>
            <w:vAlign w:val="center"/>
          </w:tcPr>
          <w:p w:rsidR="008D273E" w:rsidRPr="00973167" w:rsidRDefault="0038676C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73167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D273E" w:rsidRPr="00973167">
              <w:rPr>
                <w:rFonts w:ascii="Arial" w:hAnsi="Arial" w:cs="Arial"/>
                <w:b/>
                <w:sz w:val="18"/>
                <w:szCs w:val="18"/>
              </w:rPr>
              <w:t xml:space="preserve"> měsíce od vydání čistopisu</w:t>
            </w:r>
          </w:p>
        </w:tc>
      </w:tr>
      <w:tr w:rsidR="008D273E" w:rsidRPr="00D97054" w:rsidTr="00064B2C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D97054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7054">
              <w:rPr>
                <w:rFonts w:ascii="Arial" w:hAnsi="Arial" w:cs="Arial"/>
                <w:sz w:val="18"/>
                <w:szCs w:val="18"/>
              </w:rPr>
              <w:t xml:space="preserve">projednání dokumentace pro stavební povolení podle čl. 2.5.2. pro objekt SO 03 </w:t>
            </w:r>
          </w:p>
        </w:tc>
        <w:tc>
          <w:tcPr>
            <w:tcW w:w="2835" w:type="dxa"/>
            <w:vAlign w:val="center"/>
          </w:tcPr>
          <w:p w:rsidR="008D273E" w:rsidRPr="00973167" w:rsidRDefault="00D567C3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73167">
              <w:rPr>
                <w:rFonts w:ascii="Arial" w:hAnsi="Arial" w:cs="Arial"/>
                <w:b/>
                <w:sz w:val="18"/>
                <w:szCs w:val="18"/>
              </w:rPr>
              <w:t>26.2.2021</w:t>
            </w:r>
            <w:proofErr w:type="gramEnd"/>
            <w:r w:rsidR="00AF2DD1" w:rsidRPr="0097316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D273E" w:rsidRPr="008875B2" w:rsidTr="00064B2C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8875B2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5B2">
              <w:rPr>
                <w:rFonts w:ascii="Arial" w:hAnsi="Arial" w:cs="Arial"/>
                <w:sz w:val="18"/>
                <w:szCs w:val="18"/>
              </w:rPr>
              <w:t>vypracování dokumentace pro provádění stavby podle čl. 2.6.</w:t>
            </w:r>
          </w:p>
        </w:tc>
        <w:tc>
          <w:tcPr>
            <w:tcW w:w="2835" w:type="dxa"/>
            <w:vAlign w:val="center"/>
          </w:tcPr>
          <w:p w:rsidR="008D273E" w:rsidRPr="008875B2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5B2">
              <w:rPr>
                <w:rFonts w:ascii="Arial" w:hAnsi="Arial" w:cs="Arial"/>
                <w:sz w:val="18"/>
                <w:szCs w:val="18"/>
              </w:rPr>
              <w:t>3 měsíce od vydání stavebního povolení</w:t>
            </w:r>
            <w:r w:rsidRPr="008875B2">
              <w:rPr>
                <w:rFonts w:ascii="Arial" w:hAnsi="Arial" w:cs="Arial"/>
                <w:color w:val="000000" w:themeColor="text1"/>
                <w:sz w:val="18"/>
                <w:szCs w:val="18"/>
              </w:rPr>
              <w:t>, samostatně pro každý objekt</w:t>
            </w:r>
            <w:r w:rsidRPr="008875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D273E" w:rsidRPr="00094F8C" w:rsidTr="00064B2C">
        <w:trPr>
          <w:trHeight w:val="276"/>
          <w:jc w:val="center"/>
        </w:trPr>
        <w:tc>
          <w:tcPr>
            <w:tcW w:w="6658" w:type="dxa"/>
            <w:gridSpan w:val="2"/>
            <w:vAlign w:val="center"/>
          </w:tcPr>
          <w:p w:rsidR="008D273E" w:rsidRPr="008875B2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5B2">
              <w:rPr>
                <w:rFonts w:ascii="Arial" w:hAnsi="Arial" w:cs="Arial"/>
                <w:sz w:val="18"/>
                <w:szCs w:val="18"/>
              </w:rPr>
              <w:t>provádění autorského dozoru podle čl. 2.7.</w:t>
            </w:r>
          </w:p>
        </w:tc>
        <w:tc>
          <w:tcPr>
            <w:tcW w:w="2835" w:type="dxa"/>
            <w:vAlign w:val="center"/>
          </w:tcPr>
          <w:p w:rsidR="008D273E" w:rsidRPr="00094F8C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5B2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B44E24" w:rsidRPr="00094F8C" w:rsidRDefault="00B44E24" w:rsidP="00B44E24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126E0F" w:rsidRPr="00126E0F" w:rsidRDefault="00126E0F" w:rsidP="00E615B1">
      <w:pPr>
        <w:pStyle w:val="Zkladntext"/>
        <w:spacing w:line="240" w:lineRule="auto"/>
        <w:jc w:val="both"/>
        <w:rPr>
          <w:rFonts w:cs="Arial"/>
          <w:color w:val="FF0000"/>
          <w:sz w:val="18"/>
          <w:szCs w:val="18"/>
          <w:lang w:val="cs-CZ"/>
        </w:rPr>
      </w:pPr>
    </w:p>
    <w:p w:rsidR="00E615B1" w:rsidRPr="00094F8C" w:rsidRDefault="006E2539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7235C8">
        <w:rPr>
          <w:rFonts w:cs="Arial"/>
          <w:sz w:val="18"/>
          <w:szCs w:val="18"/>
          <w:lang w:val="cs-CZ"/>
        </w:rPr>
        <w:t>O</w:t>
      </w:r>
      <w:r w:rsidR="00E615B1" w:rsidRPr="007235C8">
        <w:rPr>
          <w:rFonts w:cs="Arial"/>
          <w:sz w:val="18"/>
          <w:szCs w:val="18"/>
          <w:lang w:val="cs-CZ"/>
        </w:rPr>
        <w:t xml:space="preserve">statní podmínky a ujednání 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>uvedené ve smlouvě o dílo ev. č. B 00</w:t>
      </w:r>
      <w:r w:rsidR="00267093" w:rsidRPr="007235C8">
        <w:rPr>
          <w:rFonts w:cs="Arial"/>
          <w:color w:val="000000" w:themeColor="text1"/>
          <w:sz w:val="18"/>
          <w:szCs w:val="18"/>
          <w:lang w:val="cs-CZ"/>
        </w:rPr>
        <w:t>30/12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 xml:space="preserve">ve znění dodatků č.1, </w:t>
      </w:r>
      <w:r w:rsidR="00DB6769" w:rsidRPr="007235C8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2</w:t>
      </w:r>
      <w:r w:rsidR="003327CA" w:rsidRPr="007235C8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DB6769" w:rsidRPr="007235C8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 w:rsidRPr="007235C8">
        <w:rPr>
          <w:rFonts w:cs="Arial"/>
          <w:color w:val="000000" w:themeColor="text1"/>
          <w:sz w:val="18"/>
          <w:szCs w:val="18"/>
          <w:lang w:val="cs-CZ"/>
        </w:rPr>
        <w:t>3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>,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DB6769" w:rsidRPr="007235C8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 w:rsidRPr="007235C8">
        <w:rPr>
          <w:rFonts w:cs="Arial"/>
          <w:color w:val="000000" w:themeColor="text1"/>
          <w:sz w:val="18"/>
          <w:szCs w:val="18"/>
          <w:lang w:val="cs-CZ"/>
        </w:rPr>
        <w:t>4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>č. 5</w:t>
      </w:r>
      <w:r w:rsidR="005F4783" w:rsidRPr="007235C8">
        <w:rPr>
          <w:rFonts w:cs="Arial"/>
          <w:color w:val="000000" w:themeColor="text1"/>
          <w:sz w:val="18"/>
          <w:szCs w:val="18"/>
          <w:lang w:val="cs-CZ"/>
        </w:rPr>
        <w:t>,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 xml:space="preserve"> č.</w:t>
      </w:r>
      <w:r w:rsidR="0000293E" w:rsidRPr="007235C8">
        <w:rPr>
          <w:rFonts w:cs="Arial"/>
          <w:color w:val="000000" w:themeColor="text1"/>
          <w:sz w:val="18"/>
          <w:szCs w:val="18"/>
          <w:lang w:val="cs-CZ"/>
        </w:rPr>
        <w:t> 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>6</w:t>
      </w:r>
      <w:r w:rsidR="008D273E" w:rsidRPr="007235C8">
        <w:rPr>
          <w:rFonts w:cs="Arial"/>
          <w:color w:val="000000" w:themeColor="text1"/>
          <w:sz w:val="18"/>
          <w:szCs w:val="18"/>
          <w:lang w:val="cs-CZ"/>
        </w:rPr>
        <w:t>, č.7</w:t>
      </w:r>
      <w:r w:rsidR="00663980" w:rsidRPr="007235C8">
        <w:rPr>
          <w:rFonts w:cs="Arial"/>
          <w:color w:val="000000" w:themeColor="text1"/>
          <w:sz w:val="18"/>
          <w:szCs w:val="18"/>
          <w:lang w:val="cs-CZ"/>
        </w:rPr>
        <w:t>, č. 8</w:t>
      </w:r>
      <w:r w:rsidR="005F4783" w:rsidRPr="007235C8">
        <w:rPr>
          <w:rFonts w:cs="Arial"/>
          <w:color w:val="000000" w:themeColor="text1"/>
          <w:sz w:val="18"/>
          <w:szCs w:val="18"/>
          <w:lang w:val="cs-CZ"/>
        </w:rPr>
        <w:t xml:space="preserve"> a č. </w:t>
      </w:r>
      <w:r w:rsidR="00663980" w:rsidRPr="007235C8">
        <w:rPr>
          <w:rFonts w:cs="Arial"/>
          <w:color w:val="000000" w:themeColor="text1"/>
          <w:sz w:val="18"/>
          <w:szCs w:val="18"/>
          <w:lang w:val="cs-CZ"/>
        </w:rPr>
        <w:t>9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zůstávají v platnosti beze změny.</w:t>
      </w:r>
      <w:r w:rsidR="00DB6769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Smluvní strany prohlašují, že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 xml:space="preserve"> došlo k dohodě o celém rozsahu dodatku</w:t>
      </w:r>
      <w:r w:rsidR="00276F70" w:rsidRPr="007235C8">
        <w:rPr>
          <w:rFonts w:cs="Arial"/>
          <w:color w:val="000000" w:themeColor="text1"/>
          <w:sz w:val="18"/>
          <w:szCs w:val="18"/>
          <w:lang w:val="cs-CZ"/>
        </w:rPr>
        <w:t> 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63980" w:rsidRPr="007235C8">
        <w:rPr>
          <w:rFonts w:cs="Arial"/>
          <w:color w:val="000000" w:themeColor="text1"/>
          <w:sz w:val="18"/>
          <w:szCs w:val="18"/>
          <w:lang w:val="cs-CZ"/>
        </w:rPr>
        <w:t>10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>.</w:t>
      </w: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7235C8">
        <w:rPr>
          <w:rFonts w:cs="Arial"/>
          <w:sz w:val="18"/>
          <w:szCs w:val="18"/>
          <w:lang w:val="cs-CZ"/>
        </w:rPr>
        <w:t xml:space="preserve">Tento dodatek </w:t>
      </w:r>
      <w:r w:rsidRPr="007235C8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63980" w:rsidRPr="007235C8">
        <w:rPr>
          <w:rFonts w:cs="Arial"/>
          <w:color w:val="000000" w:themeColor="text1"/>
          <w:sz w:val="18"/>
          <w:szCs w:val="18"/>
          <w:lang w:val="cs-CZ"/>
        </w:rPr>
        <w:t>10</w:t>
      </w:r>
      <w:r w:rsidRPr="007235C8">
        <w:rPr>
          <w:rFonts w:cs="Arial"/>
          <w:color w:val="000000" w:themeColor="text1"/>
          <w:sz w:val="18"/>
          <w:szCs w:val="18"/>
          <w:lang w:val="cs-CZ"/>
        </w:rPr>
        <w:t xml:space="preserve"> je</w:t>
      </w:r>
      <w:r w:rsidRPr="007235C8">
        <w:rPr>
          <w:rFonts w:cs="Arial"/>
          <w:sz w:val="18"/>
          <w:szCs w:val="18"/>
          <w:lang w:val="cs-CZ"/>
        </w:rPr>
        <w:t xml:space="preserve"> vyhotoven ve čtyřech stejnopisech, z nichž každá ze smluvních stran obdrží dva.</w:t>
      </w:r>
    </w:p>
    <w:p w:rsidR="00276F70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6B7E45" w:rsidRDefault="006B7E4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7235C8" w:rsidRDefault="007235C8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731716" w:rsidRDefault="00731716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za objednatele: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Pr="00094F8C">
        <w:rPr>
          <w:rFonts w:ascii="Arial" w:hAnsi="Arial" w:cs="Arial"/>
          <w:sz w:val="18"/>
          <w:szCs w:val="18"/>
        </w:rPr>
        <w:t>za zhotovitele:</w:t>
      </w:r>
    </w:p>
    <w:p w:rsidR="000847C5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Ostravě </w:t>
      </w:r>
      <w:r w:rsidR="001A0260" w:rsidRPr="00094F8C">
        <w:rPr>
          <w:rFonts w:ascii="Arial" w:hAnsi="Arial" w:cs="Arial"/>
          <w:sz w:val="18"/>
          <w:szCs w:val="18"/>
        </w:rPr>
        <w:t>dne</w:t>
      </w:r>
      <w:r w:rsidR="00897C78">
        <w:rPr>
          <w:rFonts w:ascii="Arial" w:hAnsi="Arial" w:cs="Arial"/>
          <w:sz w:val="18"/>
          <w:szCs w:val="18"/>
        </w:rPr>
        <w:t xml:space="preserve"> </w:t>
      </w:r>
      <w:proofErr w:type="gramStart"/>
      <w:r w:rsidR="00897C78">
        <w:rPr>
          <w:rFonts w:ascii="Arial" w:hAnsi="Arial" w:cs="Arial"/>
          <w:sz w:val="18"/>
          <w:szCs w:val="18"/>
        </w:rPr>
        <w:t>21.12.2020</w:t>
      </w:r>
      <w:proofErr w:type="gramEnd"/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0847C5" w:rsidRPr="00094F8C">
        <w:rPr>
          <w:rFonts w:ascii="Arial" w:hAnsi="Arial" w:cs="Arial"/>
          <w:sz w:val="18"/>
          <w:szCs w:val="18"/>
        </w:rPr>
        <w:t>v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C738C" w:rsidRPr="00094F8C">
        <w:rPr>
          <w:rFonts w:ascii="Arial" w:hAnsi="Arial" w:cs="Arial"/>
          <w:sz w:val="18"/>
          <w:szCs w:val="18"/>
        </w:rPr>
        <w:t>Liberci</w:t>
      </w:r>
      <w:r w:rsidR="000847C5" w:rsidRPr="00094F8C">
        <w:rPr>
          <w:rFonts w:ascii="Arial" w:hAnsi="Arial" w:cs="Arial"/>
          <w:sz w:val="18"/>
          <w:szCs w:val="18"/>
        </w:rPr>
        <w:t xml:space="preserve"> dne</w:t>
      </w:r>
      <w:r w:rsidR="00761732" w:rsidRPr="00094F8C">
        <w:rPr>
          <w:rFonts w:ascii="Arial" w:hAnsi="Arial" w:cs="Arial"/>
          <w:sz w:val="18"/>
          <w:szCs w:val="18"/>
        </w:rPr>
        <w:t xml:space="preserve"> </w:t>
      </w:r>
      <w:r w:rsidR="00897C78">
        <w:rPr>
          <w:rFonts w:ascii="Arial" w:hAnsi="Arial" w:cs="Arial"/>
          <w:sz w:val="18"/>
          <w:szCs w:val="18"/>
        </w:rPr>
        <w:t>15.12.2020</w:t>
      </w: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6B7E45" w:rsidRDefault="006B7E45" w:rsidP="000847C5">
      <w:pPr>
        <w:spacing w:after="0"/>
        <w:rPr>
          <w:rFonts w:ascii="Arial" w:hAnsi="Arial" w:cs="Arial"/>
          <w:sz w:val="18"/>
          <w:szCs w:val="18"/>
        </w:rPr>
      </w:pPr>
    </w:p>
    <w:p w:rsidR="00731716" w:rsidRPr="00094F8C" w:rsidRDefault="00731716" w:rsidP="000847C5">
      <w:pPr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1A0260" w:rsidRPr="00094F8C" w:rsidRDefault="00094F8C" w:rsidP="00094F8C">
      <w:pPr>
        <w:spacing w:before="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1A0260" w:rsidRPr="00094F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0847C5" w:rsidRPr="00094F8C" w:rsidRDefault="000847C5" w:rsidP="001A0260">
      <w:pPr>
        <w:tabs>
          <w:tab w:val="left" w:pos="4536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Ing. </w:t>
      </w:r>
      <w:r w:rsidR="00EF7471" w:rsidRPr="00094F8C">
        <w:rPr>
          <w:rFonts w:ascii="Arial" w:hAnsi="Arial" w:cs="Arial"/>
          <w:sz w:val="18"/>
          <w:szCs w:val="18"/>
        </w:rPr>
        <w:t xml:space="preserve">Jiří </w:t>
      </w:r>
      <w:proofErr w:type="spellStart"/>
      <w:r w:rsidR="007235C8">
        <w:rPr>
          <w:rFonts w:ascii="Arial" w:hAnsi="Arial" w:cs="Arial"/>
          <w:sz w:val="18"/>
          <w:szCs w:val="18"/>
        </w:rPr>
        <w:t>Tk</w:t>
      </w:r>
      <w:r w:rsidR="00EF7471" w:rsidRPr="00094F8C">
        <w:rPr>
          <w:rFonts w:ascii="Arial" w:hAnsi="Arial" w:cs="Arial"/>
          <w:sz w:val="18"/>
          <w:szCs w:val="18"/>
        </w:rPr>
        <w:t>áč</w:t>
      </w:r>
      <w:proofErr w:type="spellEnd"/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proofErr w:type="spellStart"/>
      <w:r w:rsidR="00897C78">
        <w:rPr>
          <w:rFonts w:ascii="Arial" w:hAnsi="Arial" w:cs="Arial"/>
          <w:sz w:val="18"/>
          <w:szCs w:val="18"/>
        </w:rPr>
        <w:t>xxx</w:t>
      </w:r>
      <w:proofErr w:type="spellEnd"/>
    </w:p>
    <w:p w:rsidR="0015721D" w:rsidRPr="00094F8C" w:rsidRDefault="000847C5" w:rsidP="00BE466C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generální ředitel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</w:p>
    <w:sectPr w:rsidR="0015721D" w:rsidRPr="00094F8C" w:rsidSect="00094F8C">
      <w:headerReference w:type="default" r:id="rId8"/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1AB" w:rsidRDefault="00B901AB" w:rsidP="00B15A96">
      <w:pPr>
        <w:spacing w:after="0" w:line="240" w:lineRule="auto"/>
      </w:pPr>
      <w:r>
        <w:separator/>
      </w:r>
    </w:p>
  </w:endnote>
  <w:endnote w:type="continuationSeparator" w:id="0">
    <w:p w:rsidR="00B901AB" w:rsidRDefault="00B901AB" w:rsidP="00B1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96" w:rsidRPr="00B15A96" w:rsidRDefault="00FD6C35">
    <w:pPr>
      <w:pStyle w:val="Zpat"/>
      <w:jc w:val="right"/>
      <w:rPr>
        <w:rFonts w:ascii="Arial" w:hAnsi="Arial" w:cs="Arial"/>
        <w:sz w:val="18"/>
        <w:szCs w:val="18"/>
      </w:rPr>
    </w:pPr>
    <w:r w:rsidRPr="00B15A96">
      <w:rPr>
        <w:rFonts w:ascii="Arial" w:hAnsi="Arial" w:cs="Arial"/>
        <w:sz w:val="18"/>
        <w:szCs w:val="18"/>
      </w:rPr>
      <w:fldChar w:fldCharType="begin"/>
    </w:r>
    <w:r w:rsidR="00B15A96" w:rsidRPr="00B15A96">
      <w:rPr>
        <w:rFonts w:ascii="Arial" w:hAnsi="Arial" w:cs="Arial"/>
        <w:sz w:val="18"/>
        <w:szCs w:val="18"/>
      </w:rPr>
      <w:instrText xml:space="preserve"> PAGE   \* MERGEFORMAT </w:instrText>
    </w:r>
    <w:r w:rsidRPr="00B15A96">
      <w:rPr>
        <w:rFonts w:ascii="Arial" w:hAnsi="Arial" w:cs="Arial"/>
        <w:sz w:val="18"/>
        <w:szCs w:val="18"/>
      </w:rPr>
      <w:fldChar w:fldCharType="separate"/>
    </w:r>
    <w:r w:rsidR="004A5078">
      <w:rPr>
        <w:rFonts w:ascii="Arial" w:hAnsi="Arial" w:cs="Arial"/>
        <w:noProof/>
        <w:sz w:val="18"/>
        <w:szCs w:val="18"/>
      </w:rPr>
      <w:t>3</w:t>
    </w:r>
    <w:r w:rsidRPr="00B15A96">
      <w:rPr>
        <w:rFonts w:ascii="Arial" w:hAnsi="Arial" w:cs="Arial"/>
        <w:sz w:val="18"/>
        <w:szCs w:val="18"/>
      </w:rPr>
      <w:fldChar w:fldCharType="end"/>
    </w:r>
  </w:p>
  <w:p w:rsidR="00B15A96" w:rsidRDefault="00B15A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1AB" w:rsidRDefault="00B901AB" w:rsidP="00B15A96">
      <w:pPr>
        <w:spacing w:after="0" w:line="240" w:lineRule="auto"/>
      </w:pPr>
      <w:r>
        <w:separator/>
      </w:r>
    </w:p>
  </w:footnote>
  <w:footnote w:type="continuationSeparator" w:id="0">
    <w:p w:rsidR="00B901AB" w:rsidRDefault="00B901AB" w:rsidP="00B1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B2" w:rsidRPr="00094F8C" w:rsidRDefault="008875B2" w:rsidP="008875B2">
    <w:pPr>
      <w:pStyle w:val="Bezmezer"/>
      <w:spacing w:after="120"/>
      <w:rPr>
        <w:rFonts w:ascii="Arial" w:hAnsi="Arial" w:cs="Arial"/>
        <w:b/>
        <w:sz w:val="18"/>
        <w:szCs w:val="18"/>
      </w:rPr>
    </w:pPr>
    <w:proofErr w:type="spellStart"/>
    <w:r w:rsidRPr="00094F8C">
      <w:rPr>
        <w:rFonts w:ascii="Arial" w:hAnsi="Arial" w:cs="Arial"/>
        <w:sz w:val="18"/>
        <w:szCs w:val="18"/>
      </w:rPr>
      <w:t>ev.č</w:t>
    </w:r>
    <w:proofErr w:type="spellEnd"/>
    <w:r w:rsidRPr="00094F8C">
      <w:rPr>
        <w:rFonts w:ascii="Arial" w:hAnsi="Arial" w:cs="Arial"/>
        <w:sz w:val="18"/>
        <w:szCs w:val="18"/>
      </w:rPr>
      <w:t>. objednatele:</w:t>
    </w:r>
    <w:r w:rsidRPr="00094F8C">
      <w:rPr>
        <w:rFonts w:ascii="Arial" w:hAnsi="Arial" w:cs="Arial"/>
        <w:b/>
        <w:sz w:val="18"/>
        <w:szCs w:val="18"/>
      </w:rPr>
      <w:t xml:space="preserve">  B 0030/12</w:t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1618"/>
    <w:multiLevelType w:val="hybridMultilevel"/>
    <w:tmpl w:val="5262E7AA"/>
    <w:lvl w:ilvl="0" w:tplc="A48C3832">
      <w:numFmt w:val="bullet"/>
      <w:lvlText w:val="-"/>
      <w:lvlJc w:val="left"/>
      <w:pPr>
        <w:ind w:left="26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>
    <w:nsid w:val="1E543B75"/>
    <w:multiLevelType w:val="multilevel"/>
    <w:tmpl w:val="90C0B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714"/>
        </w:tabs>
        <w:ind w:left="697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3237"/>
        </w:tabs>
        <w:ind w:left="3237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>
    <w:nsid w:val="5F28428C"/>
    <w:multiLevelType w:val="multilevel"/>
    <w:tmpl w:val="B8E4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7C150ED4"/>
    <w:multiLevelType w:val="multilevel"/>
    <w:tmpl w:val="A8BEF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87B"/>
    <w:rsid w:val="0000293E"/>
    <w:rsid w:val="000207B5"/>
    <w:rsid w:val="00023647"/>
    <w:rsid w:val="00032731"/>
    <w:rsid w:val="00052A2F"/>
    <w:rsid w:val="000617E7"/>
    <w:rsid w:val="00064B2C"/>
    <w:rsid w:val="000730BB"/>
    <w:rsid w:val="000847C5"/>
    <w:rsid w:val="0009196E"/>
    <w:rsid w:val="00094F8C"/>
    <w:rsid w:val="000A009B"/>
    <w:rsid w:val="000C3DA6"/>
    <w:rsid w:val="000F5CA5"/>
    <w:rsid w:val="000F5F01"/>
    <w:rsid w:val="001013C0"/>
    <w:rsid w:val="00103D6D"/>
    <w:rsid w:val="00111D9C"/>
    <w:rsid w:val="001204E6"/>
    <w:rsid w:val="00121E9E"/>
    <w:rsid w:val="00126E0F"/>
    <w:rsid w:val="0012727D"/>
    <w:rsid w:val="00134233"/>
    <w:rsid w:val="00136635"/>
    <w:rsid w:val="0015721D"/>
    <w:rsid w:val="00171C5F"/>
    <w:rsid w:val="0017278F"/>
    <w:rsid w:val="00185E48"/>
    <w:rsid w:val="001978BB"/>
    <w:rsid w:val="001A0260"/>
    <w:rsid w:val="001B717C"/>
    <w:rsid w:val="001C6218"/>
    <w:rsid w:val="002018BE"/>
    <w:rsid w:val="00210EBB"/>
    <w:rsid w:val="002119F7"/>
    <w:rsid w:val="00214CFA"/>
    <w:rsid w:val="00220E8F"/>
    <w:rsid w:val="0025328D"/>
    <w:rsid w:val="00267093"/>
    <w:rsid w:val="00276F70"/>
    <w:rsid w:val="002D3E76"/>
    <w:rsid w:val="002E1886"/>
    <w:rsid w:val="002E5C35"/>
    <w:rsid w:val="0030372C"/>
    <w:rsid w:val="00306EA9"/>
    <w:rsid w:val="00315841"/>
    <w:rsid w:val="00327AF2"/>
    <w:rsid w:val="003327CA"/>
    <w:rsid w:val="00342B17"/>
    <w:rsid w:val="00360D24"/>
    <w:rsid w:val="0036177D"/>
    <w:rsid w:val="003637E4"/>
    <w:rsid w:val="00366772"/>
    <w:rsid w:val="0038676C"/>
    <w:rsid w:val="00387593"/>
    <w:rsid w:val="003A2E35"/>
    <w:rsid w:val="003A4234"/>
    <w:rsid w:val="003C0117"/>
    <w:rsid w:val="003C2007"/>
    <w:rsid w:val="003D2567"/>
    <w:rsid w:val="003D6AF8"/>
    <w:rsid w:val="003F4995"/>
    <w:rsid w:val="003F5A89"/>
    <w:rsid w:val="00405AA3"/>
    <w:rsid w:val="00415A1A"/>
    <w:rsid w:val="004252DE"/>
    <w:rsid w:val="00452BB6"/>
    <w:rsid w:val="00477C88"/>
    <w:rsid w:val="00491708"/>
    <w:rsid w:val="00493267"/>
    <w:rsid w:val="00494156"/>
    <w:rsid w:val="004948AE"/>
    <w:rsid w:val="004A4075"/>
    <w:rsid w:val="004A5078"/>
    <w:rsid w:val="004B5064"/>
    <w:rsid w:val="004C2A2A"/>
    <w:rsid w:val="004D41F9"/>
    <w:rsid w:val="004F6D20"/>
    <w:rsid w:val="004F7078"/>
    <w:rsid w:val="00505127"/>
    <w:rsid w:val="00547DEF"/>
    <w:rsid w:val="00555C0D"/>
    <w:rsid w:val="0056447F"/>
    <w:rsid w:val="0057258B"/>
    <w:rsid w:val="0059075B"/>
    <w:rsid w:val="00591126"/>
    <w:rsid w:val="005A6A77"/>
    <w:rsid w:val="005D581F"/>
    <w:rsid w:val="005E7859"/>
    <w:rsid w:val="005F4783"/>
    <w:rsid w:val="005F62B5"/>
    <w:rsid w:val="00605E83"/>
    <w:rsid w:val="00607448"/>
    <w:rsid w:val="00613C90"/>
    <w:rsid w:val="006339A0"/>
    <w:rsid w:val="00663980"/>
    <w:rsid w:val="006675E8"/>
    <w:rsid w:val="0066774A"/>
    <w:rsid w:val="00670351"/>
    <w:rsid w:val="006B15FA"/>
    <w:rsid w:val="006B7E45"/>
    <w:rsid w:val="006C5199"/>
    <w:rsid w:val="006D35B2"/>
    <w:rsid w:val="006E06BC"/>
    <w:rsid w:val="006E2539"/>
    <w:rsid w:val="006F355B"/>
    <w:rsid w:val="006F4E5A"/>
    <w:rsid w:val="006F753C"/>
    <w:rsid w:val="00700E93"/>
    <w:rsid w:val="00715320"/>
    <w:rsid w:val="00720EA4"/>
    <w:rsid w:val="007235C8"/>
    <w:rsid w:val="00726A6B"/>
    <w:rsid w:val="00731716"/>
    <w:rsid w:val="00741A95"/>
    <w:rsid w:val="00751A2F"/>
    <w:rsid w:val="00761732"/>
    <w:rsid w:val="007940D7"/>
    <w:rsid w:val="00795FB9"/>
    <w:rsid w:val="007C738C"/>
    <w:rsid w:val="007D0E5F"/>
    <w:rsid w:val="007D7D92"/>
    <w:rsid w:val="007E6A5E"/>
    <w:rsid w:val="007E769C"/>
    <w:rsid w:val="007E7CD2"/>
    <w:rsid w:val="0080160F"/>
    <w:rsid w:val="00805995"/>
    <w:rsid w:val="008875B2"/>
    <w:rsid w:val="00893901"/>
    <w:rsid w:val="00894A8A"/>
    <w:rsid w:val="00897C78"/>
    <w:rsid w:val="008B1F65"/>
    <w:rsid w:val="008C24B8"/>
    <w:rsid w:val="008C6FF8"/>
    <w:rsid w:val="008D273E"/>
    <w:rsid w:val="008D30C3"/>
    <w:rsid w:val="008D7122"/>
    <w:rsid w:val="008E34B5"/>
    <w:rsid w:val="008F1BA5"/>
    <w:rsid w:val="008F41CC"/>
    <w:rsid w:val="008F7843"/>
    <w:rsid w:val="00904E18"/>
    <w:rsid w:val="00926BD4"/>
    <w:rsid w:val="00933248"/>
    <w:rsid w:val="00946167"/>
    <w:rsid w:val="00973167"/>
    <w:rsid w:val="009732BC"/>
    <w:rsid w:val="00993F87"/>
    <w:rsid w:val="0099602F"/>
    <w:rsid w:val="009D6F5A"/>
    <w:rsid w:val="00A13CC8"/>
    <w:rsid w:val="00A34052"/>
    <w:rsid w:val="00A547F7"/>
    <w:rsid w:val="00A672DC"/>
    <w:rsid w:val="00A87AB2"/>
    <w:rsid w:val="00A90474"/>
    <w:rsid w:val="00A97218"/>
    <w:rsid w:val="00AA1400"/>
    <w:rsid w:val="00AC4806"/>
    <w:rsid w:val="00AD6489"/>
    <w:rsid w:val="00AE28EE"/>
    <w:rsid w:val="00AE7DA2"/>
    <w:rsid w:val="00AF2DD1"/>
    <w:rsid w:val="00B12FA2"/>
    <w:rsid w:val="00B1518E"/>
    <w:rsid w:val="00B15A96"/>
    <w:rsid w:val="00B44E24"/>
    <w:rsid w:val="00B52072"/>
    <w:rsid w:val="00B52482"/>
    <w:rsid w:val="00B87207"/>
    <w:rsid w:val="00B901AB"/>
    <w:rsid w:val="00BA15B2"/>
    <w:rsid w:val="00BB3D41"/>
    <w:rsid w:val="00BC2BD7"/>
    <w:rsid w:val="00BD1241"/>
    <w:rsid w:val="00BE2656"/>
    <w:rsid w:val="00BE31E5"/>
    <w:rsid w:val="00BE466C"/>
    <w:rsid w:val="00BF1983"/>
    <w:rsid w:val="00BF732E"/>
    <w:rsid w:val="00C0455F"/>
    <w:rsid w:val="00C04D90"/>
    <w:rsid w:val="00C0743B"/>
    <w:rsid w:val="00C23C82"/>
    <w:rsid w:val="00C5728D"/>
    <w:rsid w:val="00C661E3"/>
    <w:rsid w:val="00C74315"/>
    <w:rsid w:val="00C83607"/>
    <w:rsid w:val="00CA7783"/>
    <w:rsid w:val="00CD5007"/>
    <w:rsid w:val="00CE5369"/>
    <w:rsid w:val="00CE72C9"/>
    <w:rsid w:val="00CF5471"/>
    <w:rsid w:val="00D009AF"/>
    <w:rsid w:val="00D116E5"/>
    <w:rsid w:val="00D11B2A"/>
    <w:rsid w:val="00D5003D"/>
    <w:rsid w:val="00D529B4"/>
    <w:rsid w:val="00D561BC"/>
    <w:rsid w:val="00D567C3"/>
    <w:rsid w:val="00D9009F"/>
    <w:rsid w:val="00D95F15"/>
    <w:rsid w:val="00D97054"/>
    <w:rsid w:val="00DA687B"/>
    <w:rsid w:val="00DB2008"/>
    <w:rsid w:val="00DB6769"/>
    <w:rsid w:val="00DC3BD3"/>
    <w:rsid w:val="00DC68CC"/>
    <w:rsid w:val="00DC7989"/>
    <w:rsid w:val="00DD7B6A"/>
    <w:rsid w:val="00E2475B"/>
    <w:rsid w:val="00E60880"/>
    <w:rsid w:val="00E615B1"/>
    <w:rsid w:val="00E631C8"/>
    <w:rsid w:val="00E63445"/>
    <w:rsid w:val="00E82F51"/>
    <w:rsid w:val="00E91AC7"/>
    <w:rsid w:val="00E94C79"/>
    <w:rsid w:val="00E9584E"/>
    <w:rsid w:val="00E9708E"/>
    <w:rsid w:val="00EA73FC"/>
    <w:rsid w:val="00EC7933"/>
    <w:rsid w:val="00EE3CE9"/>
    <w:rsid w:val="00EF41B3"/>
    <w:rsid w:val="00EF7471"/>
    <w:rsid w:val="00F135C6"/>
    <w:rsid w:val="00F332FA"/>
    <w:rsid w:val="00F571FE"/>
    <w:rsid w:val="00F66618"/>
    <w:rsid w:val="00F72FA5"/>
    <w:rsid w:val="00F86724"/>
    <w:rsid w:val="00F86A56"/>
    <w:rsid w:val="00F95985"/>
    <w:rsid w:val="00FA208E"/>
    <w:rsid w:val="00FC1765"/>
    <w:rsid w:val="00FC5171"/>
    <w:rsid w:val="00FD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7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003D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003D"/>
    <w:pPr>
      <w:keepLines/>
      <w:widowControl w:val="0"/>
      <w:numPr>
        <w:ilvl w:val="1"/>
        <w:numId w:val="3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003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5003D"/>
    <w:pPr>
      <w:numPr>
        <w:ilvl w:val="4"/>
        <w:numId w:val="3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A687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A687B"/>
    <w:rPr>
      <w:sz w:val="22"/>
      <w:szCs w:val="22"/>
      <w:lang w:val="cs-CZ" w:eastAsia="en-US" w:bidi="ar-SA"/>
    </w:rPr>
  </w:style>
  <w:style w:type="character" w:customStyle="1" w:styleId="Nadpis1Char">
    <w:name w:val="Nadpis 1 Char"/>
    <w:basedOn w:val="Standardnpsmoodstavce"/>
    <w:link w:val="Nadpis1"/>
    <w:rsid w:val="00D5003D"/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5003D"/>
    <w:rPr>
      <w:rFonts w:ascii="Tahoma" w:eastAsia="Times New Roman" w:hAnsi="Tahoma" w:cs="Arial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5003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D5003D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3D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615B1"/>
    <w:pPr>
      <w:spacing w:after="0" w:line="240" w:lineRule="atLeast"/>
    </w:pPr>
    <w:rPr>
      <w:rFonts w:ascii="Arial" w:eastAsia="Times New Roman" w:hAnsi="Arial"/>
      <w:sz w:val="24"/>
      <w:szCs w:val="20"/>
      <w:lang w:val="fi-FI" w:eastAsia="cs-CZ"/>
    </w:rPr>
  </w:style>
  <w:style w:type="character" w:customStyle="1" w:styleId="ZkladntextChar">
    <w:name w:val="Základní text Char"/>
    <w:basedOn w:val="Standardnpsmoodstavce"/>
    <w:link w:val="Zkladntext"/>
    <w:rsid w:val="00E615B1"/>
    <w:rPr>
      <w:rFonts w:ascii="Arial" w:eastAsia="Times New Roman" w:hAnsi="Arial"/>
      <w:sz w:val="24"/>
      <w:lang w:val="fi-FI"/>
    </w:rPr>
  </w:style>
  <w:style w:type="paragraph" w:styleId="Zhlav">
    <w:name w:val="header"/>
    <w:basedOn w:val="Normln"/>
    <w:link w:val="ZhlavChar"/>
    <w:uiPriority w:val="99"/>
    <w:unhideWhenUsed/>
    <w:rsid w:val="00B15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A9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15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A96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4075"/>
    <w:pPr>
      <w:ind w:left="720"/>
      <w:contextualSpacing/>
    </w:pPr>
  </w:style>
  <w:style w:type="paragraph" w:customStyle="1" w:styleId="Normlntuen">
    <w:name w:val="Normální tuený"/>
    <w:basedOn w:val="Normln"/>
    <w:rsid w:val="004A4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1A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1A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1A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1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1A95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5FFCE-467A-43DA-B71A-736A1261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1254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OI</dc:creator>
  <cp:lastModifiedBy>Groholova</cp:lastModifiedBy>
  <cp:revision>2</cp:revision>
  <cp:lastPrinted>2019-03-12T09:31:00Z</cp:lastPrinted>
  <dcterms:created xsi:type="dcterms:W3CDTF">2020-12-23T06:24:00Z</dcterms:created>
  <dcterms:modified xsi:type="dcterms:W3CDTF">2020-12-23T06:24:00Z</dcterms:modified>
</cp:coreProperties>
</file>