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48DD4" w14:textId="568F1F9B" w:rsidR="00515503" w:rsidRDefault="00515503" w:rsidP="00D10BE8">
      <w:pPr>
        <w:pStyle w:val="Zkladntext"/>
        <w:spacing w:line="240" w:lineRule="auto"/>
        <w:ind w:firstLine="708"/>
        <w:jc w:val="center"/>
        <w:rPr>
          <w:rFonts w:cs="Tahoma"/>
          <w:b/>
          <w:szCs w:val="22"/>
        </w:rPr>
      </w:pPr>
      <w:r w:rsidRPr="00B0617B">
        <w:rPr>
          <w:rFonts w:cs="Tahoma"/>
          <w:b/>
          <w:szCs w:val="22"/>
        </w:rPr>
        <w:t xml:space="preserve">Smlouva o </w:t>
      </w:r>
      <w:r w:rsidR="001559AF">
        <w:rPr>
          <w:rFonts w:cs="Tahoma"/>
          <w:b/>
          <w:szCs w:val="22"/>
        </w:rPr>
        <w:t>dílo</w:t>
      </w:r>
    </w:p>
    <w:p w14:paraId="5FC1A9D9" w14:textId="13BE5A9A" w:rsidR="00515503" w:rsidRDefault="00515503" w:rsidP="004C09A1">
      <w:pPr>
        <w:pStyle w:val="Zkladntext"/>
        <w:spacing w:line="240" w:lineRule="auto"/>
        <w:jc w:val="center"/>
        <w:rPr>
          <w:rFonts w:cs="Tahoma"/>
          <w:szCs w:val="22"/>
        </w:rPr>
      </w:pPr>
      <w:r w:rsidRPr="001617CE">
        <w:rPr>
          <w:rFonts w:cs="Tahoma"/>
          <w:szCs w:val="22"/>
        </w:rPr>
        <w:t xml:space="preserve">uzavřená v souladu s ustanovením § </w:t>
      </w:r>
      <w:r w:rsidR="001559AF">
        <w:rPr>
          <w:rFonts w:cs="Tahoma"/>
          <w:szCs w:val="22"/>
        </w:rPr>
        <w:t>2586 a násl.</w:t>
      </w:r>
      <w:r w:rsidRPr="001617CE">
        <w:rPr>
          <w:rFonts w:cs="Tahoma"/>
          <w:szCs w:val="22"/>
        </w:rPr>
        <w:t xml:space="preserve"> zákona č. 89/2012 Sb., občanský zákoník, ve znění pozdějších předpisů (dále jen „občanský zákoník“).</w:t>
      </w:r>
    </w:p>
    <w:p w14:paraId="239DCDA3" w14:textId="77777777" w:rsidR="00515503" w:rsidRDefault="00515503" w:rsidP="004C09A1">
      <w:pPr>
        <w:pStyle w:val="Zkladntext"/>
        <w:spacing w:line="240" w:lineRule="auto"/>
        <w:jc w:val="center"/>
        <w:rPr>
          <w:rFonts w:cs="Tahoma"/>
          <w:szCs w:val="22"/>
        </w:rPr>
      </w:pPr>
    </w:p>
    <w:p w14:paraId="6A122E60" w14:textId="77777777" w:rsidR="00515503" w:rsidRPr="001617CE" w:rsidRDefault="00515503" w:rsidP="004C09A1">
      <w:pPr>
        <w:pStyle w:val="Zkladntext"/>
        <w:spacing w:line="240" w:lineRule="auto"/>
        <w:jc w:val="both"/>
        <w:rPr>
          <w:rFonts w:cs="Tahoma"/>
          <w:b/>
          <w:szCs w:val="22"/>
        </w:rPr>
      </w:pPr>
      <w:r w:rsidRPr="001617CE">
        <w:rPr>
          <w:rFonts w:cs="Tahoma"/>
          <w:szCs w:val="22"/>
        </w:rPr>
        <w:t>Níže uvedeného dne, měsíce a roku uzavřely tyto smluvní strany</w:t>
      </w:r>
    </w:p>
    <w:p w14:paraId="568A1914" w14:textId="77777777" w:rsidR="00515503" w:rsidRPr="00BF59FB" w:rsidRDefault="00515503" w:rsidP="004C09A1">
      <w:pPr>
        <w:pStyle w:val="Zkladntext"/>
        <w:spacing w:line="240" w:lineRule="auto"/>
        <w:jc w:val="both"/>
        <w:rPr>
          <w:rFonts w:cs="Tahoma"/>
          <w:b/>
          <w:szCs w:val="22"/>
        </w:rPr>
      </w:pPr>
    </w:p>
    <w:p w14:paraId="0AF0E5F1" w14:textId="77777777" w:rsidR="00515503" w:rsidRPr="001617CE" w:rsidRDefault="00515503" w:rsidP="004C09A1">
      <w:pPr>
        <w:spacing w:after="0" w:line="240" w:lineRule="auto"/>
        <w:jc w:val="both"/>
        <w:rPr>
          <w:szCs w:val="22"/>
        </w:rPr>
      </w:pPr>
      <w:r w:rsidRPr="00515503">
        <w:rPr>
          <w:b/>
          <w:bCs/>
          <w:szCs w:val="22"/>
        </w:rPr>
        <w:t>Česká republika – Ministerstvo průmyslu a obchodu</w:t>
      </w:r>
      <w:r w:rsidRPr="001617CE">
        <w:rPr>
          <w:szCs w:val="22"/>
        </w:rPr>
        <w:t xml:space="preserve">, </w:t>
      </w:r>
    </w:p>
    <w:p w14:paraId="56B20193" w14:textId="77777777" w:rsidR="00515503" w:rsidRPr="001617CE" w:rsidRDefault="00515503" w:rsidP="004C09A1">
      <w:pPr>
        <w:spacing w:after="0" w:line="240" w:lineRule="auto"/>
        <w:jc w:val="both"/>
        <w:rPr>
          <w:szCs w:val="22"/>
        </w:rPr>
      </w:pPr>
      <w:r w:rsidRPr="001617CE">
        <w:rPr>
          <w:szCs w:val="22"/>
        </w:rPr>
        <w:t>Na Františku 32, 110 15 Praha 1</w:t>
      </w:r>
    </w:p>
    <w:p w14:paraId="05F358FF" w14:textId="08A6706F" w:rsidR="00515503" w:rsidRPr="00B0617B" w:rsidRDefault="00BA4249" w:rsidP="004C09A1">
      <w:pPr>
        <w:spacing w:after="0" w:line="240" w:lineRule="auto"/>
        <w:jc w:val="both"/>
        <w:rPr>
          <w:szCs w:val="22"/>
        </w:rPr>
      </w:pPr>
      <w:r w:rsidRPr="00BA4249">
        <w:rPr>
          <w:szCs w:val="22"/>
        </w:rPr>
        <w:t xml:space="preserve">zastoupená Ing. </w:t>
      </w:r>
      <w:proofErr w:type="spellStart"/>
      <w:r w:rsidRPr="00BA4249">
        <w:rPr>
          <w:szCs w:val="22"/>
        </w:rPr>
        <w:t>Silvanou</w:t>
      </w:r>
      <w:proofErr w:type="spellEnd"/>
      <w:r w:rsidRPr="00BA4249">
        <w:rPr>
          <w:szCs w:val="22"/>
        </w:rPr>
        <w:t xml:space="preserve"> </w:t>
      </w:r>
      <w:proofErr w:type="spellStart"/>
      <w:r w:rsidRPr="00BA4249">
        <w:rPr>
          <w:szCs w:val="22"/>
        </w:rPr>
        <w:t>Jirotkovou</w:t>
      </w:r>
      <w:proofErr w:type="spellEnd"/>
      <w:r w:rsidRPr="00BA4249">
        <w:rPr>
          <w:szCs w:val="22"/>
        </w:rPr>
        <w:t xml:space="preserve">, náměstkyní ministra </w:t>
      </w:r>
    </w:p>
    <w:p w14:paraId="63A9D406" w14:textId="2569B1F5" w:rsidR="00515503" w:rsidRPr="001617CE" w:rsidRDefault="00515503" w:rsidP="004C09A1">
      <w:pPr>
        <w:spacing w:after="0" w:line="240" w:lineRule="auto"/>
        <w:jc w:val="both"/>
        <w:rPr>
          <w:szCs w:val="22"/>
        </w:rPr>
      </w:pPr>
      <w:r w:rsidRPr="001617CE">
        <w:rPr>
          <w:szCs w:val="22"/>
        </w:rPr>
        <w:t>IČ:</w:t>
      </w:r>
      <w:r w:rsidR="00893E10">
        <w:rPr>
          <w:szCs w:val="22"/>
        </w:rPr>
        <w:t xml:space="preserve"> </w:t>
      </w:r>
      <w:r w:rsidRPr="001617CE">
        <w:rPr>
          <w:szCs w:val="22"/>
        </w:rPr>
        <w:t>47609109</w:t>
      </w:r>
    </w:p>
    <w:p w14:paraId="0537DC86" w14:textId="77777777" w:rsidR="00515503" w:rsidRPr="001617CE" w:rsidRDefault="00515503" w:rsidP="004C09A1">
      <w:pPr>
        <w:spacing w:after="0" w:line="240" w:lineRule="auto"/>
        <w:jc w:val="both"/>
        <w:rPr>
          <w:szCs w:val="22"/>
        </w:rPr>
      </w:pPr>
      <w:r w:rsidRPr="001617CE">
        <w:rPr>
          <w:szCs w:val="22"/>
        </w:rPr>
        <w:t>DIČ: v oboru své činnosti je MPO osoba nepovinná k DPH</w:t>
      </w:r>
    </w:p>
    <w:p w14:paraId="4B13BB33" w14:textId="77777777" w:rsidR="00515503" w:rsidRPr="00BD5CC6" w:rsidRDefault="00515503" w:rsidP="004C09A1">
      <w:pPr>
        <w:spacing w:after="0" w:line="240" w:lineRule="auto"/>
        <w:jc w:val="both"/>
        <w:rPr>
          <w:szCs w:val="22"/>
        </w:rPr>
      </w:pPr>
      <w:r w:rsidRPr="00BD5CC6">
        <w:rPr>
          <w:szCs w:val="22"/>
        </w:rPr>
        <w:t>Bankovní spojení: Česká národní banka, pobočka Praha</w:t>
      </w:r>
    </w:p>
    <w:p w14:paraId="4F01680C" w14:textId="1ED1A29B" w:rsidR="00515503" w:rsidRPr="001617CE" w:rsidRDefault="00515503" w:rsidP="004C09A1">
      <w:pPr>
        <w:pStyle w:val="Zkladntext"/>
        <w:spacing w:after="0" w:line="240" w:lineRule="auto"/>
        <w:jc w:val="both"/>
        <w:rPr>
          <w:szCs w:val="22"/>
        </w:rPr>
      </w:pPr>
      <w:r w:rsidRPr="001617CE">
        <w:rPr>
          <w:szCs w:val="22"/>
        </w:rPr>
        <w:t>č.</w:t>
      </w:r>
      <w:r>
        <w:rPr>
          <w:szCs w:val="22"/>
        </w:rPr>
        <w:t xml:space="preserve"> </w:t>
      </w:r>
      <w:proofErr w:type="spellStart"/>
      <w:r w:rsidRPr="001617CE">
        <w:rPr>
          <w:szCs w:val="22"/>
        </w:rPr>
        <w:t>ú.</w:t>
      </w:r>
      <w:proofErr w:type="spellEnd"/>
      <w:r w:rsidRPr="001617CE">
        <w:rPr>
          <w:szCs w:val="22"/>
        </w:rPr>
        <w:t xml:space="preserve">: </w:t>
      </w:r>
      <w:r w:rsidR="00DF6837">
        <w:rPr>
          <w:szCs w:val="22"/>
        </w:rPr>
        <w:t>XXX</w:t>
      </w:r>
    </w:p>
    <w:p w14:paraId="04016A02" w14:textId="77777777" w:rsidR="00515503" w:rsidRPr="001617CE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1617CE">
        <w:rPr>
          <w:szCs w:val="22"/>
        </w:rPr>
        <w:t>(dále jen „Partner“)</w:t>
      </w:r>
    </w:p>
    <w:p w14:paraId="454C7371" w14:textId="77777777" w:rsidR="00515503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>
        <w:rPr>
          <w:rFonts w:cs="Tahoma"/>
          <w:szCs w:val="22"/>
        </w:rPr>
        <w:t>a</w:t>
      </w:r>
    </w:p>
    <w:p w14:paraId="7C38695C" w14:textId="77777777" w:rsidR="001702FA" w:rsidRPr="001702FA" w:rsidRDefault="001702FA" w:rsidP="001702FA">
      <w:pPr>
        <w:spacing w:after="0" w:line="276" w:lineRule="auto"/>
        <w:jc w:val="both"/>
        <w:rPr>
          <w:b/>
          <w:bCs/>
          <w:szCs w:val="22"/>
        </w:rPr>
      </w:pPr>
      <w:r w:rsidRPr="001702FA">
        <w:rPr>
          <w:b/>
          <w:bCs/>
          <w:szCs w:val="22"/>
        </w:rPr>
        <w:t>Asociace malých a středních podniků a živnostníků ČR</w:t>
      </w:r>
    </w:p>
    <w:p w14:paraId="1B2EE932" w14:textId="77777777" w:rsidR="001702FA" w:rsidRDefault="001702FA" w:rsidP="001702FA">
      <w:pPr>
        <w:spacing w:after="0" w:line="276" w:lineRule="auto"/>
        <w:jc w:val="both"/>
        <w:rPr>
          <w:szCs w:val="22"/>
        </w:rPr>
      </w:pPr>
      <w:r>
        <w:rPr>
          <w:szCs w:val="22"/>
        </w:rPr>
        <w:t>Sokolovská 100/94, Praha 8 – Karlín, 186 00</w:t>
      </w:r>
    </w:p>
    <w:p w14:paraId="71B4DB48" w14:textId="77777777" w:rsidR="001702FA" w:rsidRDefault="001702FA" w:rsidP="001702FA">
      <w:pPr>
        <w:spacing w:after="0" w:line="276" w:lineRule="auto"/>
        <w:jc w:val="both"/>
        <w:rPr>
          <w:szCs w:val="22"/>
        </w:rPr>
      </w:pPr>
      <w:r>
        <w:rPr>
          <w:szCs w:val="22"/>
        </w:rPr>
        <w:t>Zastoupená: Ing. Karlem Dobešem, předsedou představenstva</w:t>
      </w:r>
    </w:p>
    <w:p w14:paraId="424D5B3B" w14:textId="77777777" w:rsidR="001702FA" w:rsidRDefault="001702FA" w:rsidP="001702FA">
      <w:pPr>
        <w:spacing w:after="0" w:line="276" w:lineRule="auto"/>
        <w:jc w:val="both"/>
        <w:rPr>
          <w:szCs w:val="22"/>
        </w:rPr>
      </w:pPr>
      <w:r>
        <w:rPr>
          <w:szCs w:val="22"/>
        </w:rPr>
        <w:t>IČ: 26547783</w:t>
      </w:r>
    </w:p>
    <w:p w14:paraId="2CB1CCDD" w14:textId="77777777" w:rsidR="001702FA" w:rsidRDefault="001702FA" w:rsidP="001702FA">
      <w:pPr>
        <w:spacing w:after="0" w:line="276" w:lineRule="auto"/>
        <w:jc w:val="both"/>
        <w:rPr>
          <w:szCs w:val="22"/>
        </w:rPr>
      </w:pPr>
      <w:r>
        <w:rPr>
          <w:szCs w:val="22"/>
        </w:rPr>
        <w:t>DIČ: CZ26547783</w:t>
      </w:r>
    </w:p>
    <w:p w14:paraId="3C0CF960" w14:textId="59CE20DE" w:rsidR="001702FA" w:rsidRDefault="001702FA" w:rsidP="001702FA">
      <w:pPr>
        <w:overflowPunct/>
        <w:autoSpaceDE/>
        <w:adjustRightInd/>
        <w:spacing w:after="0" w:line="276" w:lineRule="auto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Bankovní spojení: </w:t>
      </w:r>
      <w:r w:rsidR="00DF6837">
        <w:rPr>
          <w:rFonts w:cs="Arial"/>
          <w:bCs/>
          <w:iCs/>
          <w:szCs w:val="22"/>
        </w:rPr>
        <w:t>XXX</w:t>
      </w:r>
    </w:p>
    <w:p w14:paraId="2CE34E48" w14:textId="77777777" w:rsidR="00515503" w:rsidRPr="008F5706" w:rsidRDefault="00515503" w:rsidP="004C09A1">
      <w:pPr>
        <w:spacing w:line="240" w:lineRule="auto"/>
        <w:rPr>
          <w:szCs w:val="22"/>
        </w:rPr>
      </w:pPr>
      <w:r w:rsidRPr="008F5706">
        <w:rPr>
          <w:szCs w:val="22"/>
        </w:rPr>
        <w:t>(dále jen „Dodavatel“)</w:t>
      </w:r>
      <w:bookmarkStart w:id="0" w:name="_GoBack"/>
      <w:bookmarkEnd w:id="0"/>
    </w:p>
    <w:p w14:paraId="273EF9D9" w14:textId="0C422900" w:rsidR="00515503" w:rsidRDefault="00515503" w:rsidP="004C09A1">
      <w:pPr>
        <w:spacing w:after="120" w:line="240" w:lineRule="auto"/>
        <w:jc w:val="both"/>
        <w:rPr>
          <w:szCs w:val="22"/>
        </w:rPr>
      </w:pPr>
      <w:r w:rsidRPr="008F5706">
        <w:rPr>
          <w:szCs w:val="22"/>
        </w:rPr>
        <w:t xml:space="preserve">smlouvu o </w:t>
      </w:r>
      <w:r w:rsidR="001559AF">
        <w:rPr>
          <w:szCs w:val="22"/>
        </w:rPr>
        <w:t>dílo</w:t>
      </w:r>
      <w:r>
        <w:rPr>
          <w:szCs w:val="22"/>
        </w:rPr>
        <w:t xml:space="preserve"> </w:t>
      </w:r>
    </w:p>
    <w:p w14:paraId="488C454F" w14:textId="77777777" w:rsidR="00515503" w:rsidRPr="001617CE" w:rsidRDefault="00515503" w:rsidP="004C09A1">
      <w:pPr>
        <w:pStyle w:val="Zkladntext"/>
        <w:spacing w:line="240" w:lineRule="auto"/>
        <w:ind w:left="3540" w:firstLine="708"/>
        <w:jc w:val="both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I.</w:t>
      </w:r>
    </w:p>
    <w:p w14:paraId="484BB52D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Preambule</w:t>
      </w:r>
    </w:p>
    <w:p w14:paraId="0BC62445" w14:textId="60830353" w:rsidR="00515503" w:rsidRPr="00227B42" w:rsidRDefault="00515503" w:rsidP="00227B42">
      <w:pPr>
        <w:spacing w:after="0" w:line="240" w:lineRule="auto"/>
        <w:jc w:val="both"/>
        <w:rPr>
          <w:rFonts w:cs="Tahoma"/>
          <w:szCs w:val="22"/>
        </w:rPr>
      </w:pPr>
      <w:r w:rsidRPr="009F2181">
        <w:rPr>
          <w:rFonts w:cs="Tahoma"/>
          <w:szCs w:val="22"/>
        </w:rPr>
        <w:t xml:space="preserve">Cílem </w:t>
      </w:r>
      <w:r w:rsidR="009F2181">
        <w:rPr>
          <w:rFonts w:cs="Tahoma"/>
          <w:szCs w:val="22"/>
        </w:rPr>
        <w:t>je</w:t>
      </w:r>
      <w:r w:rsidR="001702FA">
        <w:rPr>
          <w:rFonts w:cs="Tahoma"/>
          <w:szCs w:val="22"/>
        </w:rPr>
        <w:t xml:space="preserve"> </w:t>
      </w:r>
      <w:r w:rsidR="00FA6B65">
        <w:rPr>
          <w:rFonts w:cs="Tahoma"/>
          <w:szCs w:val="22"/>
        </w:rPr>
        <w:t xml:space="preserve">zajištění hodnocení kvality rodinných firem </w:t>
      </w:r>
      <w:r w:rsidR="00D10BE8">
        <w:rPr>
          <w:rFonts w:cs="Tahoma"/>
          <w:szCs w:val="22"/>
        </w:rPr>
        <w:t xml:space="preserve">v rámci Hodnocení Národní ceny za kvalitu v rodinném podnikání, kdy hodnotitelé posuzují soutěžící rodinné obchodní korporace a rodinné živnosti přihlášené do Národní ceny za kvalitu v rodinném podnikání. </w:t>
      </w:r>
      <w:r w:rsidRPr="007F020C">
        <w:rPr>
          <w:rFonts w:cs="Tahoma"/>
          <w:szCs w:val="22"/>
        </w:rPr>
        <w:t xml:space="preserve">S ohledem na výše uvedené se Dodavatel a Partner dohodli na uzavření této smlouvy o </w:t>
      </w:r>
      <w:r w:rsidR="001559AF">
        <w:rPr>
          <w:rFonts w:cs="Tahoma"/>
          <w:szCs w:val="22"/>
        </w:rPr>
        <w:t>dílo</w:t>
      </w:r>
      <w:r w:rsidRPr="007F020C">
        <w:rPr>
          <w:rFonts w:cs="Tahoma"/>
          <w:szCs w:val="22"/>
        </w:rPr>
        <w:t xml:space="preserve"> </w:t>
      </w:r>
      <w:r w:rsidR="001559AF">
        <w:rPr>
          <w:rFonts w:cs="Tahoma"/>
          <w:szCs w:val="22"/>
        </w:rPr>
        <w:t>na</w:t>
      </w:r>
      <w:r w:rsidRPr="007F020C">
        <w:rPr>
          <w:rFonts w:cs="Tahoma"/>
          <w:szCs w:val="22"/>
        </w:rPr>
        <w:t xml:space="preserve"> </w:t>
      </w:r>
      <w:r w:rsidR="00976972">
        <w:rPr>
          <w:szCs w:val="22"/>
        </w:rPr>
        <w:t>zpracování</w:t>
      </w:r>
      <w:r w:rsidR="001702FA">
        <w:rPr>
          <w:szCs w:val="22"/>
        </w:rPr>
        <w:t xml:space="preserve"> </w:t>
      </w:r>
      <w:r w:rsidR="00BB7D94">
        <w:rPr>
          <w:szCs w:val="22"/>
        </w:rPr>
        <w:t>Hodnocení</w:t>
      </w:r>
      <w:r w:rsidR="00976972">
        <w:rPr>
          <w:szCs w:val="22"/>
        </w:rPr>
        <w:t xml:space="preserve"> </w:t>
      </w:r>
      <w:r w:rsidRPr="007F020C">
        <w:rPr>
          <w:szCs w:val="22"/>
        </w:rPr>
        <w:t xml:space="preserve">(dále jen „Smlouva“). </w:t>
      </w:r>
    </w:p>
    <w:p w14:paraId="4B6A21D7" w14:textId="77777777" w:rsidR="00515503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59825A33" w14:textId="77777777" w:rsidR="00515503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II.</w:t>
      </w:r>
    </w:p>
    <w:p w14:paraId="2A60E621" w14:textId="77777777" w:rsidR="00233A4F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>Předmět Smlouvy</w:t>
      </w:r>
    </w:p>
    <w:p w14:paraId="523CCD32" w14:textId="098A3544" w:rsidR="00227B42" w:rsidRPr="00E868ED" w:rsidRDefault="001559AF" w:rsidP="001702FA">
      <w:pPr>
        <w:spacing w:after="0" w:line="240" w:lineRule="auto"/>
        <w:jc w:val="both"/>
        <w:rPr>
          <w:rFonts w:ascii="Arial" w:hAnsi="Arial" w:cs="Arial"/>
          <w:color w:val="000000" w:themeColor="text1"/>
          <w:szCs w:val="22"/>
        </w:rPr>
      </w:pPr>
      <w:r w:rsidRPr="00227B42">
        <w:rPr>
          <w:rFonts w:cs="Tahoma"/>
          <w:szCs w:val="22"/>
        </w:rPr>
        <w:t xml:space="preserve">Předmětem Smlouvy </w:t>
      </w:r>
      <w:r w:rsidR="001702FA">
        <w:rPr>
          <w:rFonts w:cs="Tahoma"/>
          <w:szCs w:val="22"/>
        </w:rPr>
        <w:t>je</w:t>
      </w:r>
      <w:r w:rsidR="001702FA">
        <w:rPr>
          <w:rFonts w:cs="Tahoma"/>
          <w:color w:val="FF0000"/>
          <w:szCs w:val="22"/>
        </w:rPr>
        <w:t xml:space="preserve"> </w:t>
      </w:r>
      <w:r w:rsidR="00FA6B65">
        <w:rPr>
          <w:rFonts w:cs="Tahoma"/>
          <w:szCs w:val="22"/>
        </w:rPr>
        <w:t>zajištění hodnocení kvality rodinných firem</w:t>
      </w:r>
      <w:r w:rsidR="00D10BE8">
        <w:rPr>
          <w:rFonts w:cs="Tahoma"/>
          <w:szCs w:val="22"/>
        </w:rPr>
        <w:t xml:space="preserve"> v rámci Hodnocení Národní ceny za kvalitu v rodinném podnikání. </w:t>
      </w:r>
    </w:p>
    <w:p w14:paraId="7D25AECE" w14:textId="77777777" w:rsidR="004C09A1" w:rsidRDefault="004C09A1" w:rsidP="00227B42">
      <w:pPr>
        <w:pStyle w:val="Zkladntext"/>
        <w:spacing w:line="240" w:lineRule="auto"/>
        <w:rPr>
          <w:rFonts w:cs="Tahoma"/>
          <w:b/>
          <w:szCs w:val="22"/>
        </w:rPr>
      </w:pPr>
    </w:p>
    <w:p w14:paraId="0BCBDA7D" w14:textId="097C35B9" w:rsidR="00515503" w:rsidRPr="00EA531C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EA531C">
        <w:rPr>
          <w:rFonts w:cs="Tahoma"/>
          <w:b/>
          <w:szCs w:val="22"/>
        </w:rPr>
        <w:t>Čl. III.</w:t>
      </w:r>
    </w:p>
    <w:p w14:paraId="2689B651" w14:textId="5AF171AD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Závazky smluvních stran</w:t>
      </w:r>
      <w:r w:rsidR="001559AF">
        <w:rPr>
          <w:rFonts w:cs="Tahoma"/>
          <w:b/>
          <w:szCs w:val="22"/>
        </w:rPr>
        <w:t>, způsob plnění</w:t>
      </w:r>
      <w:r w:rsidR="004E4149">
        <w:rPr>
          <w:rFonts w:cs="Tahoma"/>
          <w:b/>
          <w:szCs w:val="22"/>
        </w:rPr>
        <w:t xml:space="preserve"> a termíny</w:t>
      </w:r>
    </w:p>
    <w:p w14:paraId="3AAC0A55" w14:textId="4FE0C672" w:rsidR="004C09A1" w:rsidRDefault="00AF667D" w:rsidP="004C09A1">
      <w:pPr>
        <w:pStyle w:val="Odstavecseseznamem"/>
        <w:numPr>
          <w:ilvl w:val="0"/>
          <w:numId w:val="12"/>
        </w:numPr>
        <w:tabs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contextualSpacing w:val="0"/>
        <w:jc w:val="both"/>
        <w:textAlignment w:val="auto"/>
      </w:pPr>
      <w:r w:rsidRPr="0024365B">
        <w:t>Dodavatel se zavazuje vyhodnotit př</w:t>
      </w:r>
      <w:r w:rsidR="00FB5F7A">
        <w:t>ihlášky soutěžících písemně a dále vyhodnotit vybrané firmy na místě v termínu do 10.12.2020.</w:t>
      </w:r>
    </w:p>
    <w:p w14:paraId="5A05066D" w14:textId="7490C27D" w:rsidR="006C0BAD" w:rsidRPr="0024365B" w:rsidRDefault="006C0BAD" w:rsidP="004C09A1">
      <w:pPr>
        <w:pStyle w:val="Odstavecseseznamem"/>
        <w:numPr>
          <w:ilvl w:val="0"/>
          <w:numId w:val="12"/>
        </w:numPr>
        <w:tabs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contextualSpacing w:val="0"/>
        <w:jc w:val="both"/>
        <w:textAlignment w:val="auto"/>
      </w:pPr>
      <w:r>
        <w:t>Dodavatel se zavazuje vyhodnotit na místě vybraných TOP 6 firem, které půjdou do finále</w:t>
      </w:r>
      <w:r w:rsidR="001D3AC3">
        <w:t>.</w:t>
      </w:r>
    </w:p>
    <w:p w14:paraId="1695B07D" w14:textId="577A0400" w:rsidR="009E2C7B" w:rsidRPr="004516E8" w:rsidRDefault="00AF667D" w:rsidP="004C09A1">
      <w:pPr>
        <w:pStyle w:val="Odstavecseseznamem"/>
        <w:numPr>
          <w:ilvl w:val="0"/>
          <w:numId w:val="12"/>
        </w:numPr>
        <w:tabs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contextualSpacing w:val="0"/>
        <w:jc w:val="both"/>
        <w:textAlignment w:val="auto"/>
      </w:pPr>
      <w:r>
        <w:lastRenderedPageBreak/>
        <w:t xml:space="preserve">Zpracované vyhodnocení přihlášených soutěžících Dodavatel předloží v termínu do </w:t>
      </w:r>
      <w:r w:rsidR="0051579A">
        <w:t>15</w:t>
      </w:r>
      <w:r>
        <w:t xml:space="preserve">. </w:t>
      </w:r>
      <w:r w:rsidR="006C0BAD">
        <w:t>prosince</w:t>
      </w:r>
      <w:r>
        <w:t xml:space="preserve"> Partnerovi ke schválení.</w:t>
      </w:r>
      <w:r w:rsidR="009E2C7B" w:rsidRPr="004516E8">
        <w:t xml:space="preserve"> </w:t>
      </w:r>
    </w:p>
    <w:p w14:paraId="7A884593" w14:textId="37E41F28" w:rsidR="007C6CA6" w:rsidRPr="0024365B" w:rsidRDefault="00515503" w:rsidP="004C09A1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  <w:rPr>
          <w:rFonts w:cs="Tahoma"/>
          <w:szCs w:val="22"/>
          <w:u w:val="single"/>
        </w:rPr>
      </w:pPr>
      <w:r w:rsidRPr="0024365B">
        <w:rPr>
          <w:rFonts w:cs="Tahoma"/>
          <w:szCs w:val="22"/>
        </w:rPr>
        <w:t xml:space="preserve">Dodavatel se dále zavazuje </w:t>
      </w:r>
      <w:r w:rsidR="004A6180" w:rsidRPr="0024365B">
        <w:rPr>
          <w:rFonts w:cs="Tahoma"/>
          <w:szCs w:val="22"/>
        </w:rPr>
        <w:t>ve výstupech (tisková zpráva)</w:t>
      </w:r>
      <w:r w:rsidR="00373847" w:rsidRPr="0024365B">
        <w:rPr>
          <w:rFonts w:cs="Tahoma"/>
          <w:szCs w:val="22"/>
        </w:rPr>
        <w:t xml:space="preserve"> </w:t>
      </w:r>
      <w:r w:rsidRPr="0024365B">
        <w:rPr>
          <w:rFonts w:cs="Tahoma"/>
          <w:szCs w:val="22"/>
        </w:rPr>
        <w:t xml:space="preserve">uvést </w:t>
      </w:r>
      <w:r w:rsidR="00A53466" w:rsidRPr="0024365B">
        <w:rPr>
          <w:rFonts w:cs="Tahoma"/>
          <w:szCs w:val="22"/>
        </w:rPr>
        <w:t xml:space="preserve">oficiální logo Rady kvality </w:t>
      </w:r>
      <w:r w:rsidRPr="0024365B">
        <w:rPr>
          <w:rFonts w:cs="Tahoma"/>
          <w:szCs w:val="22"/>
        </w:rPr>
        <w:t>České republiky</w:t>
      </w:r>
      <w:r w:rsidR="0051579A">
        <w:rPr>
          <w:rFonts w:cs="Tahoma"/>
          <w:szCs w:val="22"/>
        </w:rPr>
        <w:t xml:space="preserve"> </w:t>
      </w:r>
      <w:r w:rsidR="00161A35" w:rsidRPr="0024365B">
        <w:rPr>
          <w:rFonts w:cs="Tahoma"/>
          <w:szCs w:val="22"/>
        </w:rPr>
        <w:t>a současně také větu, že „</w:t>
      </w:r>
      <w:r w:rsidR="004A6180" w:rsidRPr="0024365B">
        <w:rPr>
          <w:rFonts w:cs="Tahoma"/>
          <w:szCs w:val="22"/>
        </w:rPr>
        <w:t>Hodnocení</w:t>
      </w:r>
      <w:r w:rsidR="004C5ACF" w:rsidRPr="0024365B">
        <w:rPr>
          <w:rFonts w:cs="Tahoma"/>
          <w:szCs w:val="22"/>
        </w:rPr>
        <w:t xml:space="preserve"> byl</w:t>
      </w:r>
      <w:r w:rsidR="004A6180" w:rsidRPr="0024365B">
        <w:rPr>
          <w:rFonts w:cs="Tahoma"/>
          <w:szCs w:val="22"/>
        </w:rPr>
        <w:t>o</w:t>
      </w:r>
      <w:r w:rsidR="004C5ACF" w:rsidRPr="0024365B">
        <w:rPr>
          <w:rFonts w:cs="Tahoma"/>
          <w:szCs w:val="22"/>
        </w:rPr>
        <w:t xml:space="preserve"> zpracována za finanční podpory Rady kvality České republiky</w:t>
      </w:r>
      <w:r w:rsidR="00225E8A" w:rsidRPr="0024365B">
        <w:rPr>
          <w:rFonts w:cs="Tahoma"/>
          <w:szCs w:val="22"/>
        </w:rPr>
        <w:t>“</w:t>
      </w:r>
      <w:r w:rsidR="004C5ACF" w:rsidRPr="0024365B">
        <w:rPr>
          <w:rFonts w:cs="Tahoma"/>
          <w:szCs w:val="22"/>
        </w:rPr>
        <w:t>.</w:t>
      </w:r>
      <w:r w:rsidR="00161A35" w:rsidRPr="0024365B">
        <w:rPr>
          <w:rFonts w:cs="Tahoma"/>
          <w:szCs w:val="22"/>
        </w:rPr>
        <w:t xml:space="preserve">  </w:t>
      </w:r>
    </w:p>
    <w:p w14:paraId="3FEBA097" w14:textId="1F0E4C9C" w:rsidR="00A03E50" w:rsidRPr="0024365B" w:rsidRDefault="00A03E50" w:rsidP="004C09A1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  <w:rPr>
          <w:rFonts w:cs="Tahoma"/>
          <w:szCs w:val="22"/>
          <w:u w:val="single"/>
        </w:rPr>
      </w:pPr>
      <w:r w:rsidRPr="0024365B">
        <w:rPr>
          <w:rFonts w:cs="Tahoma"/>
          <w:szCs w:val="22"/>
        </w:rPr>
        <w:t xml:space="preserve">Dodavatel se rovněž zavazuje Partnerovi zaslat návrh společné tiskové zprávy Dodavatele a Rady kvality České republiky, která bude uveřejněna </w:t>
      </w:r>
      <w:r w:rsidR="00FC07BD">
        <w:rPr>
          <w:rFonts w:cs="Tahoma"/>
          <w:szCs w:val="22"/>
        </w:rPr>
        <w:t>po slavnostním vyhlášení oceněných v roce 2021.</w:t>
      </w:r>
    </w:p>
    <w:p w14:paraId="5DF18EB9" w14:textId="5138FF74" w:rsidR="0095486F" w:rsidRPr="0024365B" w:rsidRDefault="0095486F" w:rsidP="004C09A1">
      <w:pPr>
        <w:pStyle w:val="Odstavecseseznamem"/>
        <w:numPr>
          <w:ilvl w:val="0"/>
          <w:numId w:val="12"/>
        </w:numPr>
        <w:tabs>
          <w:tab w:val="left" w:pos="284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  <w:rPr>
          <w:rFonts w:cs="Tahoma"/>
          <w:szCs w:val="22"/>
          <w:u w:val="single"/>
        </w:rPr>
      </w:pPr>
      <w:r w:rsidRPr="0024365B">
        <w:rPr>
          <w:rFonts w:cs="Tahoma"/>
          <w:szCs w:val="22"/>
        </w:rPr>
        <w:t>Partner se zavazuje</w:t>
      </w:r>
      <w:r w:rsidRPr="0024365B">
        <w:t xml:space="preserve"> dílo převzít a zaplatit za něj Dodavateli cenu, která je sjednána v</w:t>
      </w:r>
      <w:r w:rsidR="004C09A1" w:rsidRPr="0024365B">
        <w:t> </w:t>
      </w:r>
      <w:r w:rsidRPr="0024365B">
        <w:t xml:space="preserve">článku IV. </w:t>
      </w:r>
      <w:r w:rsidR="004C09A1" w:rsidRPr="0024365B">
        <w:t>O</w:t>
      </w:r>
      <w:r w:rsidRPr="0024365B">
        <w:t>dst. 1 této Smlouvy, pokud Dodavatel splní svou povinnost řádně a včas dle podmínek uvedených v</w:t>
      </w:r>
      <w:r w:rsidR="004C09A1" w:rsidRPr="0024365B">
        <w:t> </w:t>
      </w:r>
      <w:r w:rsidRPr="0024365B">
        <w:t>této Smlouvě.</w:t>
      </w:r>
    </w:p>
    <w:p w14:paraId="16FD2F58" w14:textId="4492853B" w:rsidR="0095486F" w:rsidRPr="00CC439F" w:rsidRDefault="0095486F" w:rsidP="004C09A1">
      <w:pPr>
        <w:pStyle w:val="Odstavecseseznamem"/>
        <w:tabs>
          <w:tab w:val="left" w:pos="0"/>
        </w:tabs>
        <w:overflowPunct/>
        <w:autoSpaceDE/>
        <w:autoSpaceDN/>
        <w:adjustRightInd/>
        <w:spacing w:after="240" w:line="240" w:lineRule="auto"/>
        <w:ind w:left="284" w:hanging="284"/>
        <w:jc w:val="both"/>
        <w:textAlignment w:val="auto"/>
      </w:pPr>
      <w:r>
        <w:rPr>
          <w:rFonts w:cs="Tahoma"/>
          <w:szCs w:val="22"/>
        </w:rPr>
        <w:t>6.</w:t>
      </w:r>
      <w:r w:rsidRPr="00CC439F">
        <w:rPr>
          <w:rFonts w:cs="Tahoma"/>
          <w:szCs w:val="22"/>
        </w:rPr>
        <w:t xml:space="preserve"> </w:t>
      </w:r>
      <w:r w:rsidRPr="00CC439F">
        <w:rPr>
          <w:rFonts w:cs="Tahoma"/>
        </w:rPr>
        <w:t xml:space="preserve">Smluvní strany se zavazují poskytovat si vzájemně </w:t>
      </w:r>
      <w:r w:rsidRPr="00CC439F">
        <w:t>součinnost po celou dobu plnění předmětu Smlouvy. Partner se zavazuje předávat Dodavateli informace a pokyny a na jeho písemné vyžádání jím konkretizované materiály potřebné k</w:t>
      </w:r>
      <w:r w:rsidR="004C09A1">
        <w:t> </w:t>
      </w:r>
      <w:r w:rsidRPr="00CC439F">
        <w:t>zajištění předmětu Smlouvy, pokud je má k</w:t>
      </w:r>
      <w:r w:rsidR="004C09A1">
        <w:t> </w:t>
      </w:r>
      <w:r w:rsidRPr="00CC439F">
        <w:t>dispozici, pokud je zhotovitel nemůže získat jiným způsobem a zákonné důvody nebrání jejich poskytnutí.</w:t>
      </w:r>
    </w:p>
    <w:p w14:paraId="0A0DF82C" w14:textId="22D7F123" w:rsidR="0095486F" w:rsidRDefault="0095486F" w:rsidP="004C09A1">
      <w:pPr>
        <w:pStyle w:val="Odstavecseseznamem"/>
        <w:widowControl w:val="0"/>
        <w:tabs>
          <w:tab w:val="left" w:pos="0"/>
        </w:tabs>
        <w:overflowPunct/>
        <w:spacing w:after="0" w:line="240" w:lineRule="auto"/>
        <w:ind w:left="284" w:hanging="284"/>
        <w:jc w:val="both"/>
        <w:textAlignment w:val="auto"/>
      </w:pPr>
      <w:r>
        <w:t xml:space="preserve">7. </w:t>
      </w:r>
      <w:r w:rsidRPr="00CC439F">
        <w:t xml:space="preserve"> Po převzetí </w:t>
      </w:r>
      <w:r>
        <w:t xml:space="preserve">návrhu </w:t>
      </w:r>
      <w:r w:rsidR="003F0968">
        <w:t>Hodnocení</w:t>
      </w:r>
      <w:r>
        <w:t xml:space="preserve"> </w:t>
      </w:r>
      <w:r w:rsidRPr="00CC439F">
        <w:t>v</w:t>
      </w:r>
      <w:r w:rsidR="004C09A1">
        <w:t> </w:t>
      </w:r>
      <w:r w:rsidRPr="00CC439F">
        <w:t>termín</w:t>
      </w:r>
      <w:r>
        <w:t>u</w:t>
      </w:r>
      <w:r w:rsidRPr="00CC439F">
        <w:t xml:space="preserve"> sjednan</w:t>
      </w:r>
      <w:r>
        <w:t>ém</w:t>
      </w:r>
      <w:r w:rsidRPr="00CC439F">
        <w:t xml:space="preserve"> v</w:t>
      </w:r>
      <w:r w:rsidR="004C09A1">
        <w:t> </w:t>
      </w:r>
      <w:r w:rsidRPr="00CC439F">
        <w:t>tomto článku Partner provede je</w:t>
      </w:r>
      <w:r>
        <w:t>jí</w:t>
      </w:r>
      <w:r w:rsidRPr="00CC439F">
        <w:t xml:space="preserve"> akceptaci, a to do 5 pracovních dnů ode dne jejich převzetí. V</w:t>
      </w:r>
      <w:r w:rsidR="004C09A1">
        <w:t> </w:t>
      </w:r>
      <w:r w:rsidRPr="00CC439F">
        <w:t>případě, že budou v</w:t>
      </w:r>
      <w:r w:rsidR="004C09A1">
        <w:t> </w:t>
      </w:r>
      <w:r w:rsidRPr="00CC439F">
        <w:t>odevzdan</w:t>
      </w:r>
      <w:r>
        <w:t>é</w:t>
      </w:r>
      <w:r w:rsidR="001D3AC3">
        <w:t>m</w:t>
      </w:r>
      <w:r>
        <w:t xml:space="preserve"> </w:t>
      </w:r>
      <w:r w:rsidR="001D3AC3">
        <w:t>Hodnocení</w:t>
      </w:r>
      <w:r w:rsidRPr="00CC439F">
        <w:t xml:space="preserve"> během akceptační doby shledány nedostatky, vrátí Partner</w:t>
      </w:r>
      <w:r w:rsidR="001702FA">
        <w:t xml:space="preserve"> </w:t>
      </w:r>
      <w:r w:rsidR="003F0968">
        <w:t>Hodnocení</w:t>
      </w:r>
      <w:r w:rsidRPr="00CC439F">
        <w:t xml:space="preserve"> Dodavateli k</w:t>
      </w:r>
      <w:r w:rsidR="004C09A1">
        <w:t> </w:t>
      </w:r>
      <w:r w:rsidRPr="00CC439F">
        <w:t xml:space="preserve">přepracování. Dodavatel odstraní tyto nedostatky ve lhůtě do 5 pracovních dnů od vrácení </w:t>
      </w:r>
      <w:r w:rsidR="003F0968">
        <w:t>Hodnocení</w:t>
      </w:r>
      <w:r w:rsidRPr="00CC439F">
        <w:t xml:space="preserve"> k</w:t>
      </w:r>
      <w:r w:rsidR="004C09A1">
        <w:t> </w:t>
      </w:r>
      <w:r w:rsidRPr="00CC439F">
        <w:t xml:space="preserve">přepracování. Odevzdáním </w:t>
      </w:r>
      <w:r w:rsidR="003F0968">
        <w:t>Hodnocení</w:t>
      </w:r>
      <w:r w:rsidRPr="00CC439F">
        <w:t xml:space="preserve"> po odstranění nedostatků počíná běžet nová akceptační lhůta v</w:t>
      </w:r>
      <w:r w:rsidR="004C09A1">
        <w:t> </w:t>
      </w:r>
      <w:r w:rsidRPr="00CC439F">
        <w:t>délce 5</w:t>
      </w:r>
      <w:r w:rsidR="001A1DFC">
        <w:t> </w:t>
      </w:r>
      <w:r w:rsidRPr="00CC439F">
        <w:t>pracovních dní. Nezašle-li osoba zmocněná k</w:t>
      </w:r>
      <w:r w:rsidR="004C09A1">
        <w:t> </w:t>
      </w:r>
      <w:r w:rsidRPr="00CC439F">
        <w:t>jednání za Partnera shledané nedostatky do 5</w:t>
      </w:r>
      <w:r w:rsidR="001A1DFC">
        <w:t> </w:t>
      </w:r>
      <w:r w:rsidRPr="00CC439F">
        <w:t>pracovních dnů Dodavateli, j</w:t>
      </w:r>
      <w:r>
        <w:t xml:space="preserve">e </w:t>
      </w:r>
      <w:r w:rsidR="00F460CC">
        <w:t>Hodnocení</w:t>
      </w:r>
      <w:r w:rsidRPr="00CC439F">
        <w:t xml:space="preserve"> uplynutím této lhůty považovan</w:t>
      </w:r>
      <w:r>
        <w:t>á</w:t>
      </w:r>
      <w:r w:rsidRPr="00CC439F">
        <w:t xml:space="preserve"> za akceptovan</w:t>
      </w:r>
      <w:r>
        <w:t>ou</w:t>
      </w:r>
      <w:r w:rsidRPr="00CC439F">
        <w:t xml:space="preserve">. Po úspěšné akceptaci </w:t>
      </w:r>
      <w:r w:rsidR="003F0968">
        <w:t>Hodnocení</w:t>
      </w:r>
      <w:r w:rsidRPr="00CC439F">
        <w:t xml:space="preserve"> podepíší osoby zmocněné k</w:t>
      </w:r>
      <w:r w:rsidR="004C09A1">
        <w:t> </w:t>
      </w:r>
      <w:r w:rsidRPr="00CC439F">
        <w:t xml:space="preserve">jednání akceptační protokoly, jako podklad pro vystavení faktury. Akceptační protokol o úspěšné akceptaci </w:t>
      </w:r>
      <w:r w:rsidR="003F0968">
        <w:t>Hodnocení</w:t>
      </w:r>
      <w:r w:rsidRPr="00CC439F">
        <w:t xml:space="preserve"> potvrzená Partnerem, </w:t>
      </w:r>
      <w:r>
        <w:t>je</w:t>
      </w:r>
      <w:r w:rsidRPr="00CC439F">
        <w:t xml:space="preserve"> podkladem pro vystavení faktury Dodavatelem a tvoří její nedílnou součást.</w:t>
      </w:r>
    </w:p>
    <w:p w14:paraId="0B1EB9DF" w14:textId="572B990F" w:rsidR="0095486F" w:rsidRPr="00CC439F" w:rsidRDefault="0095486F" w:rsidP="004C09A1">
      <w:pPr>
        <w:pStyle w:val="Odstavecseseznamem"/>
        <w:numPr>
          <w:ilvl w:val="0"/>
          <w:numId w:val="9"/>
        </w:numPr>
        <w:spacing w:after="0" w:line="240" w:lineRule="auto"/>
        <w:ind w:left="284" w:hanging="284"/>
        <w:jc w:val="both"/>
      </w:pPr>
      <w:r w:rsidRPr="00CC439F">
        <w:t xml:space="preserve">Dodavatel </w:t>
      </w:r>
      <w:r w:rsidR="003F2EC4">
        <w:t>smí pověřit zhotovením díla třetí osobu v souladu s § 2589 zákona č. 89/2012 Sb., občanský zákoník.</w:t>
      </w:r>
    </w:p>
    <w:p w14:paraId="0EF5DF17" w14:textId="77777777" w:rsidR="004C09A1" w:rsidRDefault="004C09A1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</w:p>
    <w:p w14:paraId="3D19DA97" w14:textId="39F1DE9C" w:rsidR="00515503" w:rsidRPr="008E032F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8E032F">
        <w:rPr>
          <w:rFonts w:cs="Tahoma"/>
          <w:b/>
          <w:szCs w:val="22"/>
        </w:rPr>
        <w:t>Čl. IV.</w:t>
      </w:r>
    </w:p>
    <w:p w14:paraId="23E39D1D" w14:textId="77777777" w:rsidR="00515503" w:rsidRPr="008E032F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8E032F">
        <w:rPr>
          <w:rFonts w:cs="Tahoma"/>
          <w:b/>
          <w:szCs w:val="22"/>
        </w:rPr>
        <w:t>Cena a platební podmínky</w:t>
      </w:r>
    </w:p>
    <w:p w14:paraId="6E0F153C" w14:textId="380EFA52" w:rsidR="00515503" w:rsidRPr="008E032F" w:rsidRDefault="008E032F" w:rsidP="004C09A1">
      <w:pPr>
        <w:pStyle w:val="Zkladntext"/>
        <w:widowControl w:val="0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cs="Tahoma"/>
          <w:szCs w:val="22"/>
        </w:rPr>
      </w:pPr>
      <w:r w:rsidRPr="008E032F">
        <w:rPr>
          <w:rFonts w:cs="Tahoma"/>
          <w:szCs w:val="22"/>
        </w:rPr>
        <w:t>Celková</w:t>
      </w:r>
      <w:r w:rsidR="004263AD" w:rsidRPr="008E032F">
        <w:rPr>
          <w:rFonts w:cs="Tahoma"/>
          <w:szCs w:val="22"/>
        </w:rPr>
        <w:t xml:space="preserve"> cena nákladů</w:t>
      </w:r>
      <w:r w:rsidR="00515503" w:rsidRPr="008E032F">
        <w:rPr>
          <w:rFonts w:cs="Tahoma"/>
          <w:szCs w:val="22"/>
        </w:rPr>
        <w:t xml:space="preserve"> za plnění dle Smlouvy činí </w:t>
      </w:r>
      <w:r w:rsidR="0024365B" w:rsidRPr="0024365B">
        <w:rPr>
          <w:rFonts w:cs="Tahoma"/>
          <w:szCs w:val="22"/>
        </w:rPr>
        <w:t>99</w:t>
      </w:r>
      <w:r w:rsidR="00AF6FD8" w:rsidRPr="0024365B">
        <w:rPr>
          <w:rFonts w:cs="Tahoma"/>
          <w:szCs w:val="22"/>
        </w:rPr>
        <w:t>.</w:t>
      </w:r>
      <w:r w:rsidR="0024365B" w:rsidRPr="0024365B">
        <w:rPr>
          <w:rFonts w:cs="Tahoma"/>
          <w:szCs w:val="22"/>
        </w:rPr>
        <w:t>6</w:t>
      </w:r>
      <w:r w:rsidR="00AF6FD8" w:rsidRPr="0024365B">
        <w:rPr>
          <w:rFonts w:cs="Tahoma"/>
          <w:szCs w:val="22"/>
        </w:rPr>
        <w:t>00</w:t>
      </w:r>
      <w:r w:rsidR="00515503" w:rsidRPr="008E032F">
        <w:rPr>
          <w:rFonts w:cs="Tahoma"/>
          <w:szCs w:val="22"/>
        </w:rPr>
        <w:t xml:space="preserve">,- Kč (slovy: </w:t>
      </w:r>
      <w:r w:rsidR="0024365B">
        <w:rPr>
          <w:rFonts w:cs="Tahoma"/>
          <w:szCs w:val="22"/>
        </w:rPr>
        <w:t>devadesát devět</w:t>
      </w:r>
      <w:r w:rsidR="00107676" w:rsidRPr="008E032F">
        <w:rPr>
          <w:rFonts w:cs="Tahoma"/>
          <w:szCs w:val="22"/>
        </w:rPr>
        <w:t xml:space="preserve"> tisíc</w:t>
      </w:r>
      <w:r w:rsidR="0024365B">
        <w:rPr>
          <w:rFonts w:cs="Tahoma"/>
          <w:szCs w:val="22"/>
        </w:rPr>
        <w:t xml:space="preserve"> šest set</w:t>
      </w:r>
      <w:r w:rsidR="00515503" w:rsidRPr="008E032F">
        <w:rPr>
          <w:rFonts w:cs="Tahoma"/>
          <w:szCs w:val="22"/>
        </w:rPr>
        <w:t xml:space="preserve"> korun českých) bez DPH. </w:t>
      </w:r>
      <w:r w:rsidRPr="008E032F">
        <w:rPr>
          <w:rFonts w:cs="Tahoma"/>
          <w:szCs w:val="22"/>
        </w:rPr>
        <w:t>Celková</w:t>
      </w:r>
      <w:r w:rsidR="004263AD" w:rsidRPr="008E032F">
        <w:rPr>
          <w:rFonts w:cs="Tahoma"/>
          <w:szCs w:val="22"/>
        </w:rPr>
        <w:t xml:space="preserve"> cena nákladů </w:t>
      </w:r>
      <w:r w:rsidR="00515503" w:rsidRPr="008E032F">
        <w:rPr>
          <w:rFonts w:cs="Tahoma"/>
          <w:szCs w:val="22"/>
        </w:rPr>
        <w:t xml:space="preserve">je konečná a nejvýše přípustná a zahrnuje </w:t>
      </w:r>
      <w:r w:rsidR="004263AD" w:rsidRPr="008E032F">
        <w:rPr>
          <w:rFonts w:cs="Tahoma"/>
          <w:szCs w:val="22"/>
        </w:rPr>
        <w:t>částečné</w:t>
      </w:r>
      <w:r w:rsidR="00515503" w:rsidRPr="008E032F">
        <w:rPr>
          <w:rFonts w:cs="Tahoma"/>
          <w:szCs w:val="22"/>
        </w:rPr>
        <w:t xml:space="preserve"> náklady Dodavatele v</w:t>
      </w:r>
      <w:r w:rsidR="004C09A1" w:rsidRPr="008E032F">
        <w:rPr>
          <w:rFonts w:cs="Tahoma"/>
          <w:szCs w:val="22"/>
        </w:rPr>
        <w:t> </w:t>
      </w:r>
      <w:r w:rsidR="00515503" w:rsidRPr="008E032F">
        <w:rPr>
          <w:rFonts w:cs="Tahoma"/>
          <w:szCs w:val="22"/>
        </w:rPr>
        <w:t>souvislosti s</w:t>
      </w:r>
      <w:r w:rsidR="004C09A1" w:rsidRPr="008E032F">
        <w:rPr>
          <w:rFonts w:cs="Tahoma"/>
          <w:szCs w:val="22"/>
        </w:rPr>
        <w:t> </w:t>
      </w:r>
      <w:r w:rsidR="00515503" w:rsidRPr="008E032F">
        <w:rPr>
          <w:rFonts w:cs="Tahoma"/>
          <w:szCs w:val="22"/>
        </w:rPr>
        <w:t>plněním smlouvy.</w:t>
      </w:r>
    </w:p>
    <w:p w14:paraId="53AE855F" w14:textId="31179D68" w:rsidR="00515503" w:rsidRPr="001617CE" w:rsidRDefault="008E032F" w:rsidP="004C09A1">
      <w:pPr>
        <w:pStyle w:val="Zkladntext"/>
        <w:widowControl w:val="0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cs="Tahoma"/>
          <w:szCs w:val="22"/>
        </w:rPr>
      </w:pPr>
      <w:r w:rsidRPr="008E032F">
        <w:rPr>
          <w:rFonts w:cs="Tahoma"/>
          <w:szCs w:val="22"/>
        </w:rPr>
        <w:t>C</w:t>
      </w:r>
      <w:r w:rsidR="00515503" w:rsidRPr="008E032F">
        <w:rPr>
          <w:rFonts w:cs="Tahoma"/>
          <w:szCs w:val="22"/>
        </w:rPr>
        <w:t xml:space="preserve">enu uhradí Partner na základě daňového dokladu – faktury (dále jen: „faktura“) vystavené Dodavatelem. Dodavatel je oprávněn vystavit fakturu podle odstavce 1 tohoto článku Smlouvy po splnění závazků podle Čl. III. </w:t>
      </w:r>
      <w:r w:rsidR="004C09A1" w:rsidRPr="008E032F">
        <w:rPr>
          <w:rFonts w:cs="Tahoma"/>
          <w:szCs w:val="22"/>
        </w:rPr>
        <w:t>T</w:t>
      </w:r>
      <w:r w:rsidR="00515503" w:rsidRPr="008E032F">
        <w:rPr>
          <w:rFonts w:cs="Tahoma"/>
          <w:szCs w:val="22"/>
        </w:rPr>
        <w:t xml:space="preserve">éto Smlouvy, po </w:t>
      </w:r>
      <w:r w:rsidR="00315700" w:rsidRPr="008E032F">
        <w:rPr>
          <w:rFonts w:cs="Tahoma"/>
          <w:szCs w:val="22"/>
        </w:rPr>
        <w:t>uveřejn</w:t>
      </w:r>
      <w:r w:rsidR="00315700">
        <w:rPr>
          <w:rFonts w:cs="Tahoma"/>
          <w:szCs w:val="22"/>
        </w:rPr>
        <w:t>ění</w:t>
      </w:r>
      <w:r w:rsidR="003E08F0">
        <w:rPr>
          <w:rFonts w:cs="Tahoma"/>
          <w:szCs w:val="22"/>
        </w:rPr>
        <w:t xml:space="preserve"> </w:t>
      </w:r>
      <w:r w:rsidR="00713C44">
        <w:rPr>
          <w:rFonts w:cs="Tahoma"/>
          <w:szCs w:val="22"/>
        </w:rPr>
        <w:t>Hodnocení</w:t>
      </w:r>
      <w:r w:rsidR="00515503">
        <w:rPr>
          <w:rFonts w:cs="Tahoma"/>
          <w:szCs w:val="22"/>
        </w:rPr>
        <w:t xml:space="preserve"> a podpisu akceptačního protokolu</w:t>
      </w:r>
      <w:r w:rsidR="00515503" w:rsidRPr="001617CE">
        <w:rPr>
          <w:rFonts w:cs="Tahoma"/>
          <w:szCs w:val="22"/>
        </w:rPr>
        <w:t xml:space="preserve">. </w:t>
      </w:r>
    </w:p>
    <w:p w14:paraId="693F80F9" w14:textId="32E6DFF7" w:rsidR="00515503" w:rsidRPr="00AD17B3" w:rsidRDefault="00515503" w:rsidP="004C09A1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Nebude-li faktura obsahovat zákonem a touto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mlouvou stanovené náležitost</w:t>
      </w:r>
      <w:r>
        <w:rPr>
          <w:rFonts w:asciiTheme="minorHAnsi" w:hAnsiTheme="minorHAnsi" w:cs="Times New Roman"/>
        </w:rPr>
        <w:t>i</w:t>
      </w:r>
      <w:r w:rsidRPr="00AD17B3">
        <w:rPr>
          <w:rFonts w:asciiTheme="minorHAnsi" w:hAnsiTheme="minorHAnsi" w:cs="Times New Roman"/>
        </w:rPr>
        <w:t xml:space="preserve"> nebo bude-li obsahovat chybné údaje,</w:t>
      </w:r>
      <w:r>
        <w:rPr>
          <w:rFonts w:asciiTheme="minorHAnsi" w:hAnsiTheme="minorHAnsi" w:cs="Times New Roman"/>
        </w:rPr>
        <w:t xml:space="preserve"> nebo nebude-li přiložena kopie akceptačního protokolu,</w:t>
      </w:r>
      <w:r w:rsidRPr="00AD17B3">
        <w:rPr>
          <w:rFonts w:asciiTheme="minorHAnsi" w:hAnsiTheme="minorHAnsi" w:cs="Times New Roman"/>
        </w:rPr>
        <w:t xml:space="preserve"> je </w:t>
      </w:r>
      <w:r>
        <w:rPr>
          <w:rFonts w:asciiTheme="minorHAnsi" w:hAnsiTheme="minorHAnsi" w:cs="Times New Roman"/>
        </w:rPr>
        <w:t>Partner</w:t>
      </w:r>
      <w:r w:rsidRPr="00AD17B3">
        <w:rPr>
          <w:rFonts w:asciiTheme="minorHAnsi" w:hAnsiTheme="minorHAnsi" w:cs="Times New Roman"/>
        </w:rPr>
        <w:t xml:space="preserve"> oprávněn fakturu před uplynutím lhůty splatnosti vrátit </w:t>
      </w:r>
      <w:r>
        <w:rPr>
          <w:rFonts w:asciiTheme="minorHAnsi" w:hAnsiTheme="minorHAnsi" w:cs="Times New Roman"/>
        </w:rPr>
        <w:t>Dodavateli</w:t>
      </w:r>
      <w:r w:rsidRPr="00AD17B3">
        <w:rPr>
          <w:rFonts w:asciiTheme="minorHAnsi" w:hAnsiTheme="minorHAnsi" w:cs="Times New Roman"/>
        </w:rPr>
        <w:t xml:space="preserve"> k</w:t>
      </w:r>
      <w:r w:rsidR="004C09A1"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provedení opravy. Ve vrácené faktuře vyznačí důvod vrácení. </w:t>
      </w:r>
      <w:r>
        <w:rPr>
          <w:rFonts w:asciiTheme="minorHAnsi" w:hAnsiTheme="minorHAnsi" w:cs="Times New Roman"/>
        </w:rPr>
        <w:t xml:space="preserve">Dodavatel </w:t>
      </w:r>
      <w:r w:rsidRPr="00AD17B3">
        <w:rPr>
          <w:rFonts w:asciiTheme="minorHAnsi" w:hAnsiTheme="minorHAnsi" w:cs="Times New Roman"/>
        </w:rPr>
        <w:t xml:space="preserve">provede opravu vystavením nové faktury. Od doby odeslání vadné faktury přestává běžet původní lhůta splatnosti. Celá lhůta splatnosti běží opět ode dne doručení nově vyhotovené faktury </w:t>
      </w:r>
      <w:r>
        <w:rPr>
          <w:rFonts w:asciiTheme="minorHAnsi" w:hAnsiTheme="minorHAnsi" w:cs="Times New Roman"/>
        </w:rPr>
        <w:t>Partnerovi</w:t>
      </w:r>
      <w:r w:rsidRPr="00AD17B3">
        <w:rPr>
          <w:rFonts w:asciiTheme="minorHAnsi" w:hAnsiTheme="minorHAnsi" w:cs="Times New Roman"/>
        </w:rPr>
        <w:t>.</w:t>
      </w:r>
    </w:p>
    <w:p w14:paraId="4443CD23" w14:textId="29F9B7A0" w:rsidR="00515503" w:rsidRPr="00B00C03" w:rsidRDefault="00515503" w:rsidP="004C09A1">
      <w:pPr>
        <w:pStyle w:val="Odstavecseseznamem"/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eastAsia="Calibri"/>
          <w:szCs w:val="22"/>
          <w:lang w:eastAsia="en-US"/>
        </w:rPr>
      </w:pPr>
      <w:r w:rsidRPr="00B00C03">
        <w:rPr>
          <w:rFonts w:eastAsia="Calibri"/>
          <w:szCs w:val="22"/>
          <w:lang w:eastAsia="en-US"/>
        </w:rPr>
        <w:t>Podkladem pro úhradu smluvní ceny je faktura, která bude mít náležitosti dle zákona č. 235/2004 Sb., o dani z</w:t>
      </w:r>
      <w:r w:rsidR="004C09A1">
        <w:rPr>
          <w:rFonts w:eastAsia="Calibri"/>
          <w:szCs w:val="22"/>
          <w:lang w:eastAsia="en-US"/>
        </w:rPr>
        <w:t> </w:t>
      </w:r>
      <w:r w:rsidRPr="00B00C03">
        <w:rPr>
          <w:rFonts w:eastAsia="Calibri"/>
          <w:szCs w:val="22"/>
          <w:lang w:eastAsia="en-US"/>
        </w:rPr>
        <w:t xml:space="preserve">přidané hodnoty, zákona č. 563/1991 Sb., o účetnictví, a § 435 občanského zákoníku, to vše ve znění pozdějších předpisů. </w:t>
      </w:r>
    </w:p>
    <w:p w14:paraId="78219B24" w14:textId="77777777" w:rsidR="00515503" w:rsidRPr="00B00C03" w:rsidRDefault="00515503" w:rsidP="004C09A1">
      <w:pPr>
        <w:pStyle w:val="Zkladntext"/>
        <w:widowControl w:val="0"/>
        <w:numPr>
          <w:ilvl w:val="0"/>
          <w:numId w:val="1"/>
        </w:numPr>
        <w:tabs>
          <w:tab w:val="left" w:pos="284"/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eastAsia="Calibri"/>
          <w:szCs w:val="22"/>
          <w:lang w:eastAsia="en-US"/>
        </w:rPr>
      </w:pPr>
      <w:r w:rsidRPr="00B00C03">
        <w:rPr>
          <w:rFonts w:eastAsia="Calibri"/>
          <w:szCs w:val="22"/>
          <w:lang w:eastAsia="en-US"/>
        </w:rPr>
        <w:t>Fakturační adresa Partnera je Ministerstvo průmyslu a obchodu, Na Františku 32, 110 15 Praha 1.</w:t>
      </w:r>
    </w:p>
    <w:p w14:paraId="3C49B5B4" w14:textId="77777777" w:rsidR="00515503" w:rsidRPr="00B00C03" w:rsidRDefault="00515503" w:rsidP="004C09A1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Partner</w:t>
      </w:r>
      <w:r w:rsidRPr="00AD17B3">
        <w:rPr>
          <w:rFonts w:asciiTheme="minorHAnsi" w:hAnsiTheme="minorHAnsi" w:cs="Times New Roman"/>
        </w:rPr>
        <w:t xml:space="preserve"> neposkytuje jakékoliv zálohy ceny na úhradu předmětu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mlouvy.</w:t>
      </w:r>
    </w:p>
    <w:p w14:paraId="72CC9D85" w14:textId="77777777" w:rsidR="00515503" w:rsidRPr="00AD17B3" w:rsidRDefault="00515503" w:rsidP="004C09A1">
      <w:pPr>
        <w:pStyle w:val="Odstavecseseznamem"/>
        <w:numPr>
          <w:ilvl w:val="0"/>
          <w:numId w:val="1"/>
        </w:numPr>
        <w:tabs>
          <w:tab w:val="left" w:pos="284"/>
        </w:tabs>
        <w:overflowPunct/>
        <w:adjustRightInd/>
        <w:spacing w:after="0" w:line="240" w:lineRule="auto"/>
        <w:ind w:left="284" w:hanging="284"/>
        <w:jc w:val="both"/>
        <w:textAlignment w:val="auto"/>
        <w:rPr>
          <w:rFonts w:eastAsia="Calibri"/>
          <w:szCs w:val="22"/>
          <w:lang w:eastAsia="en-US"/>
        </w:rPr>
      </w:pPr>
      <w:r w:rsidRPr="00AD17B3">
        <w:rPr>
          <w:rFonts w:eastAsia="Calibri"/>
          <w:szCs w:val="22"/>
          <w:lang w:eastAsia="en-US"/>
        </w:rPr>
        <w:lastRenderedPageBreak/>
        <w:t xml:space="preserve">Lhůta splatnosti faktury je 30 dnů a začíná běžet dne následujícího po dni jejího prokazatelného doručení </w:t>
      </w:r>
      <w:r>
        <w:rPr>
          <w:rFonts w:eastAsia="Calibri"/>
          <w:szCs w:val="22"/>
          <w:lang w:eastAsia="en-US"/>
        </w:rPr>
        <w:t>Partnerovi</w:t>
      </w:r>
      <w:r w:rsidRPr="00AD17B3">
        <w:rPr>
          <w:rFonts w:eastAsia="Calibri"/>
          <w:szCs w:val="22"/>
          <w:lang w:eastAsia="en-US"/>
        </w:rPr>
        <w:t xml:space="preserve">. Faktura se platí bezhotovostním převodem ve prospěch bankovního účtu </w:t>
      </w:r>
      <w:r>
        <w:rPr>
          <w:rFonts w:eastAsia="Calibri"/>
          <w:szCs w:val="22"/>
          <w:lang w:eastAsia="en-US"/>
        </w:rPr>
        <w:t>Dodavatele</w:t>
      </w:r>
      <w:r w:rsidRPr="00AD17B3">
        <w:rPr>
          <w:rFonts w:eastAsia="Calibri"/>
          <w:szCs w:val="22"/>
          <w:lang w:eastAsia="en-US"/>
        </w:rPr>
        <w:t>.</w:t>
      </w:r>
    </w:p>
    <w:p w14:paraId="2EC3DD12" w14:textId="486972E7" w:rsidR="00515503" w:rsidRPr="00AD17B3" w:rsidRDefault="00515503" w:rsidP="004C09A1">
      <w:pPr>
        <w:pStyle w:val="lnek05"/>
        <w:numPr>
          <w:ilvl w:val="0"/>
          <w:numId w:val="1"/>
        </w:numPr>
        <w:tabs>
          <w:tab w:val="clear" w:pos="426"/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Dnem zaplacení </w:t>
      </w:r>
      <w:r w:rsidRPr="00F0439C">
        <w:rPr>
          <w:rFonts w:asciiTheme="minorHAnsi" w:hAnsiTheme="minorHAnsi" w:cs="Times New Roman"/>
        </w:rPr>
        <w:t>ceny předmětu s</w:t>
      </w:r>
      <w:r w:rsidRPr="00AD17B3">
        <w:rPr>
          <w:rFonts w:asciiTheme="minorHAnsi" w:hAnsiTheme="minorHAnsi" w:cs="Times New Roman"/>
        </w:rPr>
        <w:t xml:space="preserve">mlouvy se pro účely této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rozumí den odepsání ceny z</w:t>
      </w:r>
      <w:r w:rsidR="004C09A1"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účtu </w:t>
      </w:r>
      <w:r>
        <w:rPr>
          <w:rFonts w:asciiTheme="minorHAnsi" w:hAnsiTheme="minorHAnsi" w:cs="Times New Roman"/>
        </w:rPr>
        <w:t>Partnera</w:t>
      </w:r>
      <w:r w:rsidRPr="00AD17B3">
        <w:rPr>
          <w:rFonts w:asciiTheme="minorHAnsi" w:hAnsiTheme="minorHAnsi" w:cs="Times New Roman"/>
        </w:rPr>
        <w:t>.</w:t>
      </w:r>
    </w:p>
    <w:p w14:paraId="2B04C8CB" w14:textId="77777777" w:rsidR="00515503" w:rsidRDefault="00515503" w:rsidP="004C09A1">
      <w:pPr>
        <w:pStyle w:val="Zkladntext"/>
        <w:spacing w:line="240" w:lineRule="auto"/>
        <w:jc w:val="both"/>
        <w:rPr>
          <w:rFonts w:cs="Tahoma"/>
          <w:b/>
          <w:szCs w:val="22"/>
        </w:rPr>
      </w:pPr>
    </w:p>
    <w:p w14:paraId="0322C908" w14:textId="77777777" w:rsidR="004C09A1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Čl. </w:t>
      </w:r>
      <w:r w:rsidRPr="001617CE">
        <w:rPr>
          <w:rFonts w:cs="Tahoma"/>
          <w:b/>
          <w:szCs w:val="22"/>
        </w:rPr>
        <w:t>V.</w:t>
      </w:r>
    </w:p>
    <w:p w14:paraId="68523567" w14:textId="14C27582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>
        <w:rPr>
          <w:rFonts w:cs="Tahoma"/>
          <w:b/>
          <w:szCs w:val="22"/>
        </w:rPr>
        <w:t xml:space="preserve"> Sankce</w:t>
      </w:r>
      <w:r w:rsidRPr="001617CE">
        <w:rPr>
          <w:rFonts w:cs="Tahoma"/>
          <w:b/>
          <w:szCs w:val="22"/>
        </w:rPr>
        <w:t xml:space="preserve"> a odstoupení od </w:t>
      </w:r>
      <w:r>
        <w:rPr>
          <w:rFonts w:cs="Tahoma"/>
          <w:b/>
          <w:szCs w:val="22"/>
        </w:rPr>
        <w:t>S</w:t>
      </w:r>
      <w:r w:rsidRPr="001617CE">
        <w:rPr>
          <w:rFonts w:cs="Tahoma"/>
          <w:b/>
          <w:szCs w:val="22"/>
        </w:rPr>
        <w:t>mlouvy</w:t>
      </w:r>
    </w:p>
    <w:p w14:paraId="34D78C81" w14:textId="6DC63405" w:rsidR="00515503" w:rsidRDefault="00515503" w:rsidP="004C09A1">
      <w:pPr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bCs/>
          <w:szCs w:val="22"/>
        </w:rPr>
      </w:pPr>
      <w:r w:rsidRPr="00AD17B3">
        <w:rPr>
          <w:bCs/>
          <w:szCs w:val="22"/>
        </w:rPr>
        <w:t xml:space="preserve">Pro případ porušení povinnosti </w:t>
      </w:r>
      <w:r>
        <w:rPr>
          <w:bCs/>
          <w:szCs w:val="22"/>
        </w:rPr>
        <w:t>Dodavatele</w:t>
      </w:r>
      <w:r w:rsidRPr="00AD17B3">
        <w:rPr>
          <w:bCs/>
          <w:szCs w:val="22"/>
        </w:rPr>
        <w:t xml:space="preserve"> týkající se ochrany informací a závazku mlčenlivosti, </w:t>
      </w:r>
      <w:r w:rsidR="00B66AFE">
        <w:rPr>
          <w:bCs/>
          <w:szCs w:val="22"/>
        </w:rPr>
        <w:t>uvedené v</w:t>
      </w:r>
      <w:r w:rsidR="004C09A1">
        <w:rPr>
          <w:bCs/>
          <w:szCs w:val="22"/>
        </w:rPr>
        <w:t> </w:t>
      </w:r>
      <w:r w:rsidR="00B66AFE">
        <w:rPr>
          <w:bCs/>
          <w:szCs w:val="22"/>
        </w:rPr>
        <w:t xml:space="preserve">článku VI. Smlouvy, </w:t>
      </w:r>
      <w:r w:rsidRPr="00AD17B3">
        <w:rPr>
          <w:bCs/>
          <w:szCs w:val="22"/>
        </w:rPr>
        <w:t xml:space="preserve">má </w:t>
      </w:r>
      <w:r>
        <w:rPr>
          <w:bCs/>
          <w:szCs w:val="22"/>
        </w:rPr>
        <w:t>Partner</w:t>
      </w:r>
      <w:r w:rsidRPr="00AD17B3">
        <w:rPr>
          <w:bCs/>
          <w:szCs w:val="22"/>
        </w:rPr>
        <w:t xml:space="preserve"> právo </w:t>
      </w:r>
      <w:r>
        <w:rPr>
          <w:bCs/>
          <w:szCs w:val="22"/>
        </w:rPr>
        <w:t xml:space="preserve">na </w:t>
      </w:r>
      <w:r w:rsidR="00B66AFE">
        <w:rPr>
          <w:bCs/>
          <w:szCs w:val="22"/>
        </w:rPr>
        <w:t xml:space="preserve">uplatnění </w:t>
      </w:r>
      <w:r>
        <w:rPr>
          <w:bCs/>
          <w:szCs w:val="22"/>
        </w:rPr>
        <w:t>s</w:t>
      </w:r>
      <w:r w:rsidRPr="00AD17B3">
        <w:rPr>
          <w:bCs/>
          <w:szCs w:val="22"/>
        </w:rPr>
        <w:t>mluvní pokut</w:t>
      </w:r>
      <w:r>
        <w:rPr>
          <w:bCs/>
          <w:szCs w:val="22"/>
        </w:rPr>
        <w:t>y</w:t>
      </w:r>
      <w:r w:rsidRPr="00AD17B3">
        <w:rPr>
          <w:bCs/>
          <w:szCs w:val="22"/>
        </w:rPr>
        <w:t xml:space="preserve"> ve výši </w:t>
      </w:r>
      <w:r w:rsidR="0024365B" w:rsidRPr="0024365B">
        <w:rPr>
          <w:bCs/>
          <w:szCs w:val="22"/>
        </w:rPr>
        <w:t>1</w:t>
      </w:r>
      <w:r w:rsidRPr="0024365B">
        <w:rPr>
          <w:bCs/>
          <w:szCs w:val="22"/>
        </w:rPr>
        <w:t>0.000,-</w:t>
      </w:r>
      <w:r w:rsidRPr="00AD17B3">
        <w:rPr>
          <w:bCs/>
          <w:szCs w:val="22"/>
        </w:rPr>
        <w:t>Kč, za každý jednotlivý případ</w:t>
      </w:r>
      <w:r>
        <w:rPr>
          <w:bCs/>
          <w:szCs w:val="22"/>
        </w:rPr>
        <w:t xml:space="preserve"> porušení povinnosti</w:t>
      </w:r>
      <w:r w:rsidRPr="00AD17B3">
        <w:rPr>
          <w:bCs/>
          <w:szCs w:val="22"/>
        </w:rPr>
        <w:t xml:space="preserve"> (slovy: </w:t>
      </w:r>
      <w:r w:rsidR="0024365B">
        <w:rPr>
          <w:bCs/>
          <w:szCs w:val="22"/>
        </w:rPr>
        <w:t>deset</w:t>
      </w:r>
      <w:r w:rsidRPr="00AD17B3">
        <w:rPr>
          <w:bCs/>
          <w:szCs w:val="22"/>
        </w:rPr>
        <w:t xml:space="preserve"> tisíc korun </w:t>
      </w:r>
      <w:r w:rsidRPr="00CB1D0D">
        <w:rPr>
          <w:bCs/>
          <w:szCs w:val="22"/>
        </w:rPr>
        <w:t>českých).</w:t>
      </w:r>
    </w:p>
    <w:p w14:paraId="7D7FAC44" w14:textId="7D7D0D04" w:rsidR="0085450A" w:rsidRPr="00CB1D0D" w:rsidRDefault="0085450A" w:rsidP="004C09A1">
      <w:pPr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bCs/>
          <w:szCs w:val="22"/>
        </w:rPr>
      </w:pPr>
      <w:r w:rsidRPr="00B243F1">
        <w:rPr>
          <w:szCs w:val="22"/>
        </w:rPr>
        <w:t>V</w:t>
      </w:r>
      <w:r w:rsidR="004C09A1">
        <w:rPr>
          <w:szCs w:val="22"/>
        </w:rPr>
        <w:t> </w:t>
      </w:r>
      <w:r w:rsidRPr="00B243F1">
        <w:rPr>
          <w:szCs w:val="22"/>
        </w:rPr>
        <w:t xml:space="preserve">případě prodlení </w:t>
      </w:r>
      <w:r w:rsidR="00854DBC">
        <w:rPr>
          <w:szCs w:val="22"/>
        </w:rPr>
        <w:t>Dodavatele</w:t>
      </w:r>
      <w:r w:rsidRPr="00B243F1">
        <w:rPr>
          <w:szCs w:val="22"/>
        </w:rPr>
        <w:t xml:space="preserve"> s</w:t>
      </w:r>
      <w:r w:rsidR="004C09A1">
        <w:rPr>
          <w:szCs w:val="22"/>
        </w:rPr>
        <w:t> </w:t>
      </w:r>
      <w:r w:rsidRPr="00B243F1">
        <w:rPr>
          <w:szCs w:val="22"/>
        </w:rPr>
        <w:t xml:space="preserve">plněním </w:t>
      </w:r>
      <w:r w:rsidR="00B66AFE">
        <w:rPr>
          <w:szCs w:val="22"/>
        </w:rPr>
        <w:t xml:space="preserve">lhůt dle článku III. </w:t>
      </w:r>
      <w:r w:rsidRPr="00B243F1">
        <w:rPr>
          <w:szCs w:val="22"/>
        </w:rPr>
        <w:t xml:space="preserve"> </w:t>
      </w:r>
      <w:r>
        <w:rPr>
          <w:szCs w:val="22"/>
        </w:rPr>
        <w:t>S</w:t>
      </w:r>
      <w:r w:rsidRPr="00B243F1">
        <w:rPr>
          <w:szCs w:val="22"/>
        </w:rPr>
        <w:t xml:space="preserve">mlouvy je </w:t>
      </w:r>
      <w:r w:rsidR="00854DBC">
        <w:rPr>
          <w:szCs w:val="22"/>
        </w:rPr>
        <w:t xml:space="preserve">Dodavatel </w:t>
      </w:r>
      <w:r w:rsidRPr="00B243F1">
        <w:rPr>
          <w:szCs w:val="22"/>
        </w:rPr>
        <w:t xml:space="preserve">povinen uhradit </w:t>
      </w:r>
      <w:r w:rsidR="00854DBC">
        <w:rPr>
          <w:szCs w:val="22"/>
        </w:rPr>
        <w:t>Partnerovi</w:t>
      </w:r>
      <w:r w:rsidRPr="00B243F1">
        <w:rPr>
          <w:szCs w:val="22"/>
        </w:rPr>
        <w:t xml:space="preserve"> smluvní pokutu ve výši 0,2 % </w:t>
      </w:r>
      <w:r w:rsidRPr="00B243F1">
        <w:rPr>
          <w:rFonts w:cs="Calibri"/>
          <w:szCs w:val="22"/>
        </w:rPr>
        <w:t>z</w:t>
      </w:r>
      <w:r w:rsidR="004C09A1">
        <w:rPr>
          <w:rFonts w:cs="Calibri"/>
          <w:szCs w:val="22"/>
        </w:rPr>
        <w:t> </w:t>
      </w:r>
      <w:r w:rsidRPr="00B243F1">
        <w:rPr>
          <w:rFonts w:cs="Calibri"/>
          <w:szCs w:val="22"/>
        </w:rPr>
        <w:t xml:space="preserve">celkové ceny předmětu plnění podle čl. </w:t>
      </w:r>
      <w:r>
        <w:rPr>
          <w:rFonts w:cs="Calibri"/>
          <w:szCs w:val="22"/>
        </w:rPr>
        <w:t>I</w:t>
      </w:r>
      <w:r w:rsidR="00805941">
        <w:rPr>
          <w:rFonts w:cs="Calibri"/>
          <w:szCs w:val="22"/>
        </w:rPr>
        <w:t>V</w:t>
      </w:r>
      <w:r>
        <w:rPr>
          <w:rFonts w:cs="Calibri"/>
          <w:szCs w:val="22"/>
        </w:rPr>
        <w:t>.</w:t>
      </w:r>
      <w:r w:rsidRPr="00B243F1">
        <w:rPr>
          <w:szCs w:val="22"/>
        </w:rPr>
        <w:t xml:space="preserve"> </w:t>
      </w:r>
      <w:r w:rsidR="004C09A1" w:rsidRPr="00B243F1">
        <w:rPr>
          <w:szCs w:val="22"/>
        </w:rPr>
        <w:t>Z</w:t>
      </w:r>
      <w:r w:rsidRPr="00B243F1">
        <w:rPr>
          <w:szCs w:val="22"/>
        </w:rPr>
        <w:t>a každý i</w:t>
      </w:r>
      <w:r w:rsidR="001A1DFC">
        <w:rPr>
          <w:szCs w:val="22"/>
        </w:rPr>
        <w:t> </w:t>
      </w:r>
      <w:r w:rsidRPr="00B243F1">
        <w:rPr>
          <w:szCs w:val="22"/>
        </w:rPr>
        <w:t>započatý kalendářní den prodlení.</w:t>
      </w:r>
    </w:p>
    <w:p w14:paraId="51A13D6A" w14:textId="7D560E3A" w:rsidR="00515503" w:rsidRPr="00AD17B3" w:rsidRDefault="00515503" w:rsidP="004C09A1">
      <w:pPr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szCs w:val="22"/>
        </w:rPr>
      </w:pPr>
      <w:r w:rsidRPr="00AD17B3">
        <w:rPr>
          <w:szCs w:val="22"/>
        </w:rPr>
        <w:t xml:space="preserve">Uhrazením </w:t>
      </w:r>
      <w:r>
        <w:rPr>
          <w:szCs w:val="22"/>
        </w:rPr>
        <w:t>s</w:t>
      </w:r>
      <w:r w:rsidRPr="00AD17B3">
        <w:rPr>
          <w:szCs w:val="22"/>
        </w:rPr>
        <w:t xml:space="preserve">mluvní pokuty není dotčeno právo poškozené </w:t>
      </w:r>
      <w:r>
        <w:rPr>
          <w:szCs w:val="22"/>
        </w:rPr>
        <w:t>s</w:t>
      </w:r>
      <w:r w:rsidRPr="00AD17B3">
        <w:rPr>
          <w:szCs w:val="22"/>
        </w:rPr>
        <w:t xml:space="preserve">mluvní strany domáhat se náhrady škody nebo újmy, která jí vznikla porušením </w:t>
      </w:r>
      <w:r>
        <w:rPr>
          <w:szCs w:val="22"/>
        </w:rPr>
        <w:t>s</w:t>
      </w:r>
      <w:r w:rsidRPr="00AD17B3">
        <w:rPr>
          <w:szCs w:val="22"/>
        </w:rPr>
        <w:t>mluvní povinnosti</w:t>
      </w:r>
      <w:r>
        <w:rPr>
          <w:szCs w:val="22"/>
        </w:rPr>
        <w:t xml:space="preserve"> druhou smluvní stranou</w:t>
      </w:r>
      <w:r w:rsidRPr="00AD17B3">
        <w:rPr>
          <w:szCs w:val="22"/>
        </w:rPr>
        <w:t xml:space="preserve">, které se </w:t>
      </w:r>
      <w:r>
        <w:rPr>
          <w:szCs w:val="22"/>
        </w:rPr>
        <w:t>s</w:t>
      </w:r>
      <w:r w:rsidRPr="00AD17B3">
        <w:rPr>
          <w:szCs w:val="22"/>
        </w:rPr>
        <w:t>mluvní pokuta týká, a to v</w:t>
      </w:r>
      <w:r w:rsidR="004C09A1">
        <w:rPr>
          <w:szCs w:val="22"/>
        </w:rPr>
        <w:t> </w:t>
      </w:r>
      <w:r w:rsidRPr="00AD17B3">
        <w:rPr>
          <w:szCs w:val="22"/>
        </w:rPr>
        <w:t xml:space="preserve">plné výši, tedy i ve výši přesahující </w:t>
      </w:r>
      <w:r>
        <w:rPr>
          <w:szCs w:val="22"/>
        </w:rPr>
        <w:t>s</w:t>
      </w:r>
      <w:r w:rsidRPr="00AD17B3">
        <w:rPr>
          <w:szCs w:val="22"/>
        </w:rPr>
        <w:t xml:space="preserve">mluvní pokutu. Uhrazená výše </w:t>
      </w:r>
      <w:r>
        <w:rPr>
          <w:szCs w:val="22"/>
        </w:rPr>
        <w:t>s</w:t>
      </w:r>
      <w:r w:rsidRPr="00AD17B3">
        <w:rPr>
          <w:szCs w:val="22"/>
        </w:rPr>
        <w:t xml:space="preserve">mluvní pokuty se nezapočítává do výše škody nebo újmy, která má být uhrazena. </w:t>
      </w:r>
    </w:p>
    <w:p w14:paraId="31BDE4F9" w14:textId="491DD518" w:rsidR="00515503" w:rsidRPr="00AD17B3" w:rsidRDefault="00515503" w:rsidP="004C09A1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bCs/>
          <w:szCs w:val="22"/>
        </w:rPr>
      </w:pPr>
      <w:r w:rsidRPr="00AD17B3">
        <w:rPr>
          <w:bCs/>
          <w:szCs w:val="22"/>
        </w:rPr>
        <w:t>V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 xml:space="preserve">případě prodlení </w:t>
      </w:r>
      <w:r>
        <w:rPr>
          <w:bCs/>
          <w:szCs w:val="22"/>
        </w:rPr>
        <w:t>Partnera</w:t>
      </w:r>
      <w:r w:rsidRPr="00AD17B3">
        <w:rPr>
          <w:bCs/>
          <w:szCs w:val="22"/>
        </w:rPr>
        <w:t xml:space="preserve"> se zaplacením faktury je </w:t>
      </w:r>
      <w:r>
        <w:rPr>
          <w:bCs/>
          <w:szCs w:val="22"/>
        </w:rPr>
        <w:t>Dodavatel</w:t>
      </w:r>
      <w:r w:rsidRPr="00AD17B3">
        <w:rPr>
          <w:bCs/>
          <w:szCs w:val="22"/>
        </w:rPr>
        <w:t xml:space="preserve"> oprávněn účtovat </w:t>
      </w:r>
      <w:r>
        <w:rPr>
          <w:bCs/>
          <w:szCs w:val="22"/>
        </w:rPr>
        <w:t>Partnerovi</w:t>
      </w:r>
      <w:r w:rsidRPr="00AD17B3">
        <w:rPr>
          <w:bCs/>
          <w:szCs w:val="22"/>
        </w:rPr>
        <w:t xml:space="preserve"> </w:t>
      </w:r>
      <w:r w:rsidR="00B66AFE">
        <w:rPr>
          <w:bCs/>
          <w:szCs w:val="22"/>
        </w:rPr>
        <w:t xml:space="preserve">zákonný </w:t>
      </w:r>
      <w:r w:rsidRPr="00AD17B3">
        <w:rPr>
          <w:bCs/>
          <w:szCs w:val="22"/>
        </w:rPr>
        <w:t>úrok z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>prodlení</w:t>
      </w:r>
      <w:r w:rsidR="00B66AFE">
        <w:rPr>
          <w:bCs/>
          <w:szCs w:val="22"/>
        </w:rPr>
        <w:t>.</w:t>
      </w:r>
    </w:p>
    <w:p w14:paraId="321F2684" w14:textId="4698E738" w:rsidR="00515503" w:rsidRPr="00A03E50" w:rsidRDefault="00515503" w:rsidP="004C09A1">
      <w:pPr>
        <w:pStyle w:val="Odstavecseseznamem"/>
        <w:numPr>
          <w:ilvl w:val="0"/>
          <w:numId w:val="5"/>
        </w:numPr>
        <w:tabs>
          <w:tab w:val="clear" w:pos="360"/>
          <w:tab w:val="num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szCs w:val="22"/>
        </w:rPr>
      </w:pPr>
      <w:r w:rsidRPr="00AD17B3">
        <w:rPr>
          <w:bCs/>
          <w:szCs w:val="22"/>
        </w:rPr>
        <w:t>Smluvní pokuta nebo náhrada škody nebo úrok</w:t>
      </w:r>
      <w:r w:rsidR="004113F0">
        <w:rPr>
          <w:bCs/>
          <w:szCs w:val="22"/>
        </w:rPr>
        <w:t>y</w:t>
      </w:r>
      <w:r w:rsidRPr="00AD17B3">
        <w:rPr>
          <w:bCs/>
          <w:szCs w:val="22"/>
        </w:rPr>
        <w:t xml:space="preserve"> z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>prodlení j</w:t>
      </w:r>
      <w:r w:rsidR="004113F0">
        <w:rPr>
          <w:bCs/>
          <w:szCs w:val="22"/>
        </w:rPr>
        <w:t>sou</w:t>
      </w:r>
      <w:r w:rsidRPr="00AD17B3">
        <w:rPr>
          <w:bCs/>
          <w:szCs w:val="22"/>
        </w:rPr>
        <w:t xml:space="preserve"> splatn</w:t>
      </w:r>
      <w:r w:rsidR="004113F0">
        <w:rPr>
          <w:bCs/>
          <w:szCs w:val="22"/>
        </w:rPr>
        <w:t>é</w:t>
      </w:r>
      <w:r w:rsidRPr="00AD17B3">
        <w:rPr>
          <w:bCs/>
          <w:szCs w:val="22"/>
        </w:rPr>
        <w:t xml:space="preserve"> ve lhůtě 10 kalendářních dnů ode dne, kdy strana povinná obdržela výzvu k</w:t>
      </w:r>
      <w:r w:rsidR="004C09A1">
        <w:rPr>
          <w:bCs/>
          <w:szCs w:val="22"/>
        </w:rPr>
        <w:t> </w:t>
      </w:r>
      <w:r w:rsidRPr="00AD17B3">
        <w:rPr>
          <w:bCs/>
          <w:szCs w:val="22"/>
        </w:rPr>
        <w:t>úhradě.</w:t>
      </w:r>
    </w:p>
    <w:p w14:paraId="701555DD" w14:textId="77777777" w:rsidR="00515503" w:rsidRDefault="00515503" w:rsidP="004C09A1">
      <w:pPr>
        <w:pStyle w:val="Zkladntext"/>
        <w:spacing w:line="240" w:lineRule="auto"/>
        <w:rPr>
          <w:rFonts w:cs="Tahoma"/>
          <w:b/>
          <w:szCs w:val="22"/>
        </w:rPr>
      </w:pPr>
    </w:p>
    <w:p w14:paraId="7E7C1416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Čl. V</w:t>
      </w:r>
      <w:r>
        <w:rPr>
          <w:rFonts w:cs="Tahoma"/>
          <w:b/>
          <w:szCs w:val="22"/>
        </w:rPr>
        <w:t>I</w:t>
      </w:r>
      <w:r w:rsidRPr="001617CE">
        <w:rPr>
          <w:rFonts w:cs="Tahoma"/>
          <w:b/>
          <w:szCs w:val="22"/>
        </w:rPr>
        <w:t>.</w:t>
      </w:r>
    </w:p>
    <w:p w14:paraId="791B9C7B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Ostatní ujednání</w:t>
      </w:r>
    </w:p>
    <w:p w14:paraId="38C672C8" w14:textId="77777777" w:rsidR="004C09A1" w:rsidRDefault="004C09A1" w:rsidP="004C09A1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B66AFE" w:rsidRPr="004C09A1">
        <w:rPr>
          <w:bCs/>
          <w:szCs w:val="22"/>
        </w:rPr>
        <w:t xml:space="preserve">Partner i Dodavatel se zavazují, že obchodní, technické, jakož i netechnické informace, které mají nebo by mohly mít potenciální hodnotu, a které jim byly svěřeny smluvním partnerem, nezpřístupní třetím osobám bez předchozího písemného souhlasu druhé smluvní strany a nepoužijí tyto informace ani pro jiné </w:t>
      </w:r>
      <w:r w:rsidR="00A03E50" w:rsidRPr="004C09A1">
        <w:rPr>
          <w:bCs/>
          <w:szCs w:val="22"/>
        </w:rPr>
        <w:t>účely</w:t>
      </w:r>
      <w:r w:rsidR="00B66AFE" w:rsidRPr="004C09A1">
        <w:rPr>
          <w:bCs/>
          <w:szCs w:val="22"/>
        </w:rPr>
        <w:t xml:space="preserve"> než pro plnění svých závazků dle podmínek této Smlouvy. Za důvěrnou informaci se pokládá vždy taková informace, která je takto kteroukoliv smluvní stranou kdykoliv označena. To však neplatí v případě, že by se stala tato informace, k níž se zavazují k povinnosti mlčenlivosti či k povinnosti zachovat důvěrnost informace, dle tohoto ustanovení Smlouvy, obecně známou či dostupnou. To se nevztahuje na Výstupy z plnění dle této Smlouvy. </w:t>
      </w:r>
    </w:p>
    <w:p w14:paraId="22BFEF09" w14:textId="77777777" w:rsidR="004C09A1" w:rsidRDefault="004C09A1" w:rsidP="004C09A1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B66AFE" w:rsidRPr="004C09A1">
        <w:rPr>
          <w:bCs/>
          <w:szCs w:val="22"/>
        </w:rPr>
        <w:t>Smluvní strany se zavazují, že informace, týkající se této Smlouvy či jinak získané v souvislosti s plněním této Smlouvy, nezneužije ve svůj prospěch ani ve prospěch jiné osoby, ani je nezveřejní v jakékoliv formě a dále se zavazuje, že veškeré výstupy provedené podle této Smlouvy budou zhotovitelem užity pouze a výlučně v souladu s touto Smlouvou.</w:t>
      </w:r>
    </w:p>
    <w:p w14:paraId="60FB1C90" w14:textId="77777777" w:rsidR="004C09A1" w:rsidRDefault="004C09A1" w:rsidP="004C09A1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515503" w:rsidRPr="004C09A1">
        <w:rPr>
          <w:bCs/>
          <w:szCs w:val="22"/>
        </w:rPr>
        <w:t>Dodavatel se zavazuje postupovat při plnění této Smlouvy tak, aby bylo dosaženo účelu této Smlouvy. Dodavatel postupuje při plnění této Smlouvy s péčí řádného hospodáře.</w:t>
      </w:r>
    </w:p>
    <w:p w14:paraId="37C3F56F" w14:textId="435F1433" w:rsidR="004C09A1" w:rsidRPr="00707556" w:rsidRDefault="004C09A1" w:rsidP="00707556">
      <w:pPr>
        <w:numPr>
          <w:ilvl w:val="0"/>
          <w:numId w:val="18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515503" w:rsidRPr="004C09A1">
        <w:rPr>
          <w:bCs/>
          <w:szCs w:val="22"/>
        </w:rPr>
        <w:t>Smluvní strany přebírají riziko změny okolností ve smyslu § 1765 odst. 2 občanského zákoníku.</w:t>
      </w:r>
    </w:p>
    <w:p w14:paraId="45D55644" w14:textId="6886F259" w:rsidR="00B66AFE" w:rsidRPr="00CD4651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CD4651">
        <w:rPr>
          <w:rFonts w:cs="Tahoma"/>
          <w:b/>
          <w:szCs w:val="22"/>
        </w:rPr>
        <w:t>Čl. VII.</w:t>
      </w:r>
    </w:p>
    <w:p w14:paraId="245B513C" w14:textId="77777777" w:rsidR="00B66AFE" w:rsidRPr="00CD4651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CD4651">
        <w:rPr>
          <w:rFonts w:cs="Tahoma"/>
          <w:b/>
          <w:szCs w:val="22"/>
        </w:rPr>
        <w:t>Ukončení Smlouvy</w:t>
      </w:r>
    </w:p>
    <w:p w14:paraId="5E483F2A" w14:textId="40DD77B7" w:rsidR="00B66AFE" w:rsidRPr="004C09A1" w:rsidRDefault="004C09A1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B66AFE" w:rsidRPr="004C09A1">
        <w:rPr>
          <w:bCs/>
          <w:szCs w:val="22"/>
        </w:rPr>
        <w:t>Tato Smlouva může být ukončena písemnou dohodou obou smluvních stran.</w:t>
      </w:r>
    </w:p>
    <w:p w14:paraId="14AC1C55" w14:textId="0B4682F9" w:rsidR="00B66AFE" w:rsidRPr="004C09A1" w:rsidRDefault="004C09A1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B66AFE" w:rsidRPr="004C09A1">
        <w:rPr>
          <w:bCs/>
          <w:szCs w:val="22"/>
        </w:rPr>
        <w:t xml:space="preserve">Při podstatném porušení Smlouvy jednou ze smluvních stran může druhá smluvní strana od Smlouvy odstoupit, přičemž náklady vynaložené na smluvené dílo k okamžiku odstoupení od Smlouvy hradí ta smluvní strana, která podstatně porušila Smlouvu. V případě odstoupení od Smlouvy ze strany Partnera má Dodavatel nárok na úhradu poměrné části ceny, to však pouze za </w:t>
      </w:r>
      <w:r w:rsidR="00B66AFE" w:rsidRPr="004C09A1">
        <w:rPr>
          <w:bCs/>
          <w:szCs w:val="22"/>
        </w:rPr>
        <w:lastRenderedPageBreak/>
        <w:t>předpokladu, že dosud předané plnění je pro objednatele využitelné. V opačném případě si strany vrátí, co bylo před odstoupením od Smlouvy poskytnuto druhou stranou.</w:t>
      </w:r>
    </w:p>
    <w:p w14:paraId="29C795D6" w14:textId="2B1B359E" w:rsidR="00B66AFE" w:rsidRPr="004C09A1" w:rsidRDefault="004C09A1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B66AFE" w:rsidRPr="004C09A1">
        <w:rPr>
          <w:bCs/>
          <w:szCs w:val="22"/>
        </w:rPr>
        <w:t>Partner je oprávněn odstoupit od této Smlouvy v případě podstatného porušení povinností Dodavatelem, za něž je považováno zejména:</w:t>
      </w:r>
    </w:p>
    <w:p w14:paraId="68CC0BFB" w14:textId="4FDB6F17" w:rsidR="00B66AFE" w:rsidRPr="004C09A1" w:rsidRDefault="00B66AFE" w:rsidP="004C09A1">
      <w:pPr>
        <w:pStyle w:val="Odstavecseseznamem"/>
        <w:numPr>
          <w:ilvl w:val="0"/>
          <w:numId w:val="2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prodlení s plněním lhůt stanovených dle článku III. této Smlouvy delší než deset kalendářních dnů;</w:t>
      </w:r>
    </w:p>
    <w:p w14:paraId="76F482D5" w14:textId="3D86693D" w:rsidR="00B66AFE" w:rsidRPr="004C09A1" w:rsidRDefault="00B66AFE" w:rsidP="004C09A1">
      <w:pPr>
        <w:pStyle w:val="Odstavecseseznamem"/>
        <w:numPr>
          <w:ilvl w:val="0"/>
          <w:numId w:val="2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porušení povinnosti mlčenlivosti dle článku VI. této Smlouvy</w:t>
      </w:r>
      <w:r w:rsidR="00A03E50" w:rsidRPr="004C09A1">
        <w:rPr>
          <w:bCs/>
          <w:szCs w:val="22"/>
        </w:rPr>
        <w:t>;</w:t>
      </w:r>
    </w:p>
    <w:p w14:paraId="1D4C1FBD" w14:textId="5D356C26" w:rsidR="00B66AFE" w:rsidRPr="004C09A1" w:rsidRDefault="00B66AFE" w:rsidP="004C09A1">
      <w:pPr>
        <w:pStyle w:val="Odstavecseseznamem"/>
        <w:numPr>
          <w:ilvl w:val="0"/>
          <w:numId w:val="21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skutečnost, že byly Partnerem kontrolou plnění ve smyslu článku III. odst. 1. zjištěny zásadní vady a nedostatky při činnosti a Dodavatel ani po písemném upozornění Partnera nerespektoval navržená opatření na odstranění vad a nedostatků</w:t>
      </w:r>
      <w:r w:rsidR="00A03E50" w:rsidRPr="004C09A1">
        <w:rPr>
          <w:bCs/>
          <w:szCs w:val="22"/>
        </w:rPr>
        <w:t>.</w:t>
      </w:r>
    </w:p>
    <w:p w14:paraId="0C6A60F7" w14:textId="0AA0A644" w:rsidR="00B66AFE" w:rsidRPr="004C09A1" w:rsidRDefault="004C09A1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B66AFE" w:rsidRPr="004C09A1">
        <w:rPr>
          <w:bCs/>
          <w:szCs w:val="22"/>
        </w:rPr>
        <w:t>Dodavatel má právo odstoupit od této Smlouvy v případě podstatného porušení Smlouvy Partnerem, za něž je považováno zejména prodlení se zaplacením faktury delší než 30 dnů po lhůtě splatnosti.</w:t>
      </w:r>
    </w:p>
    <w:p w14:paraId="6816AC42" w14:textId="501742D0" w:rsidR="00B66AFE" w:rsidRPr="004C09A1" w:rsidRDefault="004C09A1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B66AFE" w:rsidRPr="004C09A1">
        <w:rPr>
          <w:bCs/>
          <w:szCs w:val="22"/>
        </w:rPr>
        <w:t>Ukončením platnosti této Smlouvy nejsou dotčena ustanovení Smlouvy týkající se nároků z odpovědnosti za škodu či újmu a nároků ze smluvních pokut, ustanovení o licenci, ustanovení o zachování mlčenlivosti, ani další ustanovení a nároky, z jejichž povahy vyplývá, že mají trvat i po zániku platnosti této Smlouvy.</w:t>
      </w:r>
    </w:p>
    <w:p w14:paraId="48DB5996" w14:textId="276B03AD" w:rsidR="00B66AFE" w:rsidRPr="004C09A1" w:rsidRDefault="004C09A1" w:rsidP="004C09A1">
      <w:pPr>
        <w:numPr>
          <w:ilvl w:val="0"/>
          <w:numId w:val="19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B66AFE" w:rsidRPr="004C09A1">
        <w:rPr>
          <w:bCs/>
          <w:szCs w:val="22"/>
        </w:rPr>
        <w:t>Odstoupení od Smlouvy musí být provedeno písemně a doručeno druhé smluvní straně. Právní účinky nastávají dnem doručení o odstoupení od Smlouvy druhé smluvní straně.</w:t>
      </w:r>
    </w:p>
    <w:p w14:paraId="5936EF56" w14:textId="77777777" w:rsidR="00515503" w:rsidRDefault="00515503" w:rsidP="004C09A1">
      <w:pPr>
        <w:pStyle w:val="Zkladntext"/>
        <w:tabs>
          <w:tab w:val="left" w:pos="426"/>
        </w:tabs>
        <w:spacing w:line="240" w:lineRule="auto"/>
        <w:ind w:left="644"/>
        <w:jc w:val="center"/>
        <w:rPr>
          <w:rFonts w:cs="Tahoma"/>
          <w:b/>
          <w:szCs w:val="22"/>
        </w:rPr>
      </w:pPr>
    </w:p>
    <w:p w14:paraId="359B2DEF" w14:textId="17716805" w:rsidR="00B66AFE" w:rsidRPr="00CC439F" w:rsidRDefault="00B66AFE" w:rsidP="004C09A1">
      <w:pPr>
        <w:tabs>
          <w:tab w:val="left" w:pos="284"/>
        </w:tabs>
        <w:spacing w:after="120" w:line="240" w:lineRule="auto"/>
        <w:jc w:val="center"/>
        <w:rPr>
          <w:b/>
        </w:rPr>
      </w:pPr>
      <w:r w:rsidRPr="00CC439F">
        <w:rPr>
          <w:b/>
        </w:rPr>
        <w:t>Čl.</w:t>
      </w:r>
      <w:r w:rsidR="00A03E50">
        <w:rPr>
          <w:b/>
        </w:rPr>
        <w:t xml:space="preserve"> </w:t>
      </w:r>
      <w:r w:rsidRPr="00CC439F">
        <w:rPr>
          <w:b/>
        </w:rPr>
        <w:t>VIII.</w:t>
      </w:r>
    </w:p>
    <w:p w14:paraId="1D3E01DE" w14:textId="77777777" w:rsidR="00B66AFE" w:rsidRPr="00726813" w:rsidRDefault="00B66AFE" w:rsidP="004C09A1">
      <w:pPr>
        <w:spacing w:after="120" w:line="240" w:lineRule="auto"/>
        <w:jc w:val="center"/>
        <w:rPr>
          <w:rFonts w:cs="Arial"/>
          <w:bCs/>
        </w:rPr>
      </w:pPr>
      <w:r w:rsidRPr="00726813">
        <w:rPr>
          <w:rFonts w:cs="Arial"/>
          <w:b/>
          <w:bCs/>
        </w:rPr>
        <w:t>Práva k duševnímu vlastnictví</w:t>
      </w:r>
    </w:p>
    <w:p w14:paraId="6EDA6588" w14:textId="3B4AF7B7" w:rsidR="00B66AFE" w:rsidRPr="004C09A1" w:rsidRDefault="004C09A1" w:rsidP="004C09A1">
      <w:pPr>
        <w:numPr>
          <w:ilvl w:val="0"/>
          <w:numId w:val="20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B66AFE" w:rsidRPr="004C09A1">
        <w:rPr>
          <w:bCs/>
          <w:szCs w:val="22"/>
        </w:rPr>
        <w:t>Dodavatel prohlašuje, že Partner bude oprávněn užít jakýmkoli způsobem a bez jakýchkoli omezení výsledky plnění, mající charakter autorského díla ve smyslu § 2 (dále „dílo“) zákona č.</w:t>
      </w:r>
      <w:r w:rsidR="001A1DFC" w:rsidRPr="004C09A1">
        <w:rPr>
          <w:bCs/>
          <w:szCs w:val="22"/>
        </w:rPr>
        <w:t> </w:t>
      </w:r>
      <w:r w:rsidR="00B66AFE" w:rsidRPr="004C09A1">
        <w:rPr>
          <w:bCs/>
          <w:szCs w:val="22"/>
        </w:rPr>
        <w:t>121/2000 Sb., o právu autorském, o právech souvisejících s právem autorským a o změně některých zákonů (autorský zákon) ve znění pozdějších předpisů, a že vůči Partnerovi nebudou uplatněny oprávněné nároky majitelů autorských práv či jakékoli oprávněné nároky jiných třetích osob v souvislosti s užitím díla (práva autorská, práva příbuzná právu autorskému, práva patentová, práva k ochranné známce, práva z nekalé soutěže, práva osobnostní či práva vlastnická aj.) a pokud by takové nároky byly uplatněny, zhotovitel se zavazuje veškeré nároky majitelů autorských práv či jakékoli oprávněné nároky jiných třetích osob v souvislosti s užitím výstupů vypořádat na své náklady. Dodavatel prohlašuje, že Partner bude oprávněn zejména výstupy rozmnožovat, rozšiřovat, sdělovat veřejnosti, spojovat s jiným dílem a zařazovat do souborného díla.</w:t>
      </w:r>
    </w:p>
    <w:p w14:paraId="4B7601F9" w14:textId="460E0331" w:rsidR="00B66AFE" w:rsidRPr="004C09A1" w:rsidRDefault="004C09A1" w:rsidP="004C09A1">
      <w:pPr>
        <w:numPr>
          <w:ilvl w:val="0"/>
          <w:numId w:val="20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B66AFE" w:rsidRPr="004C09A1">
        <w:rPr>
          <w:bCs/>
          <w:szCs w:val="22"/>
        </w:rPr>
        <w:t>Dodavatel se dále zavazuje, že</w:t>
      </w:r>
    </w:p>
    <w:p w14:paraId="09369922" w14:textId="1D4068DF" w:rsidR="00B66AFE" w:rsidRPr="004C09A1" w:rsidRDefault="00B66AFE" w:rsidP="004C09A1">
      <w:pPr>
        <w:pStyle w:val="Odstavecseseznamem"/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pokud v souvislosti s plněním předmětu Smlouvy přijdou jeho pověření zaměstnanci do styku s osobními/citlivými údaji ve smyslu zákona č. 1</w:t>
      </w:r>
      <w:r w:rsidR="00105841" w:rsidRPr="004C09A1">
        <w:rPr>
          <w:bCs/>
          <w:szCs w:val="22"/>
        </w:rPr>
        <w:t>10/2019</w:t>
      </w:r>
      <w:r w:rsidRPr="004C09A1">
        <w:rPr>
          <w:bCs/>
          <w:szCs w:val="22"/>
        </w:rPr>
        <w:t xml:space="preserve"> Sb., o </w:t>
      </w:r>
      <w:r w:rsidR="00105841" w:rsidRPr="004C09A1">
        <w:rPr>
          <w:bCs/>
          <w:szCs w:val="22"/>
        </w:rPr>
        <w:t>zpracování osobních údajů</w:t>
      </w:r>
      <w:r w:rsidRPr="004C09A1">
        <w:rPr>
          <w:bCs/>
          <w:szCs w:val="22"/>
        </w:rPr>
        <w:t>, učiní veškerá opatření, aby nedošlo k neoprávněnému nebo nahodilému přístupu k těmto údajům, k jejich změně, zničení či ztrátě, neoprávněným přenosům, k jejich jinému neoprávněnému zpracování, jakož aby i jinak neporušil tento zákon. Dodavatel je povinen provést likvidaci osobních údajů, jakmile pomine účel, pro který byly osobní údaje poskytnuty a zpracovány, nebo na základě žádosti subjektu údajů. Dodavatel předá Partnerovi protokol o jejich likvidaci;</w:t>
      </w:r>
    </w:p>
    <w:p w14:paraId="0E9D6181" w14:textId="77777777" w:rsidR="00B66AFE" w:rsidRPr="004C09A1" w:rsidRDefault="00B66AFE" w:rsidP="004C09A1">
      <w:pPr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provede vhodná technická a organizační opatření, aby zpracování osobních údajů bylo prováděno v souladu s právními předpisy, zejména Nařízením Evropského parlamentu a Rady (EU) 2016/679 („GDPR“), a že do zpracování začlení nezbytné záruky tak, aby splnil požadavky právních předpisů a ochránil práva subjektů údajů.</w:t>
      </w:r>
    </w:p>
    <w:p w14:paraId="46B25586" w14:textId="77777777" w:rsidR="00B66AFE" w:rsidRPr="00726813" w:rsidRDefault="00B66AFE" w:rsidP="004C09A1">
      <w:pPr>
        <w:spacing w:after="120" w:line="240" w:lineRule="auto"/>
        <w:rPr>
          <w:rFonts w:cs="Arial"/>
        </w:rPr>
      </w:pPr>
    </w:p>
    <w:p w14:paraId="4287D058" w14:textId="77777777" w:rsidR="00B66AFE" w:rsidRPr="00CD4651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CD4651">
        <w:rPr>
          <w:rFonts w:cs="Tahoma"/>
          <w:b/>
          <w:szCs w:val="22"/>
        </w:rPr>
        <w:t>Čl. IX.</w:t>
      </w:r>
    </w:p>
    <w:p w14:paraId="6F509190" w14:textId="35140AED" w:rsidR="00B66AFE" w:rsidRPr="00CD4651" w:rsidRDefault="00B66AFE" w:rsidP="00CD465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CD4651">
        <w:rPr>
          <w:rFonts w:cs="Tahoma"/>
          <w:b/>
          <w:szCs w:val="22"/>
        </w:rPr>
        <w:t>Osoby zmocněné k</w:t>
      </w:r>
      <w:r w:rsidR="004C09A1" w:rsidRPr="00CD4651">
        <w:rPr>
          <w:rFonts w:cs="Tahoma"/>
          <w:b/>
          <w:szCs w:val="22"/>
        </w:rPr>
        <w:t> </w:t>
      </w:r>
      <w:r w:rsidRPr="00CD4651">
        <w:rPr>
          <w:rFonts w:cs="Tahoma"/>
          <w:b/>
          <w:szCs w:val="22"/>
        </w:rPr>
        <w:t>jednání</w:t>
      </w:r>
    </w:p>
    <w:p w14:paraId="00ED3A1A" w14:textId="588DA549" w:rsidR="00B66AFE" w:rsidRPr="004C09A1" w:rsidRDefault="004C09A1" w:rsidP="004C09A1">
      <w:pPr>
        <w:numPr>
          <w:ilvl w:val="0"/>
          <w:numId w:val="23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lastRenderedPageBreak/>
        <w:t xml:space="preserve"> </w:t>
      </w:r>
      <w:r w:rsidR="00B66AFE" w:rsidRPr="004C09A1">
        <w:rPr>
          <w:bCs/>
          <w:szCs w:val="22"/>
        </w:rPr>
        <w:t>K jednání v souvislosti s plněním této Smlouvy se tímto zmocňuje:</w:t>
      </w:r>
    </w:p>
    <w:p w14:paraId="27DAA36E" w14:textId="45979CBD" w:rsidR="00B66AFE" w:rsidRPr="004C09A1" w:rsidRDefault="00B66AFE" w:rsidP="004C09A1">
      <w:pPr>
        <w:pStyle w:val="Odstavecseseznamem"/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za Partnera:</w:t>
      </w:r>
      <w:r w:rsidR="004B1E2F" w:rsidRPr="004C09A1">
        <w:rPr>
          <w:bCs/>
          <w:szCs w:val="22"/>
        </w:rPr>
        <w:t xml:space="preserve"> Ing. Miroslav Svoboda, Ph.D</w:t>
      </w:r>
      <w:r w:rsidR="005F6836">
        <w:rPr>
          <w:bCs/>
          <w:szCs w:val="22"/>
        </w:rPr>
        <w:t>.</w:t>
      </w:r>
      <w:r w:rsidR="004B1E2F" w:rsidRPr="004C09A1">
        <w:rPr>
          <w:bCs/>
          <w:szCs w:val="22"/>
        </w:rPr>
        <w:t>, vedoucí oddělení společenské odpovědnosti firem a řízení kvality v Ministerstvu průmyslu a obchodu</w:t>
      </w:r>
      <w:r w:rsidR="001A1DFC" w:rsidRPr="004C09A1">
        <w:rPr>
          <w:bCs/>
          <w:szCs w:val="22"/>
        </w:rPr>
        <w:t>,</w:t>
      </w:r>
    </w:p>
    <w:p w14:paraId="09BC7E58" w14:textId="22D57C97" w:rsidR="00B66AFE" w:rsidRPr="004C09A1" w:rsidRDefault="00B66AFE" w:rsidP="004C09A1">
      <w:pPr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 xml:space="preserve">za Dodavatele: </w:t>
      </w:r>
      <w:r w:rsidR="006C0BAD">
        <w:rPr>
          <w:bCs/>
          <w:szCs w:val="22"/>
        </w:rPr>
        <w:t>Eva Svobodová</w:t>
      </w:r>
      <w:r w:rsidR="00622FB6">
        <w:rPr>
          <w:bCs/>
          <w:szCs w:val="22"/>
        </w:rPr>
        <w:t>, generální ředitelka</w:t>
      </w:r>
      <w:r w:rsidR="006C0BAD">
        <w:rPr>
          <w:bCs/>
          <w:szCs w:val="22"/>
        </w:rPr>
        <w:t xml:space="preserve"> a členka představenstva Asociace malých a středních podniků a živnostníků ČR</w:t>
      </w:r>
      <w:r w:rsidR="00622FB6">
        <w:rPr>
          <w:bCs/>
          <w:szCs w:val="22"/>
        </w:rPr>
        <w:t>,</w:t>
      </w:r>
    </w:p>
    <w:p w14:paraId="1F47AA9C" w14:textId="77777777" w:rsidR="00B66AFE" w:rsidRPr="004C09A1" w:rsidRDefault="00B66AFE" w:rsidP="004C09A1">
      <w:pPr>
        <w:tabs>
          <w:tab w:val="left" w:pos="284"/>
        </w:tabs>
        <w:overflowPunct/>
        <w:autoSpaceDE/>
        <w:autoSpaceDN/>
        <w:adjustRightInd/>
        <w:spacing w:after="0" w:line="240" w:lineRule="auto"/>
        <w:ind w:left="720"/>
        <w:jc w:val="both"/>
        <w:textAlignment w:val="auto"/>
        <w:rPr>
          <w:bCs/>
          <w:szCs w:val="22"/>
        </w:rPr>
      </w:pPr>
      <w:r w:rsidRPr="004C09A1">
        <w:rPr>
          <w:bCs/>
          <w:szCs w:val="22"/>
        </w:rPr>
        <w:t>s výhradou, že každá ze smluvních stran může změnit kontaktní osobu. Takovouto změnu smluvní strana oznámí druhé smluvní straně písemně doporučeným dopisem.</w:t>
      </w:r>
    </w:p>
    <w:p w14:paraId="1B68DA15" w14:textId="0BE51345" w:rsidR="00B66AFE" w:rsidRPr="004C09A1" w:rsidRDefault="004C09A1" w:rsidP="004C09A1">
      <w:pPr>
        <w:pStyle w:val="Odstavecseseznamem"/>
        <w:numPr>
          <w:ilvl w:val="0"/>
          <w:numId w:val="23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B66AFE" w:rsidRPr="004C09A1">
        <w:rPr>
          <w:bCs/>
          <w:szCs w:val="22"/>
        </w:rPr>
        <w:t>Jakékoli oznámení doručené osobně bude účinné a závazné ode dne předání nebo doručení</w:t>
      </w:r>
      <w:r w:rsidR="00795737">
        <w:rPr>
          <w:bCs/>
          <w:szCs w:val="22"/>
        </w:rPr>
        <w:t> </w:t>
      </w:r>
      <w:r w:rsidR="00B66AFE" w:rsidRPr="004C09A1">
        <w:rPr>
          <w:bCs/>
          <w:szCs w:val="22"/>
        </w:rPr>
        <w:t>e</w:t>
      </w:r>
      <w:r w:rsidR="00795737">
        <w:rPr>
          <w:bCs/>
          <w:szCs w:val="22"/>
        </w:rPr>
        <w:t>-</w:t>
      </w:r>
      <w:r w:rsidR="001A1DFC" w:rsidRPr="004C09A1">
        <w:rPr>
          <w:bCs/>
          <w:szCs w:val="22"/>
        </w:rPr>
        <w:t>m</w:t>
      </w:r>
      <w:r w:rsidR="00B66AFE" w:rsidRPr="004C09A1">
        <w:rPr>
          <w:bCs/>
          <w:szCs w:val="22"/>
        </w:rPr>
        <w:t>ailem a jakékoli oznámení doručené poštou bude účinné od následujícího pracovního dne po dni doručení poštou.</w:t>
      </w:r>
    </w:p>
    <w:p w14:paraId="20832AB0" w14:textId="212D0E63" w:rsidR="00B66AFE" w:rsidRPr="004C09A1" w:rsidRDefault="004C09A1" w:rsidP="004C09A1">
      <w:pPr>
        <w:numPr>
          <w:ilvl w:val="0"/>
          <w:numId w:val="23"/>
        </w:numPr>
        <w:tabs>
          <w:tab w:val="clear" w:pos="360"/>
          <w:tab w:val="left" w:pos="284"/>
        </w:tabs>
        <w:overflowPunct/>
        <w:autoSpaceDE/>
        <w:autoSpaceDN/>
        <w:adjustRightInd/>
        <w:spacing w:after="0" w:line="240" w:lineRule="auto"/>
        <w:jc w:val="both"/>
        <w:textAlignment w:val="auto"/>
        <w:rPr>
          <w:bCs/>
          <w:szCs w:val="22"/>
        </w:rPr>
      </w:pPr>
      <w:r>
        <w:rPr>
          <w:bCs/>
          <w:szCs w:val="22"/>
        </w:rPr>
        <w:t xml:space="preserve"> </w:t>
      </w:r>
      <w:r w:rsidR="00B66AFE" w:rsidRPr="004C09A1">
        <w:rPr>
          <w:bCs/>
          <w:szCs w:val="22"/>
        </w:rPr>
        <w:t xml:space="preserve">Dopis zaslaný doporučeně se považuje za doručený při opakovaném marném pokusu o doručení poštou dnem, kdy byl uložen na poště, i když se adresát o uložení nedozvěděl. </w:t>
      </w:r>
    </w:p>
    <w:p w14:paraId="630975F8" w14:textId="77777777" w:rsidR="00B66AFE" w:rsidRPr="00DD58DE" w:rsidRDefault="00B66AFE" w:rsidP="004C09A1">
      <w:pPr>
        <w:tabs>
          <w:tab w:val="left" w:pos="284"/>
        </w:tabs>
        <w:spacing w:after="120" w:line="240" w:lineRule="auto"/>
        <w:jc w:val="center"/>
      </w:pPr>
    </w:p>
    <w:p w14:paraId="2B88A463" w14:textId="1B87B49D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 xml:space="preserve">Čl. </w:t>
      </w:r>
      <w:r w:rsidR="00105841">
        <w:rPr>
          <w:rFonts w:cs="Tahoma"/>
          <w:b/>
          <w:szCs w:val="22"/>
        </w:rPr>
        <w:t>X</w:t>
      </w:r>
      <w:r w:rsidRPr="001617CE">
        <w:rPr>
          <w:rFonts w:cs="Tahoma"/>
          <w:b/>
          <w:szCs w:val="22"/>
        </w:rPr>
        <w:t>.</w:t>
      </w:r>
    </w:p>
    <w:p w14:paraId="34174441" w14:textId="77777777" w:rsidR="00515503" w:rsidRPr="001617CE" w:rsidRDefault="00515503" w:rsidP="004C09A1">
      <w:pPr>
        <w:pStyle w:val="Zkladntext"/>
        <w:spacing w:line="240" w:lineRule="auto"/>
        <w:jc w:val="center"/>
        <w:rPr>
          <w:rFonts w:cs="Tahoma"/>
          <w:b/>
          <w:szCs w:val="22"/>
        </w:rPr>
      </w:pPr>
      <w:r w:rsidRPr="001617CE">
        <w:rPr>
          <w:rFonts w:cs="Tahoma"/>
          <w:b/>
          <w:szCs w:val="22"/>
        </w:rPr>
        <w:t>Závěrečná ustanovení</w:t>
      </w:r>
    </w:p>
    <w:p w14:paraId="7BA246BA" w14:textId="0F27C37D" w:rsidR="0051550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</w:pPr>
      <w:r>
        <w:t>Tato Smlouva nabývá platnosti a účinnosti dnem jejího podpisu oběma smluvními stranami. Lze ji měnit či rušit pouze na základě písemné dohody smluvní stran, a to písemnými dodatky, podepsanými oprávněnými zástupci stran na téže listině.</w:t>
      </w:r>
    </w:p>
    <w:p w14:paraId="1B805AF6" w14:textId="77777777" w:rsidR="00515503" w:rsidRPr="001617CE" w:rsidRDefault="00515503" w:rsidP="004C09A1">
      <w:pPr>
        <w:pStyle w:val="Zkladntext"/>
        <w:widowControl w:val="0"/>
        <w:numPr>
          <w:ilvl w:val="0"/>
          <w:numId w:val="3"/>
        </w:numPr>
        <w:tabs>
          <w:tab w:val="left" w:pos="284"/>
          <w:tab w:val="left" w:pos="426"/>
        </w:tabs>
        <w:overflowPunct/>
        <w:autoSpaceDE/>
        <w:autoSpaceDN/>
        <w:adjustRightInd/>
        <w:spacing w:after="0" w:line="240" w:lineRule="auto"/>
        <w:ind w:left="284" w:hanging="284"/>
        <w:jc w:val="both"/>
        <w:textAlignment w:val="auto"/>
        <w:rPr>
          <w:rFonts w:cs="Tahoma"/>
          <w:szCs w:val="22"/>
        </w:rPr>
      </w:pPr>
      <w:r>
        <w:rPr>
          <w:rFonts w:cs="Tahoma"/>
          <w:szCs w:val="22"/>
        </w:rPr>
        <w:t>Tato S</w:t>
      </w:r>
      <w:r w:rsidRPr="001617CE">
        <w:rPr>
          <w:rFonts w:cs="Tahoma"/>
          <w:szCs w:val="22"/>
        </w:rPr>
        <w:t>mlouva je vyhotovena ve dvou stejnopisech s platností originálu, přičemž každá smluvní strana obdrží jedno vyhotovení.</w:t>
      </w:r>
    </w:p>
    <w:p w14:paraId="262E5FEB" w14:textId="77777777" w:rsidR="0051550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>
        <w:t>Stane-li se některé ustanovení této Smlouvy zcela nebo částečně neplatné, ostatní nedotčená ustanovení zůstávají v platnosti. V takovém případě se smluvní strany dohodly, že bez zbytečného odkladu nahradí neplatné nebo nevynutitelné ustanovení platným a vynutitelným, aby se dosáhlo v maximální možné míře souladu s právními předpisy účinků a výsledku, jaký byl sledován nahrazovaným ustanovením.</w:t>
      </w:r>
    </w:p>
    <w:p w14:paraId="5C2277F6" w14:textId="77777777" w:rsidR="00515503" w:rsidRPr="00AD17B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spacing w:line="240" w:lineRule="auto"/>
        <w:ind w:left="284" w:hanging="284"/>
        <w:jc w:val="both"/>
        <w:rPr>
          <w:szCs w:val="22"/>
        </w:rPr>
      </w:pPr>
      <w:r>
        <w:rPr>
          <w:szCs w:val="22"/>
        </w:rPr>
        <w:t>Dodavatel</w:t>
      </w:r>
      <w:r w:rsidRPr="00AD17B3">
        <w:rPr>
          <w:szCs w:val="22"/>
        </w:rPr>
        <w:t xml:space="preserve"> odpovídá </w:t>
      </w:r>
      <w:r>
        <w:rPr>
          <w:szCs w:val="22"/>
        </w:rPr>
        <w:t>Partnerovi</w:t>
      </w:r>
      <w:r w:rsidRPr="00AD17B3">
        <w:rPr>
          <w:szCs w:val="22"/>
        </w:rPr>
        <w:t xml:space="preserve"> za veškeré škody </w:t>
      </w:r>
      <w:r>
        <w:rPr>
          <w:szCs w:val="22"/>
        </w:rPr>
        <w:t>Dodavatelem</w:t>
      </w:r>
      <w:r w:rsidRPr="00AD17B3">
        <w:rPr>
          <w:szCs w:val="22"/>
        </w:rPr>
        <w:t xml:space="preserve"> způsobené neplněním nebo porušením povinností dle </w:t>
      </w:r>
      <w:r>
        <w:rPr>
          <w:szCs w:val="22"/>
        </w:rPr>
        <w:t>této S</w:t>
      </w:r>
      <w:r w:rsidRPr="00AD17B3">
        <w:rPr>
          <w:szCs w:val="22"/>
        </w:rPr>
        <w:t>mlouvy.</w:t>
      </w:r>
    </w:p>
    <w:p w14:paraId="3160FE0C" w14:textId="77777777" w:rsidR="00515503" w:rsidRPr="00AD17B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szCs w:val="22"/>
        </w:rPr>
      </w:pPr>
      <w:r w:rsidRPr="00AD17B3">
        <w:rPr>
          <w:szCs w:val="22"/>
        </w:rPr>
        <w:t xml:space="preserve">Žádná ze </w:t>
      </w:r>
      <w:r>
        <w:rPr>
          <w:szCs w:val="22"/>
        </w:rPr>
        <w:t>s</w:t>
      </w:r>
      <w:r w:rsidRPr="00AD17B3">
        <w:rPr>
          <w:szCs w:val="22"/>
        </w:rPr>
        <w:t xml:space="preserve">mluvních stran není odpovědná za prodlení s porušením povinností stanovených </w:t>
      </w:r>
      <w:r>
        <w:rPr>
          <w:szCs w:val="22"/>
        </w:rPr>
        <w:t>S</w:t>
      </w:r>
      <w:r w:rsidRPr="00AD17B3">
        <w:rPr>
          <w:szCs w:val="22"/>
        </w:rPr>
        <w:t xml:space="preserve">mlouvou, pokud bylo způsobeno okolnostmi vylučujícími odpovědnost (vyšší moc). Za vyšší moc dle </w:t>
      </w:r>
      <w:r>
        <w:rPr>
          <w:szCs w:val="22"/>
        </w:rPr>
        <w:t>S</w:t>
      </w:r>
      <w:r w:rsidRPr="00AD17B3">
        <w:rPr>
          <w:szCs w:val="22"/>
        </w:rPr>
        <w:t xml:space="preserve">mlouvy se považují mimořádné okolnosti bránící dočasně nebo trvale splnění v ní stanovených povinností, pokud nastaly po jejím uzavření nezávisle na vůli povinné strany a jestliže nemohly být tyto okolnosti nebo jejich následky povinnou stranou odvráceny ani při vynaložení veškerého úsilí, které lze na ni v dané situaci spravedlivě požadovat. </w:t>
      </w:r>
      <w:r w:rsidRPr="00AD17B3">
        <w:rPr>
          <w:szCs w:val="22"/>
        </w:rPr>
        <w:tab/>
      </w:r>
    </w:p>
    <w:p w14:paraId="70FED87D" w14:textId="77777777" w:rsidR="00515503" w:rsidRPr="00AD17B3" w:rsidRDefault="00515503" w:rsidP="004C09A1">
      <w:pPr>
        <w:pStyle w:val="lnek10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rFonts w:asciiTheme="minorHAnsi" w:hAnsiTheme="minorHAnsi" w:cs="Times New Roman"/>
        </w:rPr>
      </w:pPr>
      <w:r w:rsidRPr="00AD17B3">
        <w:rPr>
          <w:rFonts w:asciiTheme="minorHAnsi" w:hAnsiTheme="minorHAnsi" w:cs="Times New Roman"/>
        </w:rPr>
        <w:t xml:space="preserve">Smluvní strany se zavazují vyvinout maximální úsilí k odstranění vzájemných sporů vzniklých na základě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nebo v souvislosti s ní, včetně sporů o její výklad či platnost a usilovat se o</w:t>
      </w:r>
      <w:r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>smírné vyřešení těchto sporů nejprve prostřednictvím jednání kontaktních osob nebo pověřených zástupců.</w:t>
      </w:r>
      <w:r>
        <w:rPr>
          <w:rFonts w:asciiTheme="minorHAnsi" w:hAnsiTheme="minorHAnsi" w:cs="Times New Roman"/>
        </w:rPr>
        <w:t xml:space="preserve"> </w:t>
      </w:r>
      <w:r w:rsidRPr="00AD17B3">
        <w:rPr>
          <w:rFonts w:asciiTheme="minorHAnsi" w:hAnsiTheme="minorHAnsi" w:cs="Times New Roman"/>
        </w:rPr>
        <w:t xml:space="preserve">Nebude-li vyřešen smírně, bude každý spor vzniklý na základě </w:t>
      </w:r>
      <w:r>
        <w:rPr>
          <w:rFonts w:asciiTheme="minorHAnsi" w:hAnsiTheme="minorHAnsi" w:cs="Times New Roman"/>
        </w:rPr>
        <w:t>S</w:t>
      </w:r>
      <w:r w:rsidRPr="00AD17B3">
        <w:rPr>
          <w:rFonts w:asciiTheme="minorHAnsi" w:hAnsiTheme="minorHAnsi" w:cs="Times New Roman"/>
        </w:rPr>
        <w:t>mlouvy rozhodován u</w:t>
      </w:r>
      <w:r>
        <w:rPr>
          <w:rFonts w:asciiTheme="minorHAnsi" w:hAnsiTheme="minorHAnsi" w:cs="Times New Roman"/>
        </w:rPr>
        <w:t> </w:t>
      </w:r>
      <w:r w:rsidRPr="00AD17B3">
        <w:rPr>
          <w:rFonts w:asciiTheme="minorHAnsi" w:hAnsiTheme="minorHAnsi" w:cs="Times New Roman"/>
        </w:rPr>
        <w:t xml:space="preserve">obecného soudu České republiky, který je místně příslušný pro </w:t>
      </w:r>
      <w:r>
        <w:rPr>
          <w:rFonts w:asciiTheme="minorHAnsi" w:hAnsiTheme="minorHAnsi" w:cs="Times New Roman"/>
        </w:rPr>
        <w:t>Partnera</w:t>
      </w:r>
      <w:r w:rsidRPr="00AD17B3">
        <w:rPr>
          <w:rFonts w:asciiTheme="minorHAnsi" w:hAnsiTheme="minorHAnsi" w:cs="Times New Roman"/>
        </w:rPr>
        <w:t>, nestanoví-li zákon výlučnou místní příslušnost jiného soudu.</w:t>
      </w:r>
    </w:p>
    <w:p w14:paraId="7BC43435" w14:textId="36E20968" w:rsidR="00515503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>
        <w:t>Právní vztahy v této Smlouvě neupravené nebo upravené jen částečně se řídí právním řádem České republiky, zejména příslušnými ustanoveními zákona č. 89/2012 Sb., občanský zákoník, ve znění pozdějších předpisů.</w:t>
      </w:r>
    </w:p>
    <w:p w14:paraId="3113DEC0" w14:textId="77777777" w:rsidR="00515503" w:rsidRPr="00267BA4" w:rsidRDefault="00515503" w:rsidP="004C09A1">
      <w:pPr>
        <w:pStyle w:val="Odstavecseseznamem"/>
        <w:numPr>
          <w:ilvl w:val="0"/>
          <w:numId w:val="3"/>
        </w:numPr>
        <w:tabs>
          <w:tab w:val="left" w:pos="284"/>
        </w:tabs>
        <w:overflowPunct/>
        <w:autoSpaceDE/>
        <w:autoSpaceDN/>
        <w:adjustRightInd/>
        <w:spacing w:line="240" w:lineRule="auto"/>
        <w:ind w:left="284" w:hanging="284"/>
        <w:jc w:val="both"/>
        <w:textAlignment w:val="auto"/>
      </w:pPr>
      <w:r>
        <w:t xml:space="preserve">Obě smluvní strany prohlašují, že si tuto Smlouvu před jejím podpisem řádně přečetly, že byla uzavřena podle jejich pravé a svobodné vůle, určitě, vážně a srozumitelně, </w:t>
      </w:r>
      <w:r w:rsidRPr="00AD17B3">
        <w:rPr>
          <w:szCs w:val="22"/>
        </w:rPr>
        <w:t xml:space="preserve">při respektování principu poctivost, spravedlnosti a rovnosti smluvních stran, </w:t>
      </w:r>
      <w:r>
        <w:t>což zástupci obou smluvních stran stvrzují svými podpisy.</w:t>
      </w:r>
    </w:p>
    <w:p w14:paraId="39B3C0D8" w14:textId="77777777" w:rsidR="00D05D94" w:rsidRDefault="00D05D94" w:rsidP="004C09A1">
      <w:pPr>
        <w:pStyle w:val="Zkladntext"/>
        <w:spacing w:line="240" w:lineRule="auto"/>
        <w:jc w:val="both"/>
        <w:rPr>
          <w:rFonts w:cs="Tahoma"/>
          <w:szCs w:val="22"/>
        </w:rPr>
      </w:pPr>
    </w:p>
    <w:p w14:paraId="46BC4840" w14:textId="0D457561" w:rsidR="00515503" w:rsidRPr="001617CE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>V Praze dne:</w:t>
      </w:r>
      <w:r w:rsidR="00A03E50">
        <w:rPr>
          <w:rFonts w:cs="Tahoma"/>
          <w:szCs w:val="22"/>
        </w:rPr>
        <w:tab/>
      </w:r>
      <w:r w:rsidRPr="001617CE">
        <w:rPr>
          <w:rFonts w:cs="Tahoma"/>
          <w:szCs w:val="22"/>
        </w:rPr>
        <w:t xml:space="preserve">                    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="00532809">
        <w:rPr>
          <w:rFonts w:cs="Tahoma"/>
          <w:szCs w:val="22"/>
        </w:rPr>
        <w:tab/>
      </w:r>
      <w:r w:rsidRPr="001617CE">
        <w:rPr>
          <w:rFonts w:cs="Tahoma"/>
          <w:szCs w:val="22"/>
        </w:rPr>
        <w:t>V</w:t>
      </w:r>
      <w:r w:rsidR="00532809">
        <w:rPr>
          <w:rFonts w:cs="Tahoma"/>
          <w:szCs w:val="22"/>
        </w:rPr>
        <w:t xml:space="preserve"> Praze </w:t>
      </w:r>
      <w:r w:rsidRPr="001617CE">
        <w:rPr>
          <w:rFonts w:cs="Tahoma"/>
          <w:szCs w:val="22"/>
        </w:rPr>
        <w:t>dne</w:t>
      </w:r>
      <w:r>
        <w:rPr>
          <w:rFonts w:cs="Tahoma"/>
          <w:szCs w:val="22"/>
        </w:rPr>
        <w:t>:</w:t>
      </w:r>
      <w:r>
        <w:rPr>
          <w:rFonts w:cs="Tahoma"/>
          <w:szCs w:val="22"/>
        </w:rPr>
        <w:tab/>
      </w:r>
    </w:p>
    <w:p w14:paraId="402C9DF6" w14:textId="67587991" w:rsidR="00515503" w:rsidRDefault="00515503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483CAB3B" w14:textId="77777777" w:rsidR="00CD4651" w:rsidRDefault="00CD4651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749AB4FF" w14:textId="6E1EA2A1" w:rsidR="00A03E50" w:rsidRDefault="00A03E50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2851EE67" w14:textId="6A33BF41" w:rsidR="00A03E50" w:rsidRDefault="00A03E50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5E3D18A6" w14:textId="77777777" w:rsidR="00A03E50" w:rsidRPr="001617CE" w:rsidRDefault="00A03E50" w:rsidP="004C09A1">
      <w:pPr>
        <w:pStyle w:val="Zkladntext"/>
        <w:spacing w:line="240" w:lineRule="auto"/>
        <w:ind w:firstLine="709"/>
        <w:jc w:val="both"/>
        <w:rPr>
          <w:rFonts w:cs="Tahoma"/>
          <w:szCs w:val="22"/>
        </w:rPr>
      </w:pPr>
    </w:p>
    <w:p w14:paraId="50E89DD3" w14:textId="77777777" w:rsidR="00515503" w:rsidRPr="001617CE" w:rsidRDefault="00515503" w:rsidP="004C09A1">
      <w:pPr>
        <w:pStyle w:val="Zkladntext"/>
        <w:spacing w:line="240" w:lineRule="auto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>………………………………..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Pr="001617CE">
        <w:rPr>
          <w:rFonts w:cs="Tahoma"/>
          <w:szCs w:val="22"/>
        </w:rPr>
        <w:t>……………………………………..</w:t>
      </w:r>
    </w:p>
    <w:p w14:paraId="06FB8E3C" w14:textId="77777777" w:rsidR="00515503" w:rsidRPr="00F73B5C" w:rsidRDefault="00515503" w:rsidP="004C09A1">
      <w:pPr>
        <w:pStyle w:val="Zkladntext"/>
        <w:spacing w:line="240" w:lineRule="auto"/>
        <w:ind w:firstLine="708"/>
        <w:jc w:val="both"/>
        <w:rPr>
          <w:rFonts w:cs="Tahoma"/>
          <w:szCs w:val="22"/>
        </w:rPr>
      </w:pPr>
      <w:r w:rsidRPr="001617CE">
        <w:rPr>
          <w:rFonts w:cs="Tahoma"/>
          <w:szCs w:val="22"/>
        </w:rPr>
        <w:t xml:space="preserve">Partner </w:t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</w:r>
      <w:r w:rsidRPr="001617CE">
        <w:rPr>
          <w:rFonts w:cs="Tahoma"/>
          <w:szCs w:val="22"/>
        </w:rPr>
        <w:tab/>
        <w:t xml:space="preserve">            </w:t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>
        <w:rPr>
          <w:rFonts w:cs="Tahoma"/>
          <w:szCs w:val="22"/>
        </w:rPr>
        <w:tab/>
      </w:r>
      <w:r w:rsidRPr="001617CE">
        <w:rPr>
          <w:rFonts w:cs="Tahoma"/>
          <w:szCs w:val="22"/>
        </w:rPr>
        <w:t>Dodavatel</w:t>
      </w:r>
    </w:p>
    <w:p w14:paraId="7B8C3A75" w14:textId="77777777" w:rsidR="008452D7" w:rsidRDefault="008452D7" w:rsidP="004C09A1">
      <w:pPr>
        <w:spacing w:line="240" w:lineRule="auto"/>
      </w:pPr>
    </w:p>
    <w:sectPr w:rsidR="008452D7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160BA" w14:textId="77777777" w:rsidR="00FA3F3D" w:rsidRDefault="00FA3F3D">
      <w:pPr>
        <w:spacing w:after="0" w:line="240" w:lineRule="auto"/>
      </w:pPr>
      <w:r>
        <w:separator/>
      </w:r>
    </w:p>
  </w:endnote>
  <w:endnote w:type="continuationSeparator" w:id="0">
    <w:p w14:paraId="54A01044" w14:textId="77777777" w:rsidR="00FA3F3D" w:rsidRDefault="00FA3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5329277"/>
      <w:docPartObj>
        <w:docPartGallery w:val="Page Numbers (Bottom of Page)"/>
        <w:docPartUnique/>
      </w:docPartObj>
    </w:sdtPr>
    <w:sdtEndPr/>
    <w:sdtContent>
      <w:p w14:paraId="58DD8B52" w14:textId="77777777" w:rsidR="00520CE7" w:rsidRDefault="00B97B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185">
          <w:rPr>
            <w:noProof/>
          </w:rPr>
          <w:t>3</w:t>
        </w:r>
        <w:r>
          <w:fldChar w:fldCharType="end"/>
        </w:r>
      </w:p>
    </w:sdtContent>
  </w:sdt>
  <w:p w14:paraId="4636B822" w14:textId="77777777" w:rsidR="00520CE7" w:rsidRDefault="00DF683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F48B1" w14:textId="77777777" w:rsidR="00FA3F3D" w:rsidRDefault="00FA3F3D">
      <w:pPr>
        <w:spacing w:after="0" w:line="240" w:lineRule="auto"/>
      </w:pPr>
      <w:r>
        <w:separator/>
      </w:r>
    </w:p>
  </w:footnote>
  <w:footnote w:type="continuationSeparator" w:id="0">
    <w:p w14:paraId="32D03836" w14:textId="77777777" w:rsidR="00FA3F3D" w:rsidRDefault="00FA3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FF4"/>
    <w:multiLevelType w:val="hybridMultilevel"/>
    <w:tmpl w:val="55F63FF2"/>
    <w:lvl w:ilvl="0" w:tplc="0F3CB47A">
      <w:start w:val="8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0F666E5C"/>
    <w:multiLevelType w:val="hybridMultilevel"/>
    <w:tmpl w:val="1C82082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7">
      <w:start w:val="1"/>
      <w:numFmt w:val="lowerLetter"/>
      <w:lvlText w:val="%2)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7E38EE"/>
    <w:multiLevelType w:val="hybridMultilevel"/>
    <w:tmpl w:val="B448D202"/>
    <w:lvl w:ilvl="0" w:tplc="B992C692">
      <w:start w:val="1"/>
      <w:numFmt w:val="decimal"/>
      <w:pStyle w:val="lnek10"/>
      <w:lvlText w:val="(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4E6230"/>
    <w:multiLevelType w:val="hybridMultilevel"/>
    <w:tmpl w:val="C130FA26"/>
    <w:lvl w:ilvl="0" w:tplc="68B66F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4B352B4"/>
    <w:multiLevelType w:val="hybridMultilevel"/>
    <w:tmpl w:val="11B21F94"/>
    <w:lvl w:ilvl="0" w:tplc="F5766EA4">
      <w:start w:val="1"/>
      <w:numFmt w:val="decimal"/>
      <w:lvlText w:val="%1."/>
      <w:lvlJc w:val="left"/>
      <w:pPr>
        <w:ind w:left="786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825201"/>
    <w:multiLevelType w:val="hybridMultilevel"/>
    <w:tmpl w:val="884A18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B5E59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744B6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276544D"/>
    <w:multiLevelType w:val="hybridMultilevel"/>
    <w:tmpl w:val="38D0F810"/>
    <w:lvl w:ilvl="0" w:tplc="53601A74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53B0D67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5F2947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653B51"/>
    <w:multiLevelType w:val="hybridMultilevel"/>
    <w:tmpl w:val="9DAA2706"/>
    <w:lvl w:ilvl="0" w:tplc="71484446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483B47"/>
    <w:multiLevelType w:val="hybridMultilevel"/>
    <w:tmpl w:val="23746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B4510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B6589A"/>
    <w:multiLevelType w:val="hybridMultilevel"/>
    <w:tmpl w:val="11DA1D06"/>
    <w:lvl w:ilvl="0" w:tplc="B8AC4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B0370E3"/>
    <w:multiLevelType w:val="hybridMultilevel"/>
    <w:tmpl w:val="047A1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2665D"/>
    <w:multiLevelType w:val="hybridMultilevel"/>
    <w:tmpl w:val="2042D6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B30222"/>
    <w:multiLevelType w:val="hybridMultilevel"/>
    <w:tmpl w:val="B6CC5018"/>
    <w:lvl w:ilvl="0" w:tplc="F828B1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002E2"/>
    <w:multiLevelType w:val="hybridMultilevel"/>
    <w:tmpl w:val="89CCE35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E1593E"/>
    <w:multiLevelType w:val="hybridMultilevel"/>
    <w:tmpl w:val="CCFC8DA0"/>
    <w:lvl w:ilvl="0" w:tplc="25FCA8D6">
      <w:start w:val="1"/>
      <w:numFmt w:val="decimal"/>
      <w:lvlText w:val="%1."/>
      <w:lvlJc w:val="left"/>
      <w:pPr>
        <w:ind w:left="1065" w:hanging="360"/>
      </w:pPr>
      <w:rPr>
        <w:rFonts w:asciiTheme="minorHAnsi" w:eastAsia="Times New Roman" w:hAnsiTheme="minorHAns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8164A7"/>
    <w:multiLevelType w:val="hybridMultilevel"/>
    <w:tmpl w:val="047A1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0397C"/>
    <w:multiLevelType w:val="hybridMultilevel"/>
    <w:tmpl w:val="32E04AB2"/>
    <w:lvl w:ilvl="0" w:tplc="180CEA3C">
      <w:start w:val="1"/>
      <w:numFmt w:val="decimal"/>
      <w:pStyle w:val="lnek05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840793C"/>
    <w:multiLevelType w:val="hybridMultilevel"/>
    <w:tmpl w:val="B0C05BF8"/>
    <w:lvl w:ilvl="0" w:tplc="74DEF58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 w15:restartNumberingAfterBreak="0">
    <w:nsid w:val="7E0F5A0D"/>
    <w:multiLevelType w:val="hybridMultilevel"/>
    <w:tmpl w:val="E41A7630"/>
    <w:lvl w:ilvl="0" w:tplc="9DF2CF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EC354B2"/>
    <w:multiLevelType w:val="hybridMultilevel"/>
    <w:tmpl w:val="3C1ED810"/>
    <w:lvl w:ilvl="0" w:tplc="589EF8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0"/>
  </w:num>
  <w:num w:numId="5">
    <w:abstractNumId w:val="15"/>
  </w:num>
  <w:num w:numId="6">
    <w:abstractNumId w:val="2"/>
  </w:num>
  <w:num w:numId="7">
    <w:abstractNumId w:val="16"/>
  </w:num>
  <w:num w:numId="8">
    <w:abstractNumId w:val="7"/>
  </w:num>
  <w:num w:numId="9">
    <w:abstractNumId w:val="0"/>
  </w:num>
  <w:num w:numId="10">
    <w:abstractNumId w:val="13"/>
  </w:num>
  <w:num w:numId="11">
    <w:abstractNumId w:val="5"/>
  </w:num>
  <w:num w:numId="12">
    <w:abstractNumId w:val="4"/>
  </w:num>
  <w:num w:numId="13">
    <w:abstractNumId w:val="18"/>
  </w:num>
  <w:num w:numId="14">
    <w:abstractNumId w:val="23"/>
  </w:num>
  <w:num w:numId="15">
    <w:abstractNumId w:val="22"/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12"/>
  </w:num>
  <w:num w:numId="21">
    <w:abstractNumId w:val="14"/>
  </w:num>
  <w:num w:numId="22">
    <w:abstractNumId w:val="19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03"/>
    <w:rsid w:val="0004580D"/>
    <w:rsid w:val="000775C1"/>
    <w:rsid w:val="000B1BE9"/>
    <w:rsid w:val="00105841"/>
    <w:rsid w:val="00107676"/>
    <w:rsid w:val="001559AF"/>
    <w:rsid w:val="00161A35"/>
    <w:rsid w:val="001702FA"/>
    <w:rsid w:val="00190185"/>
    <w:rsid w:val="001A1DFC"/>
    <w:rsid w:val="001D3AC3"/>
    <w:rsid w:val="001F12D1"/>
    <w:rsid w:val="00225E8A"/>
    <w:rsid w:val="00227B42"/>
    <w:rsid w:val="00233A4F"/>
    <w:rsid w:val="0024365B"/>
    <w:rsid w:val="00247B23"/>
    <w:rsid w:val="00281FE8"/>
    <w:rsid w:val="00285128"/>
    <w:rsid w:val="002E1E32"/>
    <w:rsid w:val="002F4BC8"/>
    <w:rsid w:val="00303C19"/>
    <w:rsid w:val="00315700"/>
    <w:rsid w:val="00323534"/>
    <w:rsid w:val="00346FFB"/>
    <w:rsid w:val="003735F1"/>
    <w:rsid w:val="00373847"/>
    <w:rsid w:val="00397BC2"/>
    <w:rsid w:val="003B44C1"/>
    <w:rsid w:val="003B7B1A"/>
    <w:rsid w:val="003E08F0"/>
    <w:rsid w:val="003E53D6"/>
    <w:rsid w:val="003F0968"/>
    <w:rsid w:val="003F24C4"/>
    <w:rsid w:val="003F2EC4"/>
    <w:rsid w:val="004113F0"/>
    <w:rsid w:val="004263AD"/>
    <w:rsid w:val="00432535"/>
    <w:rsid w:val="004516E8"/>
    <w:rsid w:val="00485510"/>
    <w:rsid w:val="004A6180"/>
    <w:rsid w:val="004B1E2F"/>
    <w:rsid w:val="004C09A1"/>
    <w:rsid w:val="004C1AC6"/>
    <w:rsid w:val="004C5ACF"/>
    <w:rsid w:val="004D4F9D"/>
    <w:rsid w:val="004E4149"/>
    <w:rsid w:val="004E761B"/>
    <w:rsid w:val="00515503"/>
    <w:rsid w:val="0051579A"/>
    <w:rsid w:val="00520295"/>
    <w:rsid w:val="00532809"/>
    <w:rsid w:val="005500B4"/>
    <w:rsid w:val="005519AA"/>
    <w:rsid w:val="0055390C"/>
    <w:rsid w:val="00571558"/>
    <w:rsid w:val="00584EFB"/>
    <w:rsid w:val="005F6836"/>
    <w:rsid w:val="00602CB1"/>
    <w:rsid w:val="00604F25"/>
    <w:rsid w:val="00622FB6"/>
    <w:rsid w:val="006262F1"/>
    <w:rsid w:val="006336A9"/>
    <w:rsid w:val="006343BB"/>
    <w:rsid w:val="006641B8"/>
    <w:rsid w:val="006C0BAD"/>
    <w:rsid w:val="006D42B2"/>
    <w:rsid w:val="006F73AA"/>
    <w:rsid w:val="006F7B1F"/>
    <w:rsid w:val="00707556"/>
    <w:rsid w:val="00713C44"/>
    <w:rsid w:val="00716D9D"/>
    <w:rsid w:val="00730980"/>
    <w:rsid w:val="00776B3D"/>
    <w:rsid w:val="00785D9E"/>
    <w:rsid w:val="00785F15"/>
    <w:rsid w:val="00795737"/>
    <w:rsid w:val="007C6CA6"/>
    <w:rsid w:val="00805941"/>
    <w:rsid w:val="00811893"/>
    <w:rsid w:val="008452D7"/>
    <w:rsid w:val="0085450A"/>
    <w:rsid w:val="00854DBC"/>
    <w:rsid w:val="00893E10"/>
    <w:rsid w:val="008E032F"/>
    <w:rsid w:val="008E2AB8"/>
    <w:rsid w:val="008E304C"/>
    <w:rsid w:val="009446EE"/>
    <w:rsid w:val="0095486F"/>
    <w:rsid w:val="00956B92"/>
    <w:rsid w:val="00976972"/>
    <w:rsid w:val="009E2C7B"/>
    <w:rsid w:val="009E79A3"/>
    <w:rsid w:val="009F2181"/>
    <w:rsid w:val="00A03E50"/>
    <w:rsid w:val="00A12B9E"/>
    <w:rsid w:val="00A32D06"/>
    <w:rsid w:val="00A53466"/>
    <w:rsid w:val="00A57D72"/>
    <w:rsid w:val="00AA3BE0"/>
    <w:rsid w:val="00AD08BD"/>
    <w:rsid w:val="00AF667D"/>
    <w:rsid w:val="00AF6FD8"/>
    <w:rsid w:val="00B00C03"/>
    <w:rsid w:val="00B368AB"/>
    <w:rsid w:val="00B509ED"/>
    <w:rsid w:val="00B553EC"/>
    <w:rsid w:val="00B61ED5"/>
    <w:rsid w:val="00B66AFE"/>
    <w:rsid w:val="00B97B7F"/>
    <w:rsid w:val="00BA4249"/>
    <w:rsid w:val="00BB7D94"/>
    <w:rsid w:val="00BD75A3"/>
    <w:rsid w:val="00BE5CA5"/>
    <w:rsid w:val="00C86529"/>
    <w:rsid w:val="00CA0E4C"/>
    <w:rsid w:val="00CA6492"/>
    <w:rsid w:val="00CB29CD"/>
    <w:rsid w:val="00CC1B98"/>
    <w:rsid w:val="00CD4651"/>
    <w:rsid w:val="00CF3DF8"/>
    <w:rsid w:val="00D05D94"/>
    <w:rsid w:val="00D10142"/>
    <w:rsid w:val="00D10BE8"/>
    <w:rsid w:val="00D1433E"/>
    <w:rsid w:val="00D37209"/>
    <w:rsid w:val="00D5547F"/>
    <w:rsid w:val="00D859DA"/>
    <w:rsid w:val="00DC4A19"/>
    <w:rsid w:val="00DC5399"/>
    <w:rsid w:val="00DF6837"/>
    <w:rsid w:val="00E43D14"/>
    <w:rsid w:val="00E536F1"/>
    <w:rsid w:val="00EA10FC"/>
    <w:rsid w:val="00F07CE9"/>
    <w:rsid w:val="00F12EBD"/>
    <w:rsid w:val="00F460CC"/>
    <w:rsid w:val="00F746BE"/>
    <w:rsid w:val="00F80999"/>
    <w:rsid w:val="00FA3F3D"/>
    <w:rsid w:val="00FA6B65"/>
    <w:rsid w:val="00FB5F7A"/>
    <w:rsid w:val="00FC07BD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F4E0B"/>
  <w15:chartTrackingRefBased/>
  <w15:docId w15:val="{6873816C-10D8-4595-BAE0-AA3C7DAF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15503"/>
    <w:pPr>
      <w:overflowPunct w:val="0"/>
      <w:autoSpaceDE w:val="0"/>
      <w:autoSpaceDN w:val="0"/>
      <w:adjustRightInd w:val="0"/>
      <w:spacing w:line="340" w:lineRule="exact"/>
      <w:textAlignment w:val="baseline"/>
    </w:pPr>
    <w:rPr>
      <w:rFonts w:eastAsia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"/>
    <w:basedOn w:val="Normln"/>
    <w:link w:val="OdstavecseseznamemChar"/>
    <w:uiPriority w:val="34"/>
    <w:unhideWhenUsed/>
    <w:qFormat/>
    <w:rsid w:val="00515503"/>
    <w:pPr>
      <w:ind w:left="720"/>
      <w:contextualSpacing/>
    </w:pPr>
  </w:style>
  <w:style w:type="paragraph" w:styleId="Zkladntext">
    <w:name w:val="Body Text"/>
    <w:basedOn w:val="Normln"/>
    <w:link w:val="ZkladntextChar"/>
    <w:rsid w:val="00515503"/>
  </w:style>
  <w:style w:type="character" w:customStyle="1" w:styleId="ZkladntextChar">
    <w:name w:val="Základní text Char"/>
    <w:basedOn w:val="Standardnpsmoodstavce"/>
    <w:link w:val="Zkladntext"/>
    <w:rsid w:val="00515503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5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5503"/>
    <w:rPr>
      <w:rFonts w:eastAsia="Times New Roman" w:cs="Times New Roman"/>
      <w:szCs w:val="20"/>
      <w:lang w:eastAsia="cs-CZ"/>
    </w:rPr>
  </w:style>
  <w:style w:type="paragraph" w:customStyle="1" w:styleId="Style4">
    <w:name w:val="Style4"/>
    <w:basedOn w:val="Normln"/>
    <w:uiPriority w:val="99"/>
    <w:rsid w:val="00515503"/>
    <w:pPr>
      <w:widowControl w:val="0"/>
      <w:overflowPunct/>
      <w:spacing w:after="0" w:line="281" w:lineRule="exact"/>
      <w:jc w:val="both"/>
      <w:textAlignment w:val="auto"/>
    </w:pPr>
    <w:rPr>
      <w:rFonts w:ascii="Georgia" w:hAnsi="Georgia"/>
      <w:sz w:val="24"/>
      <w:szCs w:val="24"/>
    </w:rPr>
  </w:style>
  <w:style w:type="character" w:customStyle="1" w:styleId="FontStyle15">
    <w:name w:val="Font Style15"/>
    <w:uiPriority w:val="99"/>
    <w:rsid w:val="00515503"/>
    <w:rPr>
      <w:rFonts w:ascii="Times New Roman" w:hAnsi="Times New Roman" w:cs="Times New Roman"/>
      <w:sz w:val="22"/>
      <w:szCs w:val="22"/>
    </w:rPr>
  </w:style>
  <w:style w:type="paragraph" w:customStyle="1" w:styleId="lnek05">
    <w:name w:val="Článek 05"/>
    <w:basedOn w:val="Normln"/>
    <w:qFormat/>
    <w:rsid w:val="00515503"/>
    <w:pPr>
      <w:widowControl w:val="0"/>
      <w:numPr>
        <w:numId w:val="4"/>
      </w:numPr>
      <w:tabs>
        <w:tab w:val="clear" w:pos="720"/>
        <w:tab w:val="left" w:pos="426"/>
      </w:tabs>
      <w:spacing w:after="120" w:line="240" w:lineRule="auto"/>
      <w:ind w:left="425" w:hanging="425"/>
      <w:jc w:val="both"/>
    </w:pPr>
    <w:rPr>
      <w:rFonts w:ascii="Arial" w:eastAsia="Calibri" w:hAnsi="Arial" w:cs="Arial"/>
      <w:szCs w:val="22"/>
      <w:lang w:eastAsia="en-US"/>
    </w:rPr>
  </w:style>
  <w:style w:type="paragraph" w:customStyle="1" w:styleId="lnek10">
    <w:name w:val="Článek 10"/>
    <w:basedOn w:val="Normln"/>
    <w:qFormat/>
    <w:rsid w:val="00515503"/>
    <w:pPr>
      <w:numPr>
        <w:numId w:val="6"/>
      </w:numPr>
      <w:spacing w:after="120" w:line="240" w:lineRule="auto"/>
      <w:jc w:val="both"/>
    </w:pPr>
    <w:rPr>
      <w:rFonts w:ascii="Arial" w:eastAsia="Calibri" w:hAnsi="Arial" w:cs="Arial"/>
      <w:szCs w:val="22"/>
      <w:lang w:eastAsia="en-US"/>
    </w:rPr>
  </w:style>
  <w:style w:type="paragraph" w:customStyle="1" w:styleId="left">
    <w:name w:val="left"/>
    <w:basedOn w:val="Normln"/>
    <w:rsid w:val="00515503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550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5E8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5E8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Conclusion de partie Char"/>
    <w:link w:val="Odstavecseseznamem"/>
    <w:uiPriority w:val="34"/>
    <w:locked/>
    <w:rsid w:val="0095486F"/>
    <w:rPr>
      <w:rFonts w:eastAsia="Times New Roman" w:cs="Times New Roman"/>
      <w:szCs w:val="20"/>
      <w:lang w:eastAsia="cs-CZ"/>
    </w:rPr>
  </w:style>
  <w:style w:type="paragraph" w:customStyle="1" w:styleId="Body">
    <w:name w:val="Body"/>
    <w:basedOn w:val="Normln"/>
    <w:rsid w:val="00B66AFE"/>
    <w:pPr>
      <w:spacing w:after="130" w:line="260" w:lineRule="exact"/>
      <w:jc w:val="both"/>
    </w:pPr>
    <w:rPr>
      <w:rFonts w:ascii="Arial" w:hAnsi="Arial"/>
      <w:lang w:val="en-GB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66AFE"/>
    <w:pPr>
      <w:overflowPunct/>
      <w:autoSpaceDE/>
      <w:autoSpaceDN/>
      <w:adjustRightInd/>
      <w:spacing w:after="120" w:line="259" w:lineRule="auto"/>
      <w:ind w:left="283"/>
      <w:textAlignment w:val="auto"/>
    </w:pPr>
    <w:rPr>
      <w:rFonts w:eastAsiaTheme="minorHAnsi" w:cstheme="minorBid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66AFE"/>
  </w:style>
  <w:style w:type="paragraph" w:styleId="Bezmezer">
    <w:name w:val="No Spacing"/>
    <w:uiPriority w:val="99"/>
    <w:qFormat/>
    <w:rsid w:val="00B6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8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A67AAC81C3142A52E5C88BD2A25EC" ma:contentTypeVersion="13" ma:contentTypeDescription="Vytvoří nový dokument" ma:contentTypeScope="" ma:versionID="8e53cc3675368b1e6be4ffe918977a79">
  <xsd:schema xmlns:xsd="http://www.w3.org/2001/XMLSchema" xmlns:xs="http://www.w3.org/2001/XMLSchema" xmlns:p="http://schemas.microsoft.com/office/2006/metadata/properties" xmlns:ns3="3539662c-4905-463a-98bc-eb05b982b96d" xmlns:ns4="be221c5a-70ec-4918-ad9c-75d1520b5f2b" targetNamespace="http://schemas.microsoft.com/office/2006/metadata/properties" ma:root="true" ma:fieldsID="164db896a94c15a38cdcaba45832288c" ns3:_="" ns4:_="">
    <xsd:import namespace="3539662c-4905-463a-98bc-eb05b982b96d"/>
    <xsd:import namespace="be221c5a-70ec-4918-ad9c-75d1520b5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9662c-4905-463a-98bc-eb05b98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1c5a-70ec-4918-ad9c-75d1520b5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2C0F-7F68-49FD-8F64-8FB323E632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7919A-2D1D-447B-A6FE-E6307A4FD12D}">
  <ds:schemaRefs>
    <ds:schemaRef ds:uri="http://schemas.microsoft.com/office/2006/documentManagement/types"/>
    <ds:schemaRef ds:uri="be221c5a-70ec-4918-ad9c-75d1520b5f2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539662c-4905-463a-98bc-eb05b982b96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13BB177-BC6A-41E0-BFBC-CCA0FAEC2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9662c-4905-463a-98bc-eb05b982b96d"/>
    <ds:schemaRef ds:uri="be221c5a-70ec-4918-ad9c-75d1520b5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8CC58B-FFF6-4344-87BC-2F9AA57A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38E65D44.dotm</Template>
  <TotalTime>1</TotalTime>
  <Pages>6</Pages>
  <Words>2244</Words>
  <Characters>13246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Vodička</dc:creator>
  <cp:keywords/>
  <dc:description/>
  <cp:lastModifiedBy>Košanová Lucie</cp:lastModifiedBy>
  <cp:revision>3</cp:revision>
  <dcterms:created xsi:type="dcterms:W3CDTF">2020-12-22T14:43:00Z</dcterms:created>
  <dcterms:modified xsi:type="dcterms:W3CDTF">2020-12-22T14:44:00Z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0x0101003A0A67AAC81C3142A52E5C88BD2A25EC</vt:lpwstr>
  </property>
</Properties>
</file>