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853"/>
        <w:gridCol w:w="8030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DODATEK Č. 1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00" w:line="254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Vypracování projektové dokumentace „Revitalizace areálu KSÚSV - středisko Velká</w:t>
        <w:br/>
        <w:t>Bíteš" ze dne 03. 07. 2020</w:t>
      </w:r>
      <w:bookmarkEnd w:id="0"/>
      <w:bookmarkEnd w:id="1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ZMR-SL-41-2020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smlouvy zhotovitele:</w:t>
      </w:r>
    </w:p>
    <w:tbl>
      <w:tblPr>
        <w:tblOverlap w:val="never"/>
        <w:jc w:val="center"/>
        <w:tblLayout w:type="fixed"/>
      </w:tblPr>
      <w:tblGrid>
        <w:gridCol w:w="1853"/>
        <w:gridCol w:w="8030"/>
      </w:tblGrid>
      <w:tr>
        <w:trPr>
          <w:trHeight w:val="73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Článek 1 Smluvní strany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 smluvních: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tbl>
      <w:tblPr>
        <w:tblOverlap w:val="never"/>
        <w:jc w:val="center"/>
        <w:tblLayout w:type="fixed"/>
      </w:tblPr>
      <w:tblGrid>
        <w:gridCol w:w="1853"/>
        <w:gridCol w:w="8030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„Objednatel")</w:t>
      </w:r>
    </w:p>
    <w:p>
      <w:pPr>
        <w:widowControl w:val="0"/>
        <w:spacing w:after="29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1435100</wp:posOffset>
                </wp:positionV>
                <wp:extent cx="6275705" cy="2165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75705" cy="2165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53"/>
                              <w:gridCol w:w="8030"/>
                            </w:tblGrid>
                            <w:tr>
                              <w:trPr>
                                <w:tblHeader/>
                                <w:trHeight w:val="34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69655316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200000000000003pt;margin-top:113.pt;width:494.14999999999998pt;height:17.050000000000001pt;z-index:-125829375;mso-wrap-distance-left:0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53"/>
                        <w:gridCol w:w="8030"/>
                      </w:tblGrid>
                      <w:tr>
                        <w:trPr>
                          <w:tblHeader/>
                          <w:trHeight w:val="34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69655316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1853"/>
        <w:gridCol w:w="8030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Josef Slabý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Arnolec 30, 588 27 Jamné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čj.: ZUJI/5221/2010/MA/5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53"/>
        <w:gridCol w:w="8030"/>
      </w:tblGrid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ČSOB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„Smluvnístrany"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„Smluvnístrana")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6" w:val="left"/>
        </w:tabs>
        <w:bidi w:val="0"/>
        <w:spacing w:before="0" w:after="24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ve změně doby plnění pro vypracování jednotlivých projektových dokumentací tak, jak je ujednáno v žádosti o prodloužení termínu ze dne 10. prosince 2020 z důvodu nedodání podepsaného situačního výkresu majitelky sousedního pozemku.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plnění dle článku 3. stávající smlouvy se mění tak, že původní ujednání v odst. 3.1., které zní: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PDPS dle odst. 2.1. písm. 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 měsíců od vypracování DSP předpoklad 12/2020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70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se ruší a nahrazuje takto:</w:t>
      </w:r>
      <w:bookmarkEnd w:id="4"/>
      <w:bookmarkEnd w:id="5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83" w:val="left"/>
        </w:tabs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PDPS dle odst. 2.1. písm. 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30. 01. 2021.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ve 4 výtiscích, z nichž 2 obdrží objednatel a 2 zhotovitel.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nabývá platnosti dnem podpisu obou stran a účinnosti dnem jeho uveřejnění v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9" w:val="left"/>
        </w:tabs>
        <w:bidi w:val="0"/>
        <w:spacing w:before="0" w:after="52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5380990</wp:posOffset>
                </wp:positionH>
                <wp:positionV relativeFrom="paragraph">
                  <wp:posOffset>12700</wp:posOffset>
                </wp:positionV>
                <wp:extent cx="875030" cy="7073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23.69999999999999pt;margin-top:1.pt;width:68.900000000000006pt;height:55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12700</wp:posOffset>
                </wp:positionV>
                <wp:extent cx="935990" cy="4508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450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Josef Slabý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9.399999999999999pt;margin-top:1.pt;width:73.700000000000003pt;height:35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Josef Slabý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Radován Necid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ředitél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714" w:left="1130" w:right="699" w:bottom="1802" w:header="12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3604260</wp:posOffset>
              </wp:positionH>
              <wp:positionV relativeFrom="page">
                <wp:posOffset>9781540</wp:posOffset>
              </wp:positionV>
              <wp:extent cx="62484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48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3.80000000000001pt;margin-top:770.20000000000005pt;width:49.200000000000003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9740265</wp:posOffset>
              </wp:positionV>
              <wp:extent cx="637032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3703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66.95000000000005pt;width:50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1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after="120" w:line="24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20" w:line="24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spacing w:after="350" w:line="247" w:lineRule="auto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