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945" w:rsidRDefault="00BB2945">
      <w:pPr>
        <w:pStyle w:val="sNadpis"/>
      </w:pPr>
      <w:bookmarkStart w:id="0" w:name="_GoBack"/>
      <w:bookmarkEnd w:id="0"/>
    </w:p>
    <w:p w:rsidR="00BB2945" w:rsidRDefault="00E3371C">
      <w:pPr>
        <w:pStyle w:val="sNadpis"/>
        <w:rPr>
          <w:szCs w:val="18"/>
        </w:rPr>
      </w:pPr>
      <w:r>
        <w:rPr>
          <w:szCs w:val="18"/>
        </w:rPr>
        <w:t>DOHODA O PŘISTOUPENÍ K PŮVODNÍ KUPNÍ SMLOUVĚ</w:t>
      </w:r>
    </w:p>
    <w:p w:rsidR="00BB2945" w:rsidRDefault="00E3371C">
      <w:pPr>
        <w:pStyle w:val="sNadpis"/>
      </w:pPr>
      <w:r>
        <w:rPr>
          <w:caps w:val="0"/>
        </w:rPr>
        <w:t>specifikované níže</w:t>
      </w:r>
    </w:p>
    <w:p w:rsidR="00BB2945" w:rsidRDefault="00E3371C">
      <w:pPr>
        <w:pStyle w:val="sNadpis"/>
      </w:pPr>
      <w:r>
        <w:t>Mezi níže uvedeným dodavatelem a nájemcem</w:t>
      </w:r>
    </w:p>
    <w:p w:rsidR="00BB2945" w:rsidRDefault="00E3371C">
      <w:pPr>
        <w:pStyle w:val="sNadpis1"/>
        <w:spacing w:after="240"/>
        <w:rPr>
          <w:b/>
        </w:rPr>
      </w:pPr>
      <w:r>
        <w:t xml:space="preserve"> (dále jen „dohoda“)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4536"/>
        <w:gridCol w:w="4536"/>
      </w:tblGrid>
      <w:tr w:rsidR="00BB2945">
        <w:trPr>
          <w:trHeight w:val="229"/>
          <w:jc w:val="center"/>
        </w:trPr>
        <w:tc>
          <w:tcPr>
            <w:tcW w:w="4536" w:type="dxa"/>
            <w:tcBorders>
              <w:bottom w:val="single" w:sz="4" w:space="0" w:color="auto"/>
            </w:tcBorders>
            <w:shd w:val="clear" w:color="auto" w:fill="auto"/>
          </w:tcPr>
          <w:p w:rsidR="00BB2945" w:rsidRDefault="00E3371C">
            <w:pPr>
              <w:pStyle w:val="sTabnorm"/>
              <w:keepNext/>
              <w:jc w:val="left"/>
            </w:pPr>
            <w:r>
              <w:t>Identifikace pronajímatele jako kupujícího:</w:t>
            </w:r>
          </w:p>
        </w:tc>
        <w:tc>
          <w:tcPr>
            <w:tcW w:w="4536" w:type="dxa"/>
            <w:tcBorders>
              <w:bottom w:val="single" w:sz="4" w:space="0" w:color="auto"/>
            </w:tcBorders>
            <w:shd w:val="clear" w:color="auto" w:fill="auto"/>
          </w:tcPr>
          <w:p w:rsidR="00BB2945" w:rsidRDefault="00E3371C">
            <w:pPr>
              <w:pStyle w:val="sTabnorm"/>
              <w:keepNext/>
              <w:jc w:val="left"/>
            </w:pPr>
            <w:r>
              <w:t>Identifikace dodavatele jako prodávajícího:</w:t>
            </w:r>
          </w:p>
        </w:tc>
      </w:tr>
      <w:tr w:rsidR="00BB2945">
        <w:trPr>
          <w:trHeight w:val="249"/>
          <w:jc w:val="center"/>
        </w:trPr>
        <w:tc>
          <w:tcPr>
            <w:tcW w:w="4536" w:type="dxa"/>
            <w:tcBorders>
              <w:top w:val="single" w:sz="4" w:space="0" w:color="auto"/>
              <w:left w:val="single" w:sz="4" w:space="0" w:color="auto"/>
              <w:bottom w:val="nil"/>
              <w:right w:val="single" w:sz="4" w:space="0" w:color="auto"/>
            </w:tcBorders>
            <w:shd w:val="clear" w:color="auto" w:fill="auto"/>
          </w:tcPr>
          <w:p w:rsidR="00BB2945" w:rsidRDefault="00E3371C">
            <w:pPr>
              <w:pStyle w:val="sTextbold"/>
              <w:keepNext/>
              <w:spacing w:before="60"/>
              <w:rPr>
                <w:b w:val="0"/>
              </w:rPr>
            </w:pPr>
            <w:r>
              <w:t>SG Equipment Finance Czech Republic s.r.o.</w:t>
            </w:r>
          </w:p>
        </w:tc>
        <w:tc>
          <w:tcPr>
            <w:tcW w:w="4536" w:type="dxa"/>
            <w:tcBorders>
              <w:top w:val="single" w:sz="4" w:space="0" w:color="auto"/>
              <w:left w:val="single" w:sz="4" w:space="0" w:color="auto"/>
              <w:bottom w:val="nil"/>
              <w:right w:val="single" w:sz="4" w:space="0" w:color="auto"/>
            </w:tcBorders>
            <w:shd w:val="clear" w:color="auto" w:fill="auto"/>
          </w:tcPr>
          <w:p w:rsidR="00BB2945" w:rsidRDefault="00E3371C">
            <w:pPr>
              <w:pStyle w:val="sTextbold"/>
              <w:keepNext/>
              <w:spacing w:before="60"/>
            </w:pPr>
            <w:r>
              <w:t>VSP Auto, s.r.o.</w:t>
            </w:r>
          </w:p>
        </w:tc>
      </w:tr>
      <w:tr w:rsidR="00BB2945">
        <w:trPr>
          <w:trHeight w:val="545"/>
          <w:jc w:val="center"/>
        </w:trPr>
        <w:tc>
          <w:tcPr>
            <w:tcW w:w="4536" w:type="dxa"/>
            <w:tcBorders>
              <w:top w:val="nil"/>
              <w:left w:val="single" w:sz="4" w:space="0" w:color="auto"/>
              <w:bottom w:val="nil"/>
              <w:right w:val="single" w:sz="4" w:space="0" w:color="auto"/>
            </w:tcBorders>
            <w:shd w:val="clear" w:color="auto" w:fill="auto"/>
          </w:tcPr>
          <w:p w:rsidR="00BB2945" w:rsidRDefault="00E3371C">
            <w:pPr>
              <w:pStyle w:val="sTabnorm"/>
              <w:keepNext/>
              <w:jc w:val="left"/>
            </w:pPr>
            <w:r>
              <w:t>náměstí Junkových 2772/1</w:t>
            </w:r>
          </w:p>
          <w:p w:rsidR="00BB2945" w:rsidRDefault="00E3371C">
            <w:pPr>
              <w:pStyle w:val="sTabnorm"/>
              <w:keepNext/>
              <w:jc w:val="left"/>
            </w:pPr>
            <w:r>
              <w:t>CZ-155 00 Praha 5</w:t>
            </w:r>
          </w:p>
        </w:tc>
        <w:tc>
          <w:tcPr>
            <w:tcW w:w="4536" w:type="dxa"/>
            <w:tcBorders>
              <w:top w:val="nil"/>
              <w:left w:val="single" w:sz="4" w:space="0" w:color="auto"/>
              <w:bottom w:val="nil"/>
              <w:right w:val="single" w:sz="4" w:space="0" w:color="auto"/>
            </w:tcBorders>
            <w:shd w:val="clear" w:color="auto" w:fill="auto"/>
          </w:tcPr>
          <w:p w:rsidR="00BB2945" w:rsidRDefault="00E3371C">
            <w:pPr>
              <w:pStyle w:val="sTabnorm"/>
              <w:keepNext/>
              <w:jc w:val="left"/>
            </w:pPr>
            <w:r>
              <w:t>Domažlická 1127/168, Skvrňany</w:t>
            </w:r>
          </w:p>
          <w:p w:rsidR="00BB2945" w:rsidRDefault="00E3371C">
            <w:pPr>
              <w:pStyle w:val="sTabnorm"/>
              <w:keepNext/>
              <w:jc w:val="left"/>
            </w:pPr>
            <w:r>
              <w:t>CZ-318 00 Plzeň</w:t>
            </w:r>
          </w:p>
        </w:tc>
      </w:tr>
      <w:tr w:rsidR="00BB2945">
        <w:trPr>
          <w:trHeight w:val="720"/>
          <w:jc w:val="center"/>
        </w:trPr>
        <w:tc>
          <w:tcPr>
            <w:tcW w:w="4536" w:type="dxa"/>
            <w:tcBorders>
              <w:top w:val="nil"/>
              <w:left w:val="single" w:sz="4" w:space="0" w:color="auto"/>
              <w:bottom w:val="nil"/>
              <w:right w:val="single" w:sz="4" w:space="0" w:color="auto"/>
            </w:tcBorders>
            <w:shd w:val="clear" w:color="auto" w:fill="auto"/>
          </w:tcPr>
          <w:p w:rsidR="00BB2945" w:rsidRDefault="00E3371C">
            <w:pPr>
              <w:pStyle w:val="sTabnorm"/>
              <w:keepNext/>
              <w:jc w:val="left"/>
            </w:pPr>
            <w:r>
              <w:t xml:space="preserve">IČ: </w:t>
            </w:r>
            <w:r>
              <w:tab/>
              <w:t>61061344</w:t>
            </w:r>
          </w:p>
          <w:p w:rsidR="00BB2945" w:rsidRDefault="00E3371C">
            <w:pPr>
              <w:pStyle w:val="sTabnorm"/>
              <w:keepNext/>
              <w:jc w:val="left"/>
            </w:pPr>
            <w:r>
              <w:t>DIČ:</w:t>
            </w:r>
            <w:r>
              <w:tab/>
              <w:t>CZ61061344</w:t>
            </w:r>
          </w:p>
          <w:p w:rsidR="00BB2945" w:rsidRDefault="00E3371C">
            <w:pPr>
              <w:pStyle w:val="sTabnorm"/>
              <w:keepNext/>
              <w:jc w:val="left"/>
            </w:pPr>
            <w:r>
              <w:t>Zápis v OR: Městský soud v Praze, C 43038</w:t>
            </w:r>
          </w:p>
        </w:tc>
        <w:tc>
          <w:tcPr>
            <w:tcW w:w="4536" w:type="dxa"/>
            <w:tcBorders>
              <w:top w:val="nil"/>
              <w:left w:val="single" w:sz="4" w:space="0" w:color="auto"/>
              <w:bottom w:val="nil"/>
              <w:right w:val="single" w:sz="4" w:space="0" w:color="auto"/>
            </w:tcBorders>
            <w:shd w:val="clear" w:color="auto" w:fill="auto"/>
          </w:tcPr>
          <w:p w:rsidR="00BB2945" w:rsidRDefault="00E3371C">
            <w:pPr>
              <w:pStyle w:val="sTabnorm"/>
            </w:pPr>
            <w:r>
              <w:t>IČ:</w:t>
            </w:r>
            <w:r>
              <w:tab/>
              <w:t>25237781</w:t>
            </w:r>
          </w:p>
          <w:p w:rsidR="00BB2945" w:rsidRDefault="00E3371C">
            <w:pPr>
              <w:pStyle w:val="sTabnorm"/>
            </w:pPr>
            <w:r>
              <w:t>DIČ:</w:t>
            </w:r>
            <w:r>
              <w:tab/>
              <w:t>CZ25237781</w:t>
            </w:r>
          </w:p>
          <w:p w:rsidR="00BB2945" w:rsidRDefault="00E3371C">
            <w:pPr>
              <w:pStyle w:val="sTabnorm"/>
              <w:keepNext/>
              <w:jc w:val="left"/>
            </w:pPr>
            <w:r>
              <w:t>Zápis v OR: Krajský soud v Plzni, C 11672</w:t>
            </w:r>
          </w:p>
        </w:tc>
      </w:tr>
      <w:tr w:rsidR="00BB2945">
        <w:trPr>
          <w:trHeight w:val="322"/>
          <w:jc w:val="center"/>
        </w:trPr>
        <w:tc>
          <w:tcPr>
            <w:tcW w:w="4536" w:type="dxa"/>
            <w:tcBorders>
              <w:top w:val="nil"/>
              <w:left w:val="single" w:sz="4" w:space="0" w:color="auto"/>
              <w:bottom w:val="nil"/>
              <w:right w:val="single" w:sz="4" w:space="0" w:color="auto"/>
            </w:tcBorders>
            <w:shd w:val="clear" w:color="auto" w:fill="auto"/>
          </w:tcPr>
          <w:p w:rsidR="00BB2945" w:rsidRDefault="00BB2945">
            <w:pPr>
              <w:pStyle w:val="sTextbold"/>
              <w:keepNext/>
              <w:spacing w:before="60"/>
              <w:jc w:val="left"/>
            </w:pPr>
          </w:p>
        </w:tc>
        <w:tc>
          <w:tcPr>
            <w:tcW w:w="4536" w:type="dxa"/>
            <w:tcBorders>
              <w:top w:val="nil"/>
              <w:left w:val="single" w:sz="4" w:space="0" w:color="auto"/>
              <w:bottom w:val="nil"/>
              <w:right w:val="single" w:sz="4" w:space="0" w:color="auto"/>
            </w:tcBorders>
            <w:shd w:val="clear" w:color="auto" w:fill="auto"/>
          </w:tcPr>
          <w:p w:rsidR="00BB2945" w:rsidRDefault="00E3371C">
            <w:pPr>
              <w:pStyle w:val="sTabnorm"/>
              <w:spacing w:before="60"/>
              <w:jc w:val="left"/>
            </w:pPr>
            <w:r>
              <w:t>Bankovní spojení:</w:t>
            </w:r>
          </w:p>
          <w:p w:rsidR="00BB2945" w:rsidRDefault="00E3371C">
            <w:pPr>
              <w:pStyle w:val="sTabnorm"/>
              <w:jc w:val="left"/>
              <w:rPr>
                <w:highlight w:val="yellow"/>
              </w:rPr>
            </w:pPr>
            <w:r>
              <w:t>5422345001/2700, měna: CZK</w:t>
            </w:r>
          </w:p>
          <w:p w:rsidR="00BB2945" w:rsidRDefault="00BB2945">
            <w:pPr>
              <w:pStyle w:val="sTabnorm"/>
              <w:rPr>
                <w:sz w:val="12"/>
                <w:szCs w:val="12"/>
                <w:highlight w:val="yellow"/>
              </w:rPr>
            </w:pPr>
          </w:p>
          <w:p w:rsidR="00BB2945" w:rsidRDefault="00E3371C">
            <w:pPr>
              <w:pStyle w:val="sTabnorm"/>
              <w:jc w:val="left"/>
              <w:rPr>
                <w:highlight w:val="yellow"/>
              </w:rPr>
            </w:pPr>
            <w:r>
              <w:t>5422345300/2700, měna: EUR</w:t>
            </w:r>
          </w:p>
          <w:p w:rsidR="00BB2945" w:rsidRDefault="00E3371C">
            <w:pPr>
              <w:pStyle w:val="sTabnorm"/>
              <w:jc w:val="left"/>
            </w:pPr>
            <w:r>
              <w:t>IBAN: CZ6427000000005422345300</w:t>
            </w:r>
          </w:p>
          <w:p w:rsidR="00BB2945" w:rsidRDefault="00E3371C">
            <w:pPr>
              <w:pStyle w:val="sTabnorm"/>
            </w:pPr>
            <w:r>
              <w:t>SWIFT: BACXCZPP</w:t>
            </w:r>
          </w:p>
          <w:p w:rsidR="00BB2945" w:rsidRDefault="00BB2945">
            <w:pPr>
              <w:pStyle w:val="sTabnorm"/>
              <w:rPr>
                <w:sz w:val="12"/>
                <w:szCs w:val="12"/>
                <w:highlight w:val="yellow"/>
              </w:rPr>
            </w:pPr>
          </w:p>
          <w:p w:rsidR="00BB2945" w:rsidRDefault="00BB2945">
            <w:pPr>
              <w:pStyle w:val="sTabnorm"/>
            </w:pPr>
          </w:p>
        </w:tc>
      </w:tr>
      <w:tr w:rsidR="00BB2945">
        <w:trPr>
          <w:trHeight w:val="326"/>
          <w:jc w:val="center"/>
        </w:trPr>
        <w:tc>
          <w:tcPr>
            <w:tcW w:w="4536" w:type="dxa"/>
            <w:tcBorders>
              <w:top w:val="nil"/>
              <w:left w:val="single" w:sz="4" w:space="0" w:color="auto"/>
              <w:right w:val="single" w:sz="4" w:space="0" w:color="auto"/>
            </w:tcBorders>
            <w:shd w:val="clear" w:color="auto" w:fill="auto"/>
            <w:vAlign w:val="center"/>
          </w:tcPr>
          <w:p w:rsidR="00BB2945" w:rsidRDefault="00E3371C">
            <w:pPr>
              <w:pStyle w:val="sTabnorm"/>
              <w:keepNext/>
              <w:spacing w:before="120" w:after="60"/>
              <w:jc w:val="left"/>
            </w:pPr>
            <w:r>
              <w:t xml:space="preserve">- dále jen </w:t>
            </w:r>
            <w:r>
              <w:rPr>
                <w:b/>
              </w:rPr>
              <w:t xml:space="preserve">SGEF </w:t>
            </w:r>
            <w:r>
              <w:t>-</w:t>
            </w:r>
          </w:p>
        </w:tc>
        <w:tc>
          <w:tcPr>
            <w:tcW w:w="4536" w:type="dxa"/>
            <w:tcBorders>
              <w:top w:val="nil"/>
              <w:left w:val="single" w:sz="4" w:space="0" w:color="auto"/>
              <w:right w:val="single" w:sz="4" w:space="0" w:color="auto"/>
            </w:tcBorders>
            <w:shd w:val="clear" w:color="auto" w:fill="auto"/>
            <w:vAlign w:val="center"/>
          </w:tcPr>
          <w:p w:rsidR="00BB2945" w:rsidRDefault="00E3371C">
            <w:pPr>
              <w:pStyle w:val="sTabnorm"/>
              <w:spacing w:before="120" w:after="60"/>
              <w:jc w:val="left"/>
            </w:pPr>
            <w:r>
              <w:t xml:space="preserve">- dále jen </w:t>
            </w:r>
            <w:r>
              <w:rPr>
                <w:b/>
              </w:rPr>
              <w:t xml:space="preserve">dodavatel </w:t>
            </w:r>
            <w:r>
              <w:t>-</w:t>
            </w:r>
          </w:p>
        </w:tc>
      </w:tr>
      <w:tr w:rsidR="00BB2945">
        <w:trPr>
          <w:trHeight w:val="233"/>
          <w:jc w:val="center"/>
        </w:trPr>
        <w:tc>
          <w:tcPr>
            <w:tcW w:w="9072" w:type="dxa"/>
            <w:gridSpan w:val="2"/>
            <w:shd w:val="clear" w:color="auto" w:fill="auto"/>
          </w:tcPr>
          <w:p w:rsidR="00BB2945" w:rsidRDefault="00E3371C">
            <w:pPr>
              <w:pStyle w:val="sTabnorm"/>
              <w:keepNext/>
            </w:pPr>
            <w:r>
              <w:t>Identifikace nájemce:</w:t>
            </w:r>
          </w:p>
        </w:tc>
      </w:tr>
      <w:tr w:rsidR="00BB2945">
        <w:trPr>
          <w:trHeight w:val="1227"/>
          <w:jc w:val="center"/>
        </w:trPr>
        <w:tc>
          <w:tcPr>
            <w:tcW w:w="9072" w:type="dxa"/>
            <w:gridSpan w:val="2"/>
            <w:shd w:val="clear" w:color="auto" w:fill="auto"/>
          </w:tcPr>
          <w:p w:rsidR="00BB2945" w:rsidRDefault="00E3371C">
            <w:pPr>
              <w:pStyle w:val="sTabnorm"/>
              <w:keepNext/>
              <w:spacing w:before="60"/>
              <w:rPr>
                <w:b/>
              </w:rPr>
            </w:pPr>
            <w:r>
              <w:rPr>
                <w:b/>
              </w:rPr>
              <w:t>Pošumavská odpadová, s.r.o.</w:t>
            </w:r>
          </w:p>
          <w:p w:rsidR="00BB2945" w:rsidRDefault="00E3371C">
            <w:pPr>
              <w:pStyle w:val="sTabnorm"/>
              <w:keepNext/>
            </w:pPr>
            <w:r>
              <w:t>Dr. Sedláka 782</w:t>
            </w:r>
          </w:p>
          <w:p w:rsidR="00BB2945" w:rsidRDefault="00E3371C">
            <w:pPr>
              <w:pStyle w:val="sTabnorm"/>
              <w:keepNext/>
              <w:spacing w:after="120"/>
            </w:pPr>
            <w:r>
              <w:t>CZ-339 01 Klatovy</w:t>
            </w:r>
          </w:p>
          <w:p w:rsidR="00BB2945" w:rsidRDefault="00E3371C">
            <w:pPr>
              <w:pStyle w:val="sTabnorm"/>
              <w:keepNext/>
            </w:pPr>
            <w:r>
              <w:t>IČ:</w:t>
            </w:r>
            <w:r>
              <w:tab/>
              <w:t>04510984</w:t>
            </w:r>
          </w:p>
          <w:p w:rsidR="00BB2945" w:rsidRDefault="00E3371C">
            <w:pPr>
              <w:pStyle w:val="sTabnorm"/>
              <w:keepNext/>
            </w:pPr>
            <w:r>
              <w:t>DIČ:</w:t>
            </w:r>
            <w:r>
              <w:tab/>
              <w:t>CZ04510984</w:t>
            </w:r>
          </w:p>
          <w:p w:rsidR="00BB2945" w:rsidRDefault="00E3371C">
            <w:pPr>
              <w:pStyle w:val="sTabnorm"/>
              <w:keepNext/>
            </w:pPr>
            <w:r>
              <w:t>Zápis v OR: Krajský soud v Plzni, C 31823</w:t>
            </w:r>
          </w:p>
          <w:p w:rsidR="00BB2945" w:rsidRDefault="00E3371C">
            <w:pPr>
              <w:pStyle w:val="sTabnorm"/>
              <w:keepNext/>
              <w:spacing w:before="120" w:after="60"/>
            </w:pPr>
            <w:r>
              <w:t xml:space="preserve">- dále jen </w:t>
            </w:r>
            <w:r>
              <w:rPr>
                <w:b/>
              </w:rPr>
              <w:t>nájemce</w:t>
            </w:r>
            <w:r>
              <w:t xml:space="preserve"> -</w:t>
            </w:r>
          </w:p>
        </w:tc>
      </w:tr>
      <w:tr w:rsidR="00BB2945">
        <w:trPr>
          <w:trHeight w:val="322"/>
          <w:jc w:val="center"/>
        </w:trPr>
        <w:tc>
          <w:tcPr>
            <w:tcW w:w="9072" w:type="dxa"/>
            <w:gridSpan w:val="2"/>
            <w:shd w:val="clear" w:color="auto" w:fill="auto"/>
          </w:tcPr>
          <w:p w:rsidR="00BB2945" w:rsidRDefault="00E3371C">
            <w:pPr>
              <w:pStyle w:val="sTabbold"/>
              <w:spacing w:before="60" w:after="60"/>
            </w:pPr>
            <w:r>
              <w:t xml:space="preserve">Leasingová smlouva č.: </w:t>
            </w:r>
            <w:r>
              <w:rPr>
                <w:bCs/>
                <w:iCs/>
              </w:rPr>
              <w:t xml:space="preserve">11014553/20 </w:t>
            </w:r>
          </w:p>
        </w:tc>
      </w:tr>
    </w:tbl>
    <w:p w:rsidR="00BB2945" w:rsidRDefault="00BB2945"/>
    <w:tbl>
      <w:tblPr>
        <w:tblW w:w="0" w:type="auto"/>
        <w:jc w:val="center"/>
        <w:tblLayout w:type="fixed"/>
        <w:tblCellMar>
          <w:right w:w="57" w:type="dxa"/>
        </w:tblCellMar>
        <w:tblLook w:val="04A0" w:firstRow="1" w:lastRow="0" w:firstColumn="1" w:lastColumn="0" w:noHBand="0" w:noVBand="1"/>
      </w:tblPr>
      <w:tblGrid>
        <w:gridCol w:w="934"/>
        <w:gridCol w:w="697"/>
        <w:gridCol w:w="2198"/>
        <w:gridCol w:w="2402"/>
        <w:gridCol w:w="1838"/>
        <w:gridCol w:w="1003"/>
      </w:tblGrid>
      <w:tr w:rsidR="00BB2945">
        <w:trPr>
          <w:trHeight w:val="256"/>
          <w:jc w:val="center"/>
        </w:trPr>
        <w:tc>
          <w:tcPr>
            <w:tcW w:w="3829" w:type="dxa"/>
            <w:gridSpan w:val="3"/>
            <w:tcBorders>
              <w:top w:val="single" w:sz="4" w:space="0" w:color="auto"/>
              <w:left w:val="single" w:sz="4" w:space="0" w:color="auto"/>
              <w:right w:val="nil"/>
            </w:tcBorders>
            <w:vAlign w:val="bottom"/>
          </w:tcPr>
          <w:p w:rsidR="00BB2945" w:rsidRDefault="00E3371C">
            <w:pPr>
              <w:pStyle w:val="sTabnorm"/>
              <w:keepNext/>
              <w:keepLines/>
              <w:spacing w:before="60" w:after="60"/>
              <w:jc w:val="left"/>
            </w:pPr>
            <w:r>
              <w:rPr>
                <w:b/>
              </w:rPr>
              <w:t>Předmět leasingu:</w:t>
            </w:r>
            <w:r>
              <w:t xml:space="preserve"> </w:t>
            </w:r>
          </w:p>
        </w:tc>
        <w:tc>
          <w:tcPr>
            <w:tcW w:w="5243" w:type="dxa"/>
            <w:gridSpan w:val="3"/>
            <w:tcBorders>
              <w:top w:val="single" w:sz="4" w:space="0" w:color="auto"/>
              <w:left w:val="nil"/>
              <w:right w:val="single" w:sz="4" w:space="0" w:color="auto"/>
            </w:tcBorders>
          </w:tcPr>
          <w:p w:rsidR="00BB2945" w:rsidRDefault="00E3371C">
            <w:pPr>
              <w:pStyle w:val="sTabnorm"/>
              <w:keepNext/>
              <w:keepLines/>
              <w:spacing w:before="60"/>
              <w:jc w:val="left"/>
            </w:pPr>
            <w:r>
              <w:rPr>
                <w:b/>
              </w:rPr>
              <w:t>termín dodání:</w:t>
            </w:r>
            <w:r>
              <w:t xml:space="preserve"> 4.Q 2020 </w:t>
            </w:r>
          </w:p>
        </w:tc>
      </w:tr>
      <w:tr w:rsidR="00BB2945">
        <w:trPr>
          <w:trHeight w:val="270"/>
          <w:jc w:val="center"/>
        </w:trPr>
        <w:tc>
          <w:tcPr>
            <w:tcW w:w="9072" w:type="dxa"/>
            <w:gridSpan w:val="6"/>
            <w:tcBorders>
              <w:left w:val="single" w:sz="4" w:space="0" w:color="auto"/>
              <w:bottom w:val="single" w:sz="4" w:space="0" w:color="auto"/>
              <w:right w:val="single" w:sz="4" w:space="0" w:color="auto"/>
            </w:tcBorders>
          </w:tcPr>
          <w:p w:rsidR="00BB2945" w:rsidRDefault="00E3371C">
            <w:pPr>
              <w:pStyle w:val="sTabnorm"/>
              <w:keepNext/>
              <w:keepLines/>
              <w:spacing w:before="60" w:after="60"/>
              <w:jc w:val="left"/>
              <w:rPr>
                <w:b/>
                <w:highlight w:val="yellow"/>
              </w:rPr>
            </w:pPr>
            <w:r>
              <w:rPr>
                <w:b/>
              </w:rPr>
              <w:t>nákladní automobil Mercedes-Benz Atego 1023L, vč.kontejneru Palift T5 a hydraulického jeřábu Palfinger PK</w:t>
            </w:r>
          </w:p>
        </w:tc>
      </w:tr>
      <w:tr w:rsidR="00BB2945">
        <w:trPr>
          <w:trHeight w:val="53"/>
          <w:jc w:val="center"/>
        </w:trPr>
        <w:tc>
          <w:tcPr>
            <w:tcW w:w="934" w:type="dxa"/>
            <w:tcBorders>
              <w:top w:val="nil"/>
              <w:left w:val="single" w:sz="4" w:space="0" w:color="auto"/>
              <w:bottom w:val="nil"/>
            </w:tcBorders>
          </w:tcPr>
          <w:p w:rsidR="00BB2945" w:rsidRDefault="00E3371C">
            <w:pPr>
              <w:pStyle w:val="sTabnorm"/>
              <w:keepNext/>
              <w:keepLines/>
              <w:spacing w:before="60"/>
              <w:jc w:val="left"/>
              <w:rPr>
                <w:b/>
              </w:rPr>
            </w:pPr>
            <w:r>
              <w:rPr>
                <w:b/>
              </w:rPr>
              <w:t>výr. č.:</w:t>
            </w:r>
          </w:p>
        </w:tc>
        <w:tc>
          <w:tcPr>
            <w:tcW w:w="2895" w:type="dxa"/>
            <w:gridSpan w:val="2"/>
            <w:tcBorders>
              <w:top w:val="nil"/>
            </w:tcBorders>
          </w:tcPr>
          <w:p w:rsidR="00BB2945" w:rsidRDefault="00E3371C">
            <w:pPr>
              <w:pStyle w:val="sTabnorm"/>
              <w:keepNext/>
              <w:keepLines/>
              <w:spacing w:before="60"/>
              <w:jc w:val="left"/>
            </w:pPr>
            <w:r>
              <w:t xml:space="preserve">W1T96702410486058 </w:t>
            </w:r>
          </w:p>
        </w:tc>
        <w:tc>
          <w:tcPr>
            <w:tcW w:w="2402" w:type="dxa"/>
            <w:tcBorders>
              <w:top w:val="nil"/>
            </w:tcBorders>
          </w:tcPr>
          <w:p w:rsidR="00BB2945" w:rsidRDefault="00E3371C">
            <w:pPr>
              <w:pStyle w:val="sTabnorm"/>
              <w:keepNext/>
              <w:keepLines/>
              <w:tabs>
                <w:tab w:val="left" w:pos="1312"/>
              </w:tabs>
              <w:spacing w:before="60"/>
              <w:jc w:val="left"/>
              <w:rPr>
                <w:b/>
              </w:rPr>
            </w:pPr>
            <w:r>
              <w:rPr>
                <w:b/>
              </w:rPr>
              <w:t>Kupní cena bez DPH:</w:t>
            </w:r>
          </w:p>
        </w:tc>
        <w:tc>
          <w:tcPr>
            <w:tcW w:w="1838" w:type="dxa"/>
            <w:tcBorders>
              <w:top w:val="nil"/>
              <w:left w:val="nil"/>
            </w:tcBorders>
          </w:tcPr>
          <w:p w:rsidR="00BB2945" w:rsidRDefault="00E3371C">
            <w:pPr>
              <w:pStyle w:val="sTabnorm"/>
              <w:keepNext/>
              <w:keepLines/>
              <w:tabs>
                <w:tab w:val="left" w:pos="1312"/>
              </w:tabs>
              <w:spacing w:before="60"/>
              <w:jc w:val="right"/>
            </w:pPr>
            <w:r>
              <w:t>2 590 000,00</w:t>
            </w:r>
          </w:p>
        </w:tc>
        <w:tc>
          <w:tcPr>
            <w:tcW w:w="1003" w:type="dxa"/>
            <w:tcBorders>
              <w:top w:val="nil"/>
              <w:left w:val="nil"/>
              <w:right w:val="single" w:sz="4" w:space="0" w:color="auto"/>
            </w:tcBorders>
          </w:tcPr>
          <w:p w:rsidR="00BB2945" w:rsidRDefault="00E3371C">
            <w:pPr>
              <w:pStyle w:val="sTabnorm"/>
              <w:keepNext/>
              <w:keepLines/>
              <w:tabs>
                <w:tab w:val="left" w:pos="1312"/>
              </w:tabs>
              <w:spacing w:before="60"/>
              <w:jc w:val="left"/>
            </w:pPr>
            <w:r>
              <w:t>CZK</w:t>
            </w:r>
          </w:p>
        </w:tc>
      </w:tr>
      <w:tr w:rsidR="00BB2945">
        <w:trPr>
          <w:trHeight w:val="155"/>
          <w:jc w:val="center"/>
        </w:trPr>
        <w:tc>
          <w:tcPr>
            <w:tcW w:w="934" w:type="dxa"/>
            <w:tcBorders>
              <w:top w:val="nil"/>
              <w:left w:val="single" w:sz="4" w:space="0" w:color="auto"/>
              <w:bottom w:val="nil"/>
            </w:tcBorders>
          </w:tcPr>
          <w:p w:rsidR="00BB2945" w:rsidRDefault="00E3371C">
            <w:pPr>
              <w:pStyle w:val="sTabnorm"/>
              <w:keepNext/>
              <w:keepLines/>
              <w:jc w:val="left"/>
              <w:rPr>
                <w:b/>
              </w:rPr>
            </w:pPr>
            <w:r>
              <w:rPr>
                <w:b/>
              </w:rPr>
              <w:t>výrobce:</w:t>
            </w:r>
          </w:p>
        </w:tc>
        <w:tc>
          <w:tcPr>
            <w:tcW w:w="2895" w:type="dxa"/>
            <w:gridSpan w:val="2"/>
            <w:tcBorders>
              <w:top w:val="nil"/>
              <w:bottom w:val="nil"/>
            </w:tcBorders>
          </w:tcPr>
          <w:p w:rsidR="00BB2945" w:rsidRDefault="00E3371C">
            <w:pPr>
              <w:pStyle w:val="sTabnorm"/>
              <w:keepNext/>
              <w:keepLines/>
              <w:jc w:val="left"/>
            </w:pPr>
            <w:r>
              <w:t xml:space="preserve">Mercedes-Benz </w:t>
            </w:r>
          </w:p>
        </w:tc>
        <w:tc>
          <w:tcPr>
            <w:tcW w:w="2402" w:type="dxa"/>
            <w:tcBorders>
              <w:top w:val="nil"/>
            </w:tcBorders>
          </w:tcPr>
          <w:p w:rsidR="00BB2945" w:rsidRDefault="00E3371C">
            <w:pPr>
              <w:pStyle w:val="sTabnorm"/>
              <w:keepNext/>
              <w:keepLines/>
              <w:jc w:val="left"/>
              <w:rPr>
                <w:b/>
              </w:rPr>
            </w:pPr>
            <w:r>
              <w:rPr>
                <w:b/>
              </w:rPr>
              <w:t>DPH 21%:</w:t>
            </w:r>
          </w:p>
        </w:tc>
        <w:tc>
          <w:tcPr>
            <w:tcW w:w="1838" w:type="dxa"/>
            <w:tcBorders>
              <w:top w:val="nil"/>
              <w:left w:val="nil"/>
            </w:tcBorders>
          </w:tcPr>
          <w:p w:rsidR="00BB2945" w:rsidRDefault="00E3371C">
            <w:pPr>
              <w:pStyle w:val="sTabnorm"/>
              <w:keepNext/>
              <w:keepLines/>
              <w:jc w:val="right"/>
            </w:pPr>
            <w:r>
              <w:t>543 900,00</w:t>
            </w:r>
          </w:p>
        </w:tc>
        <w:tc>
          <w:tcPr>
            <w:tcW w:w="1003" w:type="dxa"/>
            <w:tcBorders>
              <w:top w:val="nil"/>
              <w:left w:val="nil"/>
              <w:right w:val="single" w:sz="4" w:space="0" w:color="auto"/>
            </w:tcBorders>
          </w:tcPr>
          <w:p w:rsidR="00BB2945" w:rsidRDefault="00E3371C">
            <w:pPr>
              <w:pStyle w:val="sTabnorm"/>
              <w:keepNext/>
              <w:keepLines/>
              <w:jc w:val="left"/>
            </w:pPr>
            <w:r>
              <w:t>CZK</w:t>
            </w:r>
            <w:r>
              <w:rPr>
                <w:highlight w:val="yellow"/>
              </w:rPr>
              <w:t xml:space="preserve"> </w:t>
            </w:r>
          </w:p>
        </w:tc>
      </w:tr>
      <w:tr w:rsidR="00BB2945">
        <w:trPr>
          <w:trHeight w:val="106"/>
          <w:jc w:val="center"/>
        </w:trPr>
        <w:tc>
          <w:tcPr>
            <w:tcW w:w="934" w:type="dxa"/>
            <w:tcBorders>
              <w:top w:val="nil"/>
              <w:left w:val="single" w:sz="4" w:space="0" w:color="auto"/>
              <w:bottom w:val="nil"/>
            </w:tcBorders>
          </w:tcPr>
          <w:p w:rsidR="00BB2945" w:rsidRDefault="00E3371C">
            <w:pPr>
              <w:pStyle w:val="sTabnorm"/>
              <w:keepNext/>
              <w:keepLines/>
              <w:jc w:val="left"/>
              <w:rPr>
                <w:b/>
              </w:rPr>
            </w:pPr>
            <w:r>
              <w:rPr>
                <w:b/>
              </w:rPr>
              <w:t>rok</w:t>
            </w:r>
            <w:r>
              <w:rPr>
                <w:b/>
                <w:spacing w:val="-8"/>
              </w:rPr>
              <w:t xml:space="preserve"> </w:t>
            </w:r>
            <w:r>
              <w:rPr>
                <w:b/>
              </w:rPr>
              <w:t>výr.:</w:t>
            </w:r>
          </w:p>
        </w:tc>
        <w:tc>
          <w:tcPr>
            <w:tcW w:w="2895" w:type="dxa"/>
            <w:gridSpan w:val="2"/>
            <w:tcBorders>
              <w:top w:val="nil"/>
            </w:tcBorders>
          </w:tcPr>
          <w:p w:rsidR="00BB2945" w:rsidRDefault="00E3371C">
            <w:pPr>
              <w:pStyle w:val="sTabnorm"/>
              <w:keepNext/>
              <w:keepLines/>
              <w:jc w:val="left"/>
            </w:pPr>
            <w:r>
              <w:t xml:space="preserve">2020 </w:t>
            </w:r>
          </w:p>
        </w:tc>
        <w:tc>
          <w:tcPr>
            <w:tcW w:w="2402" w:type="dxa"/>
            <w:tcBorders>
              <w:top w:val="nil"/>
            </w:tcBorders>
          </w:tcPr>
          <w:p w:rsidR="00BB2945" w:rsidRDefault="00E3371C">
            <w:pPr>
              <w:pStyle w:val="sTabnorm"/>
              <w:keepNext/>
              <w:keepLines/>
              <w:jc w:val="left"/>
              <w:rPr>
                <w:b/>
              </w:rPr>
            </w:pPr>
            <w:r>
              <w:rPr>
                <w:b/>
              </w:rPr>
              <w:t>Kupní cena celkem:</w:t>
            </w:r>
          </w:p>
        </w:tc>
        <w:tc>
          <w:tcPr>
            <w:tcW w:w="1838" w:type="dxa"/>
            <w:tcBorders>
              <w:top w:val="nil"/>
              <w:left w:val="nil"/>
            </w:tcBorders>
          </w:tcPr>
          <w:p w:rsidR="00BB2945" w:rsidRDefault="00E3371C">
            <w:pPr>
              <w:pStyle w:val="sTabnorm"/>
              <w:keepNext/>
              <w:keepLines/>
              <w:jc w:val="right"/>
            </w:pPr>
            <w:r>
              <w:t>3 133 900,00</w:t>
            </w:r>
          </w:p>
        </w:tc>
        <w:tc>
          <w:tcPr>
            <w:tcW w:w="1003" w:type="dxa"/>
            <w:tcBorders>
              <w:top w:val="nil"/>
              <w:left w:val="nil"/>
              <w:right w:val="single" w:sz="4" w:space="0" w:color="auto"/>
            </w:tcBorders>
          </w:tcPr>
          <w:p w:rsidR="00BB2945" w:rsidRDefault="00E3371C">
            <w:pPr>
              <w:pStyle w:val="sTabnorm"/>
              <w:keepNext/>
              <w:keepLines/>
              <w:jc w:val="left"/>
            </w:pPr>
            <w:r>
              <w:t>CZK</w:t>
            </w:r>
            <w:r>
              <w:rPr>
                <w:highlight w:val="yellow"/>
              </w:rPr>
              <w:t xml:space="preserve"> </w:t>
            </w:r>
          </w:p>
        </w:tc>
      </w:tr>
      <w:tr w:rsidR="00BB2945">
        <w:trPr>
          <w:trHeight w:val="227"/>
          <w:jc w:val="center"/>
        </w:trPr>
        <w:tc>
          <w:tcPr>
            <w:tcW w:w="934" w:type="dxa"/>
            <w:tcBorders>
              <w:top w:val="nil"/>
              <w:left w:val="single" w:sz="4" w:space="0" w:color="auto"/>
            </w:tcBorders>
          </w:tcPr>
          <w:p w:rsidR="00BB2945" w:rsidRDefault="00E3371C">
            <w:pPr>
              <w:pStyle w:val="sTabnorm"/>
              <w:keepNext/>
              <w:keepLines/>
              <w:jc w:val="left"/>
              <w:rPr>
                <w:b/>
              </w:rPr>
            </w:pPr>
            <w:r>
              <w:rPr>
                <w:b/>
              </w:rPr>
              <w:t>stav:</w:t>
            </w:r>
          </w:p>
        </w:tc>
        <w:tc>
          <w:tcPr>
            <w:tcW w:w="8138" w:type="dxa"/>
            <w:gridSpan w:val="5"/>
            <w:tcBorders>
              <w:top w:val="nil"/>
              <w:right w:val="single" w:sz="4" w:space="0" w:color="auto"/>
            </w:tcBorders>
          </w:tcPr>
          <w:p w:rsidR="00BB2945" w:rsidRDefault="00E3371C">
            <w:pPr>
              <w:pStyle w:val="sTabnorm"/>
              <w:keepNext/>
              <w:keepLines/>
              <w:jc w:val="left"/>
            </w:pPr>
            <w:r>
              <w:t>nový</w:t>
            </w:r>
          </w:p>
        </w:tc>
      </w:tr>
      <w:tr w:rsidR="00BB2945">
        <w:trPr>
          <w:trHeight w:val="227"/>
          <w:jc w:val="center"/>
        </w:trPr>
        <w:tc>
          <w:tcPr>
            <w:tcW w:w="1631" w:type="dxa"/>
            <w:gridSpan w:val="2"/>
            <w:tcBorders>
              <w:top w:val="nil"/>
              <w:left w:val="single" w:sz="4" w:space="0" w:color="auto"/>
            </w:tcBorders>
          </w:tcPr>
          <w:p w:rsidR="00BB2945" w:rsidRDefault="00E3371C">
            <w:pPr>
              <w:pStyle w:val="sTabnorm"/>
              <w:keepNext/>
              <w:keepLines/>
              <w:jc w:val="left"/>
              <w:rPr>
                <w:b/>
              </w:rPr>
            </w:pPr>
            <w:r>
              <w:rPr>
                <w:b/>
              </w:rPr>
              <w:t>míra opotřebení:</w:t>
            </w:r>
          </w:p>
        </w:tc>
        <w:tc>
          <w:tcPr>
            <w:tcW w:w="7441" w:type="dxa"/>
            <w:gridSpan w:val="4"/>
            <w:tcBorders>
              <w:top w:val="nil"/>
              <w:right w:val="single" w:sz="4" w:space="0" w:color="auto"/>
            </w:tcBorders>
          </w:tcPr>
          <w:p w:rsidR="00BB2945" w:rsidRDefault="00E3371C">
            <w:pPr>
              <w:pStyle w:val="sTabnorm"/>
              <w:keepNext/>
              <w:keepLines/>
              <w:jc w:val="left"/>
            </w:pPr>
            <w:r>
              <w:t>0</w:t>
            </w:r>
          </w:p>
        </w:tc>
      </w:tr>
      <w:tr w:rsidR="00BB2945">
        <w:trPr>
          <w:trHeight w:val="227"/>
          <w:jc w:val="center"/>
        </w:trPr>
        <w:tc>
          <w:tcPr>
            <w:tcW w:w="9072" w:type="dxa"/>
            <w:gridSpan w:val="6"/>
            <w:tcBorders>
              <w:left w:val="single" w:sz="4" w:space="0" w:color="auto"/>
              <w:bottom w:val="single" w:sz="4" w:space="0" w:color="auto"/>
              <w:right w:val="single" w:sz="4" w:space="0" w:color="auto"/>
            </w:tcBorders>
          </w:tcPr>
          <w:p w:rsidR="00BB2945" w:rsidRDefault="00E3371C">
            <w:pPr>
              <w:pStyle w:val="sTabnorm"/>
              <w:keepNext/>
              <w:keepLines/>
              <w:spacing w:after="60"/>
              <w:jc w:val="left"/>
            </w:pPr>
            <w:r>
              <w:t>dle kupní smlouvy/dohody o dodávkách ze dne 17.09.2020 (dále jen „</w:t>
            </w:r>
            <w:r>
              <w:rPr>
                <w:b/>
              </w:rPr>
              <w:t>kupní smlouva</w:t>
            </w:r>
            <w:r>
              <w:t>“)</w:t>
            </w:r>
          </w:p>
        </w:tc>
      </w:tr>
      <w:tr w:rsidR="00BB2945">
        <w:trPr>
          <w:trHeight w:val="227"/>
          <w:jc w:val="center"/>
        </w:trPr>
        <w:tc>
          <w:tcPr>
            <w:tcW w:w="9072" w:type="dxa"/>
            <w:gridSpan w:val="6"/>
            <w:tcBorders>
              <w:left w:val="single" w:sz="4" w:space="0" w:color="auto"/>
              <w:bottom w:val="single" w:sz="4" w:space="0" w:color="auto"/>
              <w:right w:val="single" w:sz="4" w:space="0" w:color="auto"/>
            </w:tcBorders>
            <w:vAlign w:val="center"/>
          </w:tcPr>
          <w:p w:rsidR="00BB2945" w:rsidRDefault="00E3371C">
            <w:pPr>
              <w:pStyle w:val="sTabnorm"/>
              <w:keepNext/>
              <w:keepLines/>
              <w:spacing w:before="60" w:after="60"/>
              <w:jc w:val="left"/>
            </w:pPr>
            <w:r>
              <w:rPr>
                <w:b/>
              </w:rPr>
              <w:t xml:space="preserve">Místo a adresa dodání: </w:t>
            </w:r>
            <w:r>
              <w:t>Adresa dodavatele</w:t>
            </w:r>
            <w:r>
              <w:rPr>
                <w:highlight w:val="cyan"/>
              </w:rPr>
              <w:t xml:space="preserve"> </w:t>
            </w:r>
          </w:p>
        </w:tc>
      </w:tr>
    </w:tbl>
    <w:p w:rsidR="00BB2945" w:rsidRDefault="00BB2945">
      <w:pPr>
        <w:pStyle w:val="sTabnorm"/>
      </w:pPr>
    </w:p>
    <w:p w:rsidR="00BB2945" w:rsidRDefault="00E3371C">
      <w:pPr>
        <w:pStyle w:val="sNadpis2"/>
      </w:pPr>
      <w:r>
        <w:t>Úvodní ustanovení</w:t>
      </w:r>
    </w:p>
    <w:p w:rsidR="00BB2945" w:rsidRDefault="00E3371C">
      <w:pPr>
        <w:pStyle w:val="sOdstavec"/>
        <w:rPr>
          <w:sz w:val="20"/>
          <w:szCs w:val="20"/>
        </w:rPr>
      </w:pPr>
      <w:r>
        <w:t>SGEF uzavřela s výše uvedeným nájemcem výše specifikovanou leasingovou smlouvu na výše uvedený předmět leasingu, k jehož dodání se zavázal dodavatel ve shora specifikované kupní smlouvě uzavřené mezi dodavatelem jako prodávajícím a nájemcem jako kupujícím.</w:t>
      </w:r>
      <w:r>
        <w:t xml:space="preserve"> Se souhlasem nájemce a dodavatele SGEF touto dohodou přistupuje ke kupní smlouvě uzavřené mezi nájemcem a dodavatelem tak, že nájemce SGEF postupuje svá práva a pohledávky vůči dodavateli vyplývající z kupní smlouvy, zejména právo koupit výše specifikovan</w:t>
      </w:r>
      <w:r>
        <w:t>ý předmět leasingu za dodacích podmínek dohodnutých mezi dodavatelem a nájemcem, ledaže je v této dohodě ujednáno něco jiného, a SGEF přebírá povinnost nájemce vůči dodavateli k úhradě kupní ceny za výše specifikovaný předmět leasingu za podmínek a v rozsa</w:t>
      </w:r>
      <w:r>
        <w:t>hu článku 3 a nabývá vlastnické právo k předmětu leasingu za podmínek stanovených v článku 2. Pro případ, že předmětem koupě dle kupní smlouvy byly i jiné předměty než předmět leasingu, smluvní strany se výslovně dohodly, že přistoupení ke kupní smlouvě se</w:t>
      </w:r>
      <w:r>
        <w:t xml:space="preserve"> vztahuje pouze k předmětu leasingu specifikovanému v záhlaví této dohody a SGEF přebírá pouze povinnost uhradit kupní cenu za tento předmět leasingu ve výši uvedené v záhlaví této dohody.</w:t>
      </w:r>
    </w:p>
    <w:p w:rsidR="00BB2945" w:rsidRDefault="00E3371C">
      <w:pPr>
        <w:pStyle w:val="sNadpis2"/>
      </w:pPr>
      <w:r>
        <w:lastRenderedPageBreak/>
        <w:t>Přechod vlastnického práva a nebezpečí škody</w:t>
      </w:r>
    </w:p>
    <w:p w:rsidR="00BB2945" w:rsidRDefault="00E3371C">
      <w:pPr>
        <w:pStyle w:val="sOdstavec"/>
      </w:pPr>
      <w:r>
        <w:t xml:space="preserve">Dodavatel se zavazuje </w:t>
      </w:r>
      <w:r>
        <w:t xml:space="preserve">předmět dodat, předat a převést vlastnické právo k předmětu leasingu na SGEF v termínu dodání uvedeném v záhlaví této dohody. V souladu s uzavřenou leasingovou smlouvou předmět leasingu převezme za SGEF nájemce od dodavatele osobně. SGEF nabývá vlastnické </w:t>
      </w:r>
      <w:r>
        <w:t>právo k předmětu leasingu převzetím předmětu leasingu nájemcem k okamžiku podpisu přejímacího protokolu SGEF dodavatelem a nájemcem. Tento okamžik je rovněž rozhodný pro přechod nebezpečí škody na předmětu leasingu z dodavatele na nájemce, který předmět le</w:t>
      </w:r>
      <w:r>
        <w:t>asingu přebírá namísto SGEF v souladu s leasingovou smlouvou. Nebezpečí škody přechází na nájemce převzetím předmětu leasingu nájemcem, užití § 2121 odst. 2 zákona č. 89/2012 Sb., občanského zákoníku, ve znění pozdějších předpisů (dále jen „občanský zákoní</w:t>
      </w:r>
      <w:r>
        <w:t>k“) se pro účely této dohody vylučuje. Dodavatel je povinen zaslat SGEF neprodleně po dodání předmětu leasingu nájemci kopii dodacího listu. SGEF s nabytím vlastnického práva k předmětu leasingu nabývá rovněž práva spojená se zákonnou a záruční odpovědnost</w:t>
      </w:r>
      <w:r>
        <w:t>í dodavatele za vady předmětu leasingu, tedy náleží jí případná práva ze záruky a z vadného plnění. SGEF nenese náklady spojené s převzetím předmětu leasingu. Je-li nájemce povinen dodatečně určit vlastnosti předmětu leasingu, které mají vliv na kupní cenu</w:t>
      </w:r>
      <w:r>
        <w:t xml:space="preserve"> či charakter předmětu leasingu, je povinen tak učinit s předchozím souhlasem ze strany SGEF.</w:t>
      </w:r>
    </w:p>
    <w:p w:rsidR="00BB2945" w:rsidRDefault="00E3371C">
      <w:pPr>
        <w:pStyle w:val="sNadpis2"/>
      </w:pPr>
      <w:r>
        <w:t>Platební podmínky</w:t>
      </w:r>
    </w:p>
    <w:p w:rsidR="00BB2945" w:rsidRDefault="00E3371C">
      <w:pPr>
        <w:pStyle w:val="sOdstavec"/>
      </w:pPr>
      <w:r>
        <w:t>SGEF zaplatí dodavateli kupní cenu ve výši uvedené v tabulce na první straně této dohody neprodleně poté, co (i) od dodavatele obdrží fakturu/da</w:t>
      </w:r>
      <w:r>
        <w:t>ňový doklad vystavený na SGEF, jehož součástí/přílohou bude technická specifikace jednoznačně určující předmět leasingu a veškeré jeho příslušenství, (ii) nájemce uhradí mimořádnou leasingovou splátku, pokud byla sjednána a (iii) obdrží od nájemce a dodava</w:t>
      </w:r>
      <w:r>
        <w:t>tele potvrzený originál přejímacího protokolu SGEF, kterým nájemce potvrdí bezvadnou dodávku předmětu leasingu.</w:t>
      </w:r>
    </w:p>
    <w:p w:rsidR="00BB2945" w:rsidRDefault="00E3371C">
      <w:pPr>
        <w:pStyle w:val="sOdstavec"/>
      </w:pPr>
      <w:r>
        <w:t>Uvedená kupní cena se považuje za konečnou, nebylo-li dohodnuto jinak. Kupní cena bude zaplacena na účet dodavatele uvedený v záhlaví této dohod</w:t>
      </w:r>
      <w:r>
        <w:t>y, který musí být současně registrovaným účtem zveřejněným správcem daně v registru plátců DPH. Pakliže nebude v den zadání příkazu k bezhotovostnímu převodu účet uvedený v záhlaví registrován, SGEF provede úhradu kupní ceny výhradně na účet zveřejněný spr</w:t>
      </w:r>
      <w:r>
        <w:t>ávcem daně v registru plátců DPH. SGEF bude dodavatele následně informovat o provedení platby na jiný účet než je účet uvedený v záhlaví.</w:t>
      </w:r>
    </w:p>
    <w:p w:rsidR="00BB2945" w:rsidRDefault="00E3371C">
      <w:pPr>
        <w:pStyle w:val="sOdstavec"/>
      </w:pPr>
      <w:r>
        <w:t>Fakturu/daňový doklad je dodavatel povinen vystavit po převzetí předmětu leasingu nájemcem a podpisu přejímacího proto</w:t>
      </w:r>
      <w:r>
        <w:t>kolu SGEF nájemcem a je povinen ji zaslat na adresu SGEF, přičemž faktura musí splňovat náležitosti daňového dokladu.</w:t>
      </w:r>
    </w:p>
    <w:p w:rsidR="00BB2945" w:rsidRDefault="00E3371C">
      <w:pPr>
        <w:pStyle w:val="sOdstavec"/>
      </w:pPr>
      <w:r>
        <w:t>V případě prodlení s úhradou kupní ceny je dodavatel oprávněn požadovat po SGEF úrok z prodlení v zákonné výši. Dodavatel však nebude poža</w:t>
      </w:r>
      <w:r>
        <w:t>dovat úroky z prodlení v případě, že nebyly splněny podmínky pro výplatu kupní ceny dle této dohody.</w:t>
      </w:r>
    </w:p>
    <w:p w:rsidR="00BB2945" w:rsidRDefault="00E3371C">
      <w:pPr>
        <w:pStyle w:val="sOdstavec"/>
      </w:pPr>
      <w:r>
        <w:t>Dodavatel se zavazuje, že v souladu s příslušnými ustanoveními zákona č. 235/2004 Sb., o dani z přidané hodnoty, ve znění pozdějších předpisů (dále též „zá</w:t>
      </w:r>
      <w:r>
        <w:t xml:space="preserve">kon o DPH") odvede (zaplatí) příslušnému správci daně  příslušnou daň z přidané hodnoty (dále též „DPH“) ve výši dle platných právních předpisů, která bude připočtena ke kupní ceně bez DPH uvedené v tabulce na první straně této dohody a bude uhrazena SGEF </w:t>
      </w:r>
      <w:r>
        <w:t>dodavateli v souvislosti s kupní cenou v souladu s touto dohodou. Dodavatel dále prohlašuje, že úplata za zdanitelné plnění (kupní cena) dle tabulky na první straně této dohody není bez ekonomického opodstatnění zcela zjevně odchylná od obvyklé ceny dle zá</w:t>
      </w:r>
      <w:r>
        <w:t>kona č. 151/1997 Sb., o oceňování majetku a o změně některých zákonů, ve znění pozdějších předpisů.</w:t>
      </w:r>
    </w:p>
    <w:p w:rsidR="00BB2945" w:rsidRDefault="00E3371C">
      <w:pPr>
        <w:pStyle w:val="sOdstavec1"/>
        <w:keepNext/>
        <w:keepLines/>
        <w:spacing w:after="120"/>
      </w:pPr>
      <w:r>
        <w:t>V případě, že:</w:t>
      </w:r>
    </w:p>
    <w:p w:rsidR="00BB2945" w:rsidRDefault="00E3371C">
      <w:pPr>
        <w:pStyle w:val="sOdstavec2"/>
        <w:tabs>
          <w:tab w:val="left" w:pos="993"/>
        </w:tabs>
        <w:spacing w:after="0"/>
        <w:jc w:val="both"/>
      </w:pPr>
      <w:r>
        <w:t>dodavatel nesplní svou povinnost dle tohoto článku 3. odst. 3.5 této dohody a neodvede příslušnou DPH či její část v souvislosti s touto doho</w:t>
      </w:r>
      <w:r>
        <w:t>dou příslušnému správci daně</w:t>
      </w:r>
    </w:p>
    <w:p w:rsidR="00BB2945" w:rsidRDefault="00E3371C">
      <w:pPr>
        <w:pStyle w:val="sTextnorm"/>
        <w:tabs>
          <w:tab w:val="left" w:pos="993"/>
        </w:tabs>
        <w:spacing w:before="0" w:after="0"/>
      </w:pPr>
      <w:r>
        <w:tab/>
        <w:t>a</w:t>
      </w:r>
    </w:p>
    <w:p w:rsidR="00BB2945" w:rsidRDefault="00E3371C">
      <w:pPr>
        <w:pStyle w:val="sOdstavec2"/>
        <w:tabs>
          <w:tab w:val="left" w:pos="993"/>
        </w:tabs>
        <w:spacing w:after="0"/>
        <w:jc w:val="both"/>
      </w:pPr>
      <w:r>
        <w:t>SGEF vznikne za podmínek stanovených zákonem o DPH z titulu zákonného ručení na základě výzvy příslušného správce daně povinnost příslušnou DPH či její část v souvislosti s touto dohodou odvést</w:t>
      </w:r>
    </w:p>
    <w:p w:rsidR="00BB2945" w:rsidRDefault="00E3371C">
      <w:pPr>
        <w:pStyle w:val="sTextnorm"/>
        <w:tabs>
          <w:tab w:val="left" w:pos="993"/>
        </w:tabs>
        <w:spacing w:before="0" w:after="0"/>
      </w:pPr>
      <w:r>
        <w:tab/>
        <w:t>a</w:t>
      </w:r>
    </w:p>
    <w:p w:rsidR="00BB2945" w:rsidRDefault="00E3371C">
      <w:pPr>
        <w:pStyle w:val="sOdstavec2"/>
        <w:jc w:val="both"/>
      </w:pPr>
      <w:r>
        <w:t>SGEF příslušnou DPH či její část příslušnému správci daně odvede (zaplatí),</w:t>
      </w:r>
    </w:p>
    <w:p w:rsidR="00BB2945" w:rsidRDefault="00E3371C">
      <w:pPr>
        <w:pStyle w:val="sOdstavec1"/>
      </w:pPr>
      <w:r>
        <w:t>zavazuje se dodavatel neprodleně po obdržení písemného oznámení SGEF, jehož přílohou bude doklad prokazující odvedení příslušné DPH či její části  příslušnému správci daně v souvis</w:t>
      </w:r>
      <w:r>
        <w:t>losti s touto dohodou uhradit na účet uvedený v oznámení SGEF příslušnou částku odpovídající DPH či její část, kterou za dodavatele SGEF odvedla příslušnému správci daně.</w:t>
      </w:r>
    </w:p>
    <w:p w:rsidR="00BB2945" w:rsidRDefault="00E3371C">
      <w:pPr>
        <w:pStyle w:val="sOdstavec1"/>
      </w:pPr>
      <w:r>
        <w:lastRenderedPageBreak/>
        <w:t>Pokud dojde k porušení povinnosti dodavatele dle tohoto odst. 3.5 a SGEF odvede dle t</w:t>
      </w:r>
      <w:r>
        <w:t xml:space="preserve">ohoto odst. 3.5 za dodavatele příslušnou DPH či její část, SGEF je oprávněna započíst svou pohledávku za dodavatelem dle tohoto odst. 3.5 proti jakékoliv pohledávce dodavatele za SGEF z této dohody nebo proti jakékoliv jiné pohledávce dodavatele za SGEF. </w:t>
      </w:r>
    </w:p>
    <w:p w:rsidR="00BB2945" w:rsidRDefault="00E3371C">
      <w:pPr>
        <w:pStyle w:val="sOdstavec"/>
      </w:pPr>
      <w:r>
        <w:t xml:space="preserve">Dodavatel bere na vědomí a souhlasí, že v případě, že je v okamžiku uskutečnění zdanitelného plnění označen správcem daně jako nespolehlivý plátce v registru plátců DPH v souladu s příslušnými ustanoveními zákona o DPH, má SGEF právo uhradit celkovou výši </w:t>
      </w:r>
      <w:r>
        <w:t>DPH na osobní depozitní účet vedený u místně příslušného správce daně dodavatele. SGEF bude dodavatele následně písemně informovat o takovém způsobu úhrady části kupní ceny.</w:t>
      </w:r>
    </w:p>
    <w:p w:rsidR="00BB2945" w:rsidRDefault="00E3371C">
      <w:pPr>
        <w:pStyle w:val="sNadpis2"/>
      </w:pPr>
      <w:r>
        <w:t>Odstoupení od této dohody</w:t>
      </w:r>
    </w:p>
    <w:p w:rsidR="00BB2945" w:rsidRDefault="00E3371C">
      <w:pPr>
        <w:pStyle w:val="sOdstavec"/>
      </w:pPr>
      <w:r>
        <w:t>Pro případ, že nájemce bude mít k řádnému provedení a/ne</w:t>
      </w:r>
      <w:r>
        <w:t>bo dodání předmětu leasingu výhrady (ať již při převzetí předmětu leasingu nebo na základě případného zkušebního provozu předmětu leasingu) a/nebo odmítne z převzít předmět leasingu nebo neuhradí mimořádnou leasingovou splátku v plné výši, byla-li sjednána</w:t>
      </w:r>
      <w:r>
        <w:t xml:space="preserve"> (přičemž dodavatel potvrzuje, že je seznámen s výší a termínem splatnosti mimořádné leasingové splátky) a/nebo pokud dojde k porušení podmínek této dohody nebo kupní smlouvy nájemcem nebo dodavatelem a/nebo došlo k výpovědi závazku z leasingové smlouvy př</w:t>
      </w:r>
      <w:r>
        <w:t xml:space="preserve">ed převzetím předmětu leasingu, vyhrazuje si SGEF právo od této dohody odstoupit. V případě, že před odstoupením od této dohody již došlo byť i k částečnému plnění závazku z této dohody, jsou strany této dohody povinny si vzájemně vrátit plnění poskytnutá </w:t>
      </w:r>
      <w:r>
        <w:t>dle této dohody, nedohodnou-li se strany jinak. Zejména dodavatel vrátí neprodleně SGEF veškeré přijaté peněžité plnění. Dojde-li k odstoupení od této dohody až po převzetí předmětu leasingu, je dodavatel povinen vystavit ve prospěch SGEF opravný daňový do</w:t>
      </w:r>
      <w:r>
        <w:t>klad na celou částku kupní ceny. Povinnost vrátit dodavateli předmět leasingu plní nájemce a náklady a nebezpečí spojené s vrácením předmětu leasingu a peněžitých plnění nese výhradně nájemce a/nebo dodavatel a žádný z nich není oprávněn uplatňovat vůči SG</w:t>
      </w:r>
      <w:r>
        <w:t>EF žádné nároky jakéhokoli druhu.</w:t>
      </w:r>
    </w:p>
    <w:p w:rsidR="00BB2945" w:rsidRDefault="00E3371C">
      <w:pPr>
        <w:pStyle w:val="sOdstavec"/>
      </w:pPr>
      <w:r>
        <w:t>SGEF je dále oprávněna odstoupit od této dohody v případě, že dodavatel je v okamžiku uskutečnění zdanitelného plnění označen správcem daně jako nespolehlivý plátce v registru plátců DPH.</w:t>
      </w:r>
    </w:p>
    <w:p w:rsidR="00BB2945" w:rsidRDefault="00E3371C">
      <w:pPr>
        <w:pStyle w:val="sOdstavec"/>
      </w:pPr>
      <w:r>
        <w:t>Strany této dohody ujednaly, že v </w:t>
      </w:r>
      <w:r>
        <w:t>případě odstoupení SGEF od této dohody, platí mezi dodavatelem a nájemcem v celém rozsahu kupní smlouva uzavřená mezi dodavatelem a nájemcem specifikovaná v záhlaví této dohody. Strany této dohody dále ujednaly, že vylučují použití ustanovení § 1898 občans</w:t>
      </w:r>
      <w:r>
        <w:t>kého zákoníku.</w:t>
      </w:r>
    </w:p>
    <w:p w:rsidR="00BB2945" w:rsidRDefault="00E3371C">
      <w:pPr>
        <w:pStyle w:val="sNadpis2"/>
      </w:pPr>
      <w:r>
        <w:t>Práva z vadného plnění a další povinnosti dodavatele</w:t>
      </w:r>
    </w:p>
    <w:p w:rsidR="00BB2945" w:rsidRDefault="00E3371C">
      <w:pPr>
        <w:pStyle w:val="sOdstavec"/>
      </w:pPr>
      <w:r>
        <w:t>Podle leasingové smlouvy postupuje SGEF nájemci k vymáhání veškerá svá práva (včetně budoucích) ze záruky a z vadného plnění (související s případnými vadami předmětu leasingu), která jí n</w:t>
      </w:r>
      <w:r>
        <w:t>áleží vůči dodavateli, a to s výjimkou práva na odstoupení od kupní smlouvy a práva na výměnu předmětu leasingu. Dodavatel, jako prodávající prohlašuje, že s tímto postoupením souhlasí.</w:t>
      </w:r>
    </w:p>
    <w:p w:rsidR="00BB2945" w:rsidRDefault="00E3371C">
      <w:pPr>
        <w:pStyle w:val="sOdstavec"/>
      </w:pPr>
      <w:r>
        <w:t>Dodavatel jako prodávající prohlašuje, že splňuje povinnosti uložené zákonem č. 477/2001 Sb., o obalech, a o změně některých zákonů, ve znění pozdějších předpisů. Dodavatel odpovídá za splnění povinností uložených tímto zákonem a nese případné pokuty ulože</w:t>
      </w:r>
      <w:r>
        <w:t xml:space="preserve">né za nesplnění těchto povinností. </w:t>
      </w:r>
    </w:p>
    <w:p w:rsidR="00BB2945" w:rsidRDefault="00E3371C">
      <w:pPr>
        <w:pStyle w:val="sOdstavec"/>
      </w:pPr>
      <w:r>
        <w:t>Dodavatel je povinen dodat předmět leasingu tak, aby předmět leasingu, příslušná dokumentace, označení a užívání předmětu leasingu bylo v souladu s platnými právními předpisy, zejména zákonem č. 22/1997 Sb., o technickýc</w:t>
      </w:r>
      <w:r>
        <w:t>h požadavcích na výrobky a o změně a doplnění některých zákonů, ve znění pozdějších předpisů, a zákonem č. 102/2001 Sb., o obecné bezpečnosti výrobků a o změně některých zákonů, ve znění pozdějších předpisů, a prohlašuje, že předmět leasingu splňuje výše u</w:t>
      </w:r>
      <w:r>
        <w:t>vedené požadavky. Dodavatel nese odpovědnost v případě porušení těchto povinností a uhradí SGEF veškerou vzniklou újmu.</w:t>
      </w:r>
    </w:p>
    <w:p w:rsidR="00BB2945" w:rsidRDefault="00E3371C">
      <w:pPr>
        <w:pStyle w:val="sNadpis2"/>
      </w:pPr>
      <w:r>
        <w:t>Závěrečná ustanovení</w:t>
      </w:r>
    </w:p>
    <w:p w:rsidR="00BB2945" w:rsidRDefault="00E3371C">
      <w:pPr>
        <w:pStyle w:val="sOdstavec"/>
      </w:pPr>
      <w:r>
        <w:t>Tato dohoda se řídí českým právním řádem, zejména občanským zákoníkem v platném znění. Tato dohoda je vyhotovena ve</w:t>
      </w:r>
      <w:r>
        <w:t xml:space="preserve"> třech stejnopisech, z nichž po jednom obdrží SGEF, dodavatel a nájemce.</w:t>
      </w:r>
    </w:p>
    <w:p w:rsidR="00BB2945" w:rsidRDefault="00E3371C">
      <w:pPr>
        <w:pStyle w:val="sOdstavec"/>
      </w:pPr>
      <w:r>
        <w:t>Dodavatel potvrdí souhlas s přistoupením SGEF ke kupní smlouvě, resp. uzavřením této dohody za výše uvedených podmínek svým podpisem a takto podepsanou dohodu vrátí na výše uvedenou a</w:t>
      </w:r>
      <w:r>
        <w:t>dresu SGEF. Je-li dohoda podepisována ze strany SGEF elektronicky, nabývá platnosti nejdříve podpisem druhé z osob, které ji podepisují za SGEF. Ustanovení o nabytí platnosti a/nebo účinnosti nejdříve okamžikem podpisu druhé z osob podepisujících za SGEF v</w:t>
      </w:r>
      <w:r>
        <w:t xml:space="preserve"> případě elektronického podepisování se uplatní rovněž na veškeré případné dodatky či přílohy této dohody. Platí, že dodavatel a nájemce mohou návrh dohody přijmout pouze </w:t>
      </w:r>
      <w:r>
        <w:lastRenderedPageBreak/>
        <w:t xml:space="preserve">ve znění navrhovaném SGEF s vyloučením možného přijetí návrhu dohody s dodatkem nebo </w:t>
      </w:r>
      <w:r>
        <w:t>odchylkou dle § 1740 odst. 3 občanského zákoníku.</w:t>
      </w:r>
    </w:p>
    <w:p w:rsidR="00BB2945" w:rsidRDefault="00E3371C">
      <w:pPr>
        <w:pStyle w:val="sOdstavec"/>
      </w:pPr>
      <w:r>
        <w:t>Dodavatel a nájemce prohlašují, že při jednání o uzavření této dohody jim byly sděleny všechny pro ně relevantní skutkové a právní okolnosti k posouzení možnosti uzavřít tuto dohodu dle § 1728 občanského zá</w:t>
      </w:r>
      <w:r>
        <w:t>koníku a že neočekává ani nepožaduje od SGEF žádné další informace v této věci.</w:t>
      </w:r>
    </w:p>
    <w:p w:rsidR="00BB2945" w:rsidRDefault="00E3371C">
      <w:pPr>
        <w:pStyle w:val="sOdstavec"/>
      </w:pPr>
      <w:r>
        <w:t>Strany této dohody si ujednaly, že vylučují aplikaci ustanovení § 1799 a § 1800 občanského zákoníku týkající se smluv uzavíraných adhezním způsobem na tuto dohodu.</w:t>
      </w:r>
    </w:p>
    <w:p w:rsidR="00BB2945" w:rsidRDefault="00E3371C">
      <w:pPr>
        <w:pStyle w:val="sOdstavec"/>
      </w:pPr>
      <w:r>
        <w:t xml:space="preserve">Stane-li se </w:t>
      </w:r>
      <w:r>
        <w:t>jedno nebo více ustanovení této dohody neplatným nebo ukáže-li se být zdánlivým, platnost ostatních ustanovení tím není dotčena. Smluvní strany si namísto neplatného či zdánlivého ustanovení dohodnou takové platné ustanovení, které se bude nejvíce blížit h</w:t>
      </w:r>
      <w:r>
        <w:t>ospodářskému účelu zamýšlenému neplatným či zdánlivým ustanovením.</w:t>
      </w:r>
    </w:p>
    <w:p w:rsidR="00BB2945" w:rsidRDefault="00E3371C">
      <w:pPr>
        <w:pStyle w:val="sOdstavec"/>
        <w:keepNext/>
        <w:keepLines/>
      </w:pPr>
      <w:r>
        <w:t>Všechny spory vznikající z této dohody a v souvislosti s ní budou rozhodovány s konečnou platností u Rozhodčího soudu při Hospodářské komoře České republiky a Agrární komoře České republiky</w:t>
      </w:r>
      <w:r>
        <w:t xml:space="preserve"> podle jeho řádu třemi rozhodci. </w:t>
      </w: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9"/>
        <w:gridCol w:w="1749"/>
        <w:gridCol w:w="2882"/>
        <w:gridCol w:w="2883"/>
      </w:tblGrid>
      <w:tr w:rsidR="00BB2945">
        <w:trPr>
          <w:trHeight w:val="657"/>
          <w:jc w:val="center"/>
        </w:trPr>
        <w:tc>
          <w:tcPr>
            <w:tcW w:w="3498" w:type="dxa"/>
            <w:gridSpan w:val="2"/>
            <w:tcBorders>
              <w:bottom w:val="single" w:sz="4" w:space="0" w:color="auto"/>
            </w:tcBorders>
          </w:tcPr>
          <w:p w:rsidR="00BB2945" w:rsidRDefault="00E3371C">
            <w:pPr>
              <w:pStyle w:val="sTabnorm"/>
              <w:keepNext/>
              <w:keepLines/>
              <w:spacing w:before="240"/>
              <w:jc w:val="center"/>
            </w:pPr>
            <w:r>
              <w:t>Praha, 30.11.2020</w:t>
            </w:r>
          </w:p>
          <w:p w:rsidR="00BB2945" w:rsidRDefault="00E3371C">
            <w:pPr>
              <w:pStyle w:val="sTabnorm"/>
              <w:keepNext/>
              <w:keepLines/>
              <w:jc w:val="center"/>
            </w:pPr>
            <w:r>
              <w:t>Místo, datum</w:t>
            </w:r>
          </w:p>
        </w:tc>
        <w:tc>
          <w:tcPr>
            <w:tcW w:w="2882" w:type="dxa"/>
            <w:tcBorders>
              <w:bottom w:val="single" w:sz="4" w:space="0" w:color="auto"/>
            </w:tcBorders>
          </w:tcPr>
          <w:p w:rsidR="00BB2945" w:rsidRDefault="00E3371C">
            <w:pPr>
              <w:pStyle w:val="sTabnorm"/>
              <w:keepNext/>
              <w:keepLines/>
              <w:spacing w:before="240"/>
              <w:jc w:val="center"/>
            </w:pPr>
            <w:r>
              <w:t>Klatovy, 30.11.2020</w:t>
            </w:r>
          </w:p>
          <w:p w:rsidR="00BB2945" w:rsidRDefault="00E3371C">
            <w:pPr>
              <w:pStyle w:val="sTabnorm"/>
              <w:keepNext/>
              <w:keepLines/>
              <w:jc w:val="center"/>
            </w:pPr>
            <w:r>
              <w:t>Místo, datum</w:t>
            </w:r>
          </w:p>
        </w:tc>
        <w:tc>
          <w:tcPr>
            <w:tcW w:w="2883" w:type="dxa"/>
            <w:tcBorders>
              <w:bottom w:val="single" w:sz="4" w:space="0" w:color="auto"/>
            </w:tcBorders>
          </w:tcPr>
          <w:p w:rsidR="00BB2945" w:rsidRDefault="00E3371C">
            <w:pPr>
              <w:pStyle w:val="sTabnorm"/>
              <w:keepNext/>
              <w:keepLines/>
              <w:spacing w:before="240"/>
              <w:jc w:val="center"/>
            </w:pPr>
            <w:r>
              <w:t>Plzeň, 30.11.2020</w:t>
            </w:r>
          </w:p>
          <w:p w:rsidR="00BB2945" w:rsidRDefault="00E3371C">
            <w:pPr>
              <w:pStyle w:val="sTabnorm"/>
              <w:keepNext/>
              <w:keepLines/>
              <w:jc w:val="center"/>
            </w:pPr>
            <w:r>
              <w:t>Místo, datum</w:t>
            </w:r>
          </w:p>
        </w:tc>
      </w:tr>
      <w:tr w:rsidR="00BB2945">
        <w:trPr>
          <w:trHeight w:val="236"/>
          <w:jc w:val="center"/>
        </w:trPr>
        <w:tc>
          <w:tcPr>
            <w:tcW w:w="3498" w:type="dxa"/>
            <w:gridSpan w:val="2"/>
            <w:tcBorders>
              <w:bottom w:val="nil"/>
            </w:tcBorders>
          </w:tcPr>
          <w:p w:rsidR="00BB2945" w:rsidRDefault="00E3371C">
            <w:pPr>
              <w:pStyle w:val="sTabnorm"/>
              <w:keepNext/>
              <w:keepLines/>
              <w:spacing w:before="240"/>
              <w:jc w:val="left"/>
              <w:rPr>
                <w:b/>
              </w:rPr>
            </w:pPr>
            <w:r>
              <w:t>Pronajímatel/kupující:</w:t>
            </w:r>
          </w:p>
        </w:tc>
        <w:tc>
          <w:tcPr>
            <w:tcW w:w="2882" w:type="dxa"/>
            <w:tcBorders>
              <w:bottom w:val="nil"/>
            </w:tcBorders>
          </w:tcPr>
          <w:p w:rsidR="00BB2945" w:rsidRDefault="00E3371C">
            <w:pPr>
              <w:pStyle w:val="sTabnorm"/>
              <w:keepNext/>
              <w:keepLines/>
              <w:spacing w:before="240"/>
              <w:jc w:val="left"/>
              <w:rPr>
                <w:b/>
              </w:rPr>
            </w:pPr>
            <w:r>
              <w:t>Nájemce:</w:t>
            </w:r>
          </w:p>
        </w:tc>
        <w:tc>
          <w:tcPr>
            <w:tcW w:w="2883" w:type="dxa"/>
            <w:tcBorders>
              <w:bottom w:val="nil"/>
            </w:tcBorders>
          </w:tcPr>
          <w:p w:rsidR="00BB2945" w:rsidRDefault="00E3371C">
            <w:pPr>
              <w:pStyle w:val="sTabnorm"/>
              <w:keepNext/>
              <w:keepLines/>
              <w:spacing w:before="240"/>
              <w:jc w:val="left"/>
              <w:rPr>
                <w:b/>
              </w:rPr>
            </w:pPr>
            <w:r>
              <w:t>Dodavatel/Prodávající:</w:t>
            </w:r>
          </w:p>
        </w:tc>
      </w:tr>
      <w:tr w:rsidR="00BB2945">
        <w:trPr>
          <w:trHeight w:val="244"/>
          <w:jc w:val="center"/>
        </w:trPr>
        <w:tc>
          <w:tcPr>
            <w:tcW w:w="3498" w:type="dxa"/>
            <w:gridSpan w:val="2"/>
            <w:tcBorders>
              <w:top w:val="nil"/>
            </w:tcBorders>
          </w:tcPr>
          <w:p w:rsidR="00BB2945" w:rsidRDefault="00E3371C">
            <w:pPr>
              <w:pStyle w:val="sTabnorm"/>
              <w:keepNext/>
              <w:keepLines/>
              <w:spacing w:after="60"/>
              <w:jc w:val="left"/>
            </w:pPr>
            <w:r>
              <w:rPr>
                <w:b/>
              </w:rPr>
              <w:t>SG Equipment Finance Czech Republic s.r.o.</w:t>
            </w:r>
          </w:p>
        </w:tc>
        <w:tc>
          <w:tcPr>
            <w:tcW w:w="2882" w:type="dxa"/>
            <w:tcBorders>
              <w:top w:val="nil"/>
            </w:tcBorders>
          </w:tcPr>
          <w:p w:rsidR="00BB2945" w:rsidRDefault="00E3371C">
            <w:pPr>
              <w:pStyle w:val="sTabnorm"/>
              <w:keepNext/>
              <w:keepLines/>
              <w:spacing w:after="60"/>
              <w:jc w:val="left"/>
            </w:pPr>
            <w:r>
              <w:rPr>
                <w:b/>
              </w:rPr>
              <w:t>Pošumavská odpadová, s.r.o.</w:t>
            </w:r>
          </w:p>
        </w:tc>
        <w:tc>
          <w:tcPr>
            <w:tcW w:w="2883" w:type="dxa"/>
            <w:tcBorders>
              <w:top w:val="nil"/>
            </w:tcBorders>
          </w:tcPr>
          <w:p w:rsidR="00BB2945" w:rsidRDefault="00E3371C">
            <w:pPr>
              <w:pStyle w:val="sTabnorm"/>
              <w:keepNext/>
              <w:keepLines/>
              <w:spacing w:after="60"/>
              <w:jc w:val="left"/>
            </w:pPr>
            <w:r>
              <w:rPr>
                <w:b/>
              </w:rPr>
              <w:t>VSP Auto, s.r.o.</w:t>
            </w:r>
          </w:p>
        </w:tc>
      </w:tr>
      <w:tr w:rsidR="00BB2945">
        <w:trPr>
          <w:jc w:val="center"/>
        </w:trPr>
        <w:tc>
          <w:tcPr>
            <w:tcW w:w="1749" w:type="dxa"/>
            <w:tcBorders>
              <w:bottom w:val="nil"/>
              <w:right w:val="nil"/>
            </w:tcBorders>
            <w:vAlign w:val="bottom"/>
          </w:tcPr>
          <w:p w:rsidR="00BB2945" w:rsidRDefault="00E3371C">
            <w:pPr>
              <w:pStyle w:val="sTabnorm"/>
              <w:keepNext/>
              <w:keepLines/>
              <w:spacing w:before="480"/>
              <w:jc w:val="center"/>
            </w:pPr>
            <w:r>
              <w:t>.......................</w:t>
            </w:r>
          </w:p>
          <w:p w:rsidR="00BB2945" w:rsidRDefault="00E3371C">
            <w:pPr>
              <w:pStyle w:val="sTabnorm"/>
              <w:keepNext/>
              <w:keepLines/>
              <w:jc w:val="center"/>
            </w:pPr>
            <w:r>
              <w:t>Podpis</w:t>
            </w:r>
          </w:p>
          <w:p w:rsidR="00BB2945" w:rsidRDefault="00BB2945">
            <w:pPr>
              <w:pStyle w:val="sTabnorm"/>
              <w:keepNext/>
              <w:keepLines/>
              <w:jc w:val="center"/>
            </w:pPr>
          </w:p>
        </w:tc>
        <w:tc>
          <w:tcPr>
            <w:tcW w:w="1749" w:type="dxa"/>
            <w:tcBorders>
              <w:left w:val="nil"/>
              <w:bottom w:val="nil"/>
            </w:tcBorders>
            <w:vAlign w:val="bottom"/>
          </w:tcPr>
          <w:p w:rsidR="00BB2945" w:rsidRDefault="00E3371C">
            <w:pPr>
              <w:pStyle w:val="sTabnorm"/>
              <w:keepNext/>
              <w:keepLines/>
              <w:spacing w:before="480"/>
              <w:jc w:val="center"/>
            </w:pPr>
            <w:r>
              <w:t>.......................</w:t>
            </w:r>
          </w:p>
          <w:p w:rsidR="00BB2945" w:rsidRDefault="00E3371C">
            <w:pPr>
              <w:pStyle w:val="sTabnorm"/>
              <w:keepNext/>
              <w:keepLines/>
              <w:jc w:val="center"/>
            </w:pPr>
            <w:r>
              <w:t>Podpis</w:t>
            </w:r>
          </w:p>
          <w:p w:rsidR="00BB2945" w:rsidRDefault="00BB2945">
            <w:pPr>
              <w:pStyle w:val="sTabnorm"/>
              <w:keepNext/>
              <w:keepLines/>
              <w:jc w:val="center"/>
            </w:pPr>
          </w:p>
        </w:tc>
        <w:tc>
          <w:tcPr>
            <w:tcW w:w="2882" w:type="dxa"/>
            <w:tcBorders>
              <w:bottom w:val="nil"/>
            </w:tcBorders>
            <w:vAlign w:val="bottom"/>
          </w:tcPr>
          <w:p w:rsidR="00BB2945" w:rsidRDefault="00E3371C">
            <w:pPr>
              <w:pStyle w:val="sTabnorm"/>
              <w:keepNext/>
              <w:keepLines/>
              <w:spacing w:before="480"/>
              <w:jc w:val="center"/>
            </w:pPr>
            <w:r>
              <w:t>...............................</w:t>
            </w:r>
          </w:p>
          <w:p w:rsidR="00BB2945" w:rsidRDefault="00E3371C">
            <w:pPr>
              <w:pStyle w:val="sTabnorm"/>
              <w:keepNext/>
              <w:keepLines/>
              <w:jc w:val="center"/>
            </w:pPr>
            <w:r>
              <w:t>Podpis</w:t>
            </w:r>
          </w:p>
          <w:p w:rsidR="00BB2945" w:rsidRDefault="00BB2945">
            <w:pPr>
              <w:pStyle w:val="sTabnorm"/>
              <w:keepNext/>
              <w:keepLines/>
              <w:jc w:val="center"/>
            </w:pPr>
          </w:p>
        </w:tc>
        <w:tc>
          <w:tcPr>
            <w:tcW w:w="2883" w:type="dxa"/>
            <w:tcBorders>
              <w:bottom w:val="nil"/>
            </w:tcBorders>
            <w:vAlign w:val="bottom"/>
          </w:tcPr>
          <w:p w:rsidR="00BB2945" w:rsidRDefault="00E3371C">
            <w:pPr>
              <w:pStyle w:val="sTabnorm"/>
              <w:keepNext/>
              <w:keepLines/>
              <w:spacing w:before="480"/>
              <w:jc w:val="center"/>
            </w:pPr>
            <w:r>
              <w:t>...............................</w:t>
            </w:r>
          </w:p>
          <w:p w:rsidR="00BB2945" w:rsidRDefault="00E3371C">
            <w:pPr>
              <w:pStyle w:val="sTabnorm"/>
              <w:keepNext/>
              <w:keepLines/>
              <w:jc w:val="center"/>
            </w:pPr>
            <w:r>
              <w:t>Podpis</w:t>
            </w:r>
          </w:p>
          <w:p w:rsidR="00BB2945" w:rsidRDefault="00BB2945">
            <w:pPr>
              <w:pStyle w:val="sTabnorm"/>
              <w:keepNext/>
              <w:keepLines/>
              <w:jc w:val="center"/>
            </w:pPr>
          </w:p>
        </w:tc>
      </w:tr>
      <w:tr w:rsidR="00BB2945">
        <w:trPr>
          <w:jc w:val="center"/>
        </w:trPr>
        <w:tc>
          <w:tcPr>
            <w:tcW w:w="1749" w:type="dxa"/>
            <w:tcBorders>
              <w:top w:val="nil"/>
              <w:bottom w:val="nil"/>
              <w:right w:val="nil"/>
            </w:tcBorders>
            <w:vAlign w:val="bottom"/>
          </w:tcPr>
          <w:p w:rsidR="00BB2945" w:rsidRDefault="00E3371C">
            <w:pPr>
              <w:pStyle w:val="sTabnorm"/>
              <w:keepNext/>
              <w:keepLines/>
              <w:jc w:val="center"/>
            </w:pPr>
            <w:r>
              <w:t>Petr Tomšů</w:t>
            </w:r>
          </w:p>
          <w:p w:rsidR="00BB2945" w:rsidRDefault="00E3371C">
            <w:pPr>
              <w:pStyle w:val="sTabnorm"/>
              <w:keepNext/>
              <w:keepLines/>
              <w:jc w:val="center"/>
            </w:pPr>
            <w:r>
              <w:t>Jméno</w:t>
            </w:r>
          </w:p>
          <w:p w:rsidR="00BB2945" w:rsidRDefault="00BB2945">
            <w:pPr>
              <w:pStyle w:val="sTabnorm"/>
              <w:keepNext/>
              <w:keepLines/>
              <w:jc w:val="center"/>
            </w:pPr>
          </w:p>
        </w:tc>
        <w:tc>
          <w:tcPr>
            <w:tcW w:w="1749" w:type="dxa"/>
            <w:tcBorders>
              <w:top w:val="nil"/>
              <w:left w:val="nil"/>
              <w:bottom w:val="nil"/>
            </w:tcBorders>
            <w:vAlign w:val="bottom"/>
          </w:tcPr>
          <w:p w:rsidR="00BB2945" w:rsidRDefault="00E3371C">
            <w:pPr>
              <w:pStyle w:val="sTabnorm"/>
              <w:keepNext/>
              <w:keepLines/>
              <w:jc w:val="center"/>
            </w:pPr>
            <w:r>
              <w:t>Jitka Javůrková</w:t>
            </w:r>
          </w:p>
          <w:p w:rsidR="00BB2945" w:rsidRDefault="00E3371C">
            <w:pPr>
              <w:pStyle w:val="sTabnorm"/>
              <w:keepNext/>
              <w:keepLines/>
              <w:jc w:val="center"/>
            </w:pPr>
            <w:r>
              <w:t>Jméno</w:t>
            </w:r>
          </w:p>
          <w:p w:rsidR="00BB2945" w:rsidRDefault="00BB2945">
            <w:pPr>
              <w:pStyle w:val="sTabnorm"/>
              <w:keepNext/>
              <w:keepLines/>
              <w:jc w:val="center"/>
            </w:pPr>
          </w:p>
        </w:tc>
        <w:tc>
          <w:tcPr>
            <w:tcW w:w="2882" w:type="dxa"/>
            <w:tcBorders>
              <w:top w:val="nil"/>
              <w:bottom w:val="nil"/>
            </w:tcBorders>
            <w:vAlign w:val="bottom"/>
          </w:tcPr>
          <w:p w:rsidR="00BB2945" w:rsidRDefault="00E3371C">
            <w:pPr>
              <w:pStyle w:val="sTabnorm"/>
              <w:keepNext/>
              <w:keepLines/>
              <w:jc w:val="center"/>
            </w:pPr>
            <w:r>
              <w:t>Ing. Michael Skrbek</w:t>
            </w:r>
          </w:p>
          <w:p w:rsidR="00BB2945" w:rsidRDefault="00E3371C">
            <w:pPr>
              <w:pStyle w:val="sTabnorm"/>
              <w:keepNext/>
              <w:keepLines/>
              <w:jc w:val="center"/>
            </w:pPr>
            <w:r>
              <w:t>Jméno</w:t>
            </w:r>
          </w:p>
          <w:p w:rsidR="00BB2945" w:rsidRDefault="00BB2945">
            <w:pPr>
              <w:pStyle w:val="sTabnorm"/>
              <w:keepNext/>
              <w:keepLines/>
              <w:jc w:val="center"/>
            </w:pPr>
          </w:p>
        </w:tc>
        <w:tc>
          <w:tcPr>
            <w:tcW w:w="2883" w:type="dxa"/>
            <w:tcBorders>
              <w:top w:val="nil"/>
              <w:bottom w:val="nil"/>
            </w:tcBorders>
            <w:vAlign w:val="bottom"/>
          </w:tcPr>
          <w:p w:rsidR="00BB2945" w:rsidRDefault="00E3371C">
            <w:pPr>
              <w:pStyle w:val="sTabnorm"/>
              <w:keepNext/>
              <w:keepLines/>
              <w:jc w:val="center"/>
            </w:pPr>
            <w:r>
              <w:t>...............................</w:t>
            </w:r>
          </w:p>
          <w:p w:rsidR="00BB2945" w:rsidRDefault="00E3371C">
            <w:pPr>
              <w:pStyle w:val="sTabnorm"/>
              <w:keepNext/>
              <w:keepLines/>
              <w:jc w:val="center"/>
            </w:pPr>
            <w:r>
              <w:t>Jméno</w:t>
            </w:r>
          </w:p>
          <w:p w:rsidR="00BB2945" w:rsidRDefault="00BB2945">
            <w:pPr>
              <w:pStyle w:val="sTabnorm"/>
              <w:keepNext/>
              <w:keepLines/>
              <w:jc w:val="center"/>
            </w:pPr>
          </w:p>
        </w:tc>
      </w:tr>
      <w:tr w:rsidR="00BB2945">
        <w:trPr>
          <w:jc w:val="center"/>
        </w:trPr>
        <w:tc>
          <w:tcPr>
            <w:tcW w:w="1749" w:type="dxa"/>
            <w:tcBorders>
              <w:top w:val="nil"/>
              <w:right w:val="nil"/>
            </w:tcBorders>
            <w:vAlign w:val="bottom"/>
          </w:tcPr>
          <w:p w:rsidR="00BB2945" w:rsidRDefault="00E3371C">
            <w:pPr>
              <w:pStyle w:val="sTabnorm"/>
              <w:keepNext/>
              <w:keepLines/>
              <w:jc w:val="center"/>
            </w:pPr>
            <w:r>
              <w:t>zmocněnec</w:t>
            </w:r>
          </w:p>
          <w:p w:rsidR="00BB2945" w:rsidRDefault="00E3371C">
            <w:pPr>
              <w:pStyle w:val="sTabnorm"/>
              <w:keepNext/>
              <w:keepLines/>
              <w:jc w:val="center"/>
            </w:pPr>
            <w:r>
              <w:t>Funkce</w:t>
            </w:r>
          </w:p>
          <w:p w:rsidR="00BB2945" w:rsidRDefault="00BB2945">
            <w:pPr>
              <w:pStyle w:val="sTabnorm"/>
              <w:keepNext/>
              <w:keepLines/>
              <w:jc w:val="center"/>
            </w:pPr>
          </w:p>
        </w:tc>
        <w:tc>
          <w:tcPr>
            <w:tcW w:w="1749" w:type="dxa"/>
            <w:tcBorders>
              <w:top w:val="nil"/>
              <w:left w:val="nil"/>
            </w:tcBorders>
            <w:vAlign w:val="bottom"/>
          </w:tcPr>
          <w:p w:rsidR="00BB2945" w:rsidRDefault="00E3371C">
            <w:pPr>
              <w:pStyle w:val="sTabnorm"/>
              <w:keepNext/>
              <w:keepLines/>
              <w:jc w:val="center"/>
            </w:pPr>
            <w:r>
              <w:t>zmocněnec</w:t>
            </w:r>
          </w:p>
          <w:p w:rsidR="00BB2945" w:rsidRDefault="00E3371C">
            <w:pPr>
              <w:pStyle w:val="sTabnorm"/>
              <w:keepNext/>
              <w:keepLines/>
              <w:jc w:val="center"/>
            </w:pPr>
            <w:r>
              <w:t>Funkce</w:t>
            </w:r>
          </w:p>
          <w:p w:rsidR="00BB2945" w:rsidRDefault="00BB2945">
            <w:pPr>
              <w:pStyle w:val="sTabnorm"/>
              <w:keepNext/>
              <w:keepLines/>
              <w:jc w:val="center"/>
            </w:pPr>
          </w:p>
        </w:tc>
        <w:tc>
          <w:tcPr>
            <w:tcW w:w="2882" w:type="dxa"/>
            <w:tcBorders>
              <w:top w:val="nil"/>
            </w:tcBorders>
            <w:vAlign w:val="bottom"/>
          </w:tcPr>
          <w:p w:rsidR="00BB2945" w:rsidRDefault="00E3371C">
            <w:pPr>
              <w:pStyle w:val="sTabnorm"/>
              <w:keepNext/>
              <w:keepLines/>
              <w:jc w:val="center"/>
            </w:pPr>
            <w:r>
              <w:t>jednatel</w:t>
            </w:r>
          </w:p>
          <w:p w:rsidR="00BB2945" w:rsidRDefault="00E3371C">
            <w:pPr>
              <w:pStyle w:val="sTabnorm"/>
              <w:keepNext/>
              <w:keepLines/>
              <w:jc w:val="center"/>
            </w:pPr>
            <w:r>
              <w:t>Funkce</w:t>
            </w:r>
          </w:p>
          <w:p w:rsidR="00BB2945" w:rsidRDefault="00BB2945">
            <w:pPr>
              <w:pStyle w:val="sTabnorm"/>
              <w:keepNext/>
              <w:keepLines/>
              <w:jc w:val="center"/>
            </w:pPr>
          </w:p>
        </w:tc>
        <w:tc>
          <w:tcPr>
            <w:tcW w:w="2883" w:type="dxa"/>
            <w:tcBorders>
              <w:top w:val="nil"/>
            </w:tcBorders>
            <w:vAlign w:val="bottom"/>
          </w:tcPr>
          <w:p w:rsidR="00BB2945" w:rsidRDefault="00E3371C">
            <w:pPr>
              <w:pStyle w:val="sTabnorm"/>
              <w:keepNext/>
              <w:keepLines/>
              <w:jc w:val="center"/>
            </w:pPr>
            <w:r>
              <w:t>...............................</w:t>
            </w:r>
          </w:p>
          <w:p w:rsidR="00BB2945" w:rsidRDefault="00E3371C">
            <w:pPr>
              <w:pStyle w:val="sTabnorm"/>
              <w:keepNext/>
              <w:keepLines/>
              <w:jc w:val="center"/>
            </w:pPr>
            <w:r>
              <w:t>Funkce</w:t>
            </w:r>
          </w:p>
          <w:p w:rsidR="00BB2945" w:rsidRDefault="00BB2945">
            <w:pPr>
              <w:pStyle w:val="sTabnorm"/>
              <w:keepNext/>
              <w:keepLines/>
              <w:jc w:val="center"/>
            </w:pPr>
          </w:p>
        </w:tc>
      </w:tr>
    </w:tbl>
    <w:p w:rsidR="00BB2945" w:rsidRDefault="00BB2945">
      <w:pPr>
        <w:pStyle w:val="sTextnorm"/>
        <w:keepNext/>
        <w:keepLines/>
        <w:spacing w:before="0" w:after="0"/>
        <w:rPr>
          <w:sz w:val="2"/>
          <w:szCs w:val="2"/>
          <w:highlight w:val="cyan"/>
        </w:rPr>
      </w:pPr>
    </w:p>
    <w:p w:rsidR="00BB2945" w:rsidRDefault="00E3371C">
      <w:pPr>
        <w:pStyle w:val="sTextnorm"/>
        <w:keepNext/>
        <w:keepLines/>
        <w:spacing w:before="0"/>
      </w:pPr>
      <w:r>
        <w:t>Příloha: Kopie/originál podepsané kupní smlouvy/dohody o dodávkách ze dne: 17.09.2020</w:t>
      </w:r>
    </w:p>
    <w:p w:rsidR="00BB2945" w:rsidRDefault="00BB2945">
      <w:pPr>
        <w:jc w:val="right"/>
      </w:pPr>
    </w:p>
    <w:sectPr w:rsidR="00BB2945">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417" w:bottom="1417" w:left="1417" w:header="1304" w:footer="34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3371C">
      <w:r>
        <w:separator/>
      </w:r>
    </w:p>
  </w:endnote>
  <w:endnote w:type="continuationSeparator" w:id="0">
    <w:p w:rsidR="00000000" w:rsidRDefault="00E3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945" w:rsidRDefault="00BB294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4" w:type="dxa"/>
      <w:jc w:val="center"/>
      <w:tblLook w:val="04A0" w:firstRow="1" w:lastRow="0" w:firstColumn="1" w:lastColumn="0" w:noHBand="0" w:noVBand="1"/>
    </w:tblPr>
    <w:tblGrid>
      <w:gridCol w:w="4535"/>
      <w:gridCol w:w="1134"/>
      <w:gridCol w:w="4535"/>
    </w:tblGrid>
    <w:tr w:rsidR="00BB2945">
      <w:trPr>
        <w:trHeight w:val="299"/>
        <w:jc w:val="center"/>
      </w:trPr>
      <w:tc>
        <w:tcPr>
          <w:tcW w:w="4535" w:type="dxa"/>
          <w:vAlign w:val="center"/>
        </w:tcPr>
        <w:p w:rsidR="00BB2945" w:rsidRDefault="00BB2945">
          <w:pPr>
            <w:pStyle w:val="sZapati"/>
            <w:rPr>
              <w:sz w:val="12"/>
              <w:szCs w:val="12"/>
            </w:rPr>
          </w:pPr>
        </w:p>
      </w:tc>
      <w:tc>
        <w:tcPr>
          <w:tcW w:w="1134" w:type="dxa"/>
        </w:tcPr>
        <w:p w:rsidR="00BB2945" w:rsidRDefault="00E3371C">
          <w:pPr>
            <w:pStyle w:val="sZapati"/>
            <w:rPr>
              <w:sz w:val="14"/>
              <w:szCs w:val="14"/>
            </w:rPr>
          </w:pPr>
          <w:r>
            <w:rPr>
              <w:sz w:val="14"/>
              <w:szCs w:val="14"/>
            </w:rPr>
            <w:fldChar w:fldCharType="begin"/>
          </w:r>
          <w:r>
            <w:rPr>
              <w:sz w:val="14"/>
              <w:szCs w:val="14"/>
            </w:rPr>
            <w:instrText xml:space="preserve"> PAGE </w:instrText>
          </w:r>
          <w:r>
            <w:rPr>
              <w:sz w:val="14"/>
              <w:szCs w:val="14"/>
            </w:rPr>
            <w:fldChar w:fldCharType="separate"/>
          </w:r>
          <w:r>
            <w:rPr>
              <w:noProof/>
              <w:sz w:val="14"/>
              <w:szCs w:val="14"/>
            </w:rPr>
            <w:t>4</w:t>
          </w:r>
          <w:r>
            <w:rPr>
              <w:sz w:val="14"/>
              <w:szCs w:val="14"/>
            </w:rPr>
            <w:fldChar w:fldCharType="end"/>
          </w:r>
          <w:r>
            <w:rPr>
              <w:sz w:val="14"/>
              <w:szCs w:val="14"/>
            </w:rPr>
            <w:t xml:space="preserve"> / </w:t>
          </w:r>
          <w:r>
            <w:rPr>
              <w:sz w:val="14"/>
              <w:szCs w:val="14"/>
            </w:rPr>
            <w:fldChar w:fldCharType="begin"/>
          </w:r>
          <w:r>
            <w:rPr>
              <w:sz w:val="14"/>
              <w:szCs w:val="14"/>
            </w:rPr>
            <w:instrText xml:space="preserve"> SECTIONPAGES </w:instrText>
          </w:r>
          <w:r>
            <w:rPr>
              <w:sz w:val="14"/>
              <w:szCs w:val="14"/>
            </w:rPr>
            <w:fldChar w:fldCharType="separate"/>
          </w:r>
          <w:r>
            <w:rPr>
              <w:noProof/>
              <w:sz w:val="14"/>
              <w:szCs w:val="14"/>
            </w:rPr>
            <w:t>4</w:t>
          </w:r>
          <w:r>
            <w:rPr>
              <w:sz w:val="14"/>
              <w:szCs w:val="14"/>
            </w:rPr>
            <w:fldChar w:fldCharType="end"/>
          </w:r>
        </w:p>
      </w:tc>
      <w:tc>
        <w:tcPr>
          <w:tcW w:w="4535" w:type="dxa"/>
        </w:tcPr>
        <w:p w:rsidR="00BB2945" w:rsidRDefault="00E3371C">
          <w:pPr>
            <w:pStyle w:val="sZapati"/>
            <w:jc w:val="right"/>
            <w:rPr>
              <w:sz w:val="14"/>
              <w:szCs w:val="14"/>
            </w:rPr>
          </w:pPr>
          <w:r>
            <w:rPr>
              <w:sz w:val="14"/>
              <w:szCs w:val="14"/>
            </w:rPr>
            <w:t>CZ_SDA_011_500_205_c</w:t>
          </w:r>
        </w:p>
      </w:tc>
    </w:tr>
  </w:tbl>
  <w:p w:rsidR="00BB2945" w:rsidRDefault="00BB2945">
    <w:pPr>
      <w:pStyle w:val="sZapat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4" w:type="dxa"/>
      <w:jc w:val="center"/>
      <w:tblLook w:val="04A0" w:firstRow="1" w:lastRow="0" w:firstColumn="1" w:lastColumn="0" w:noHBand="0" w:noVBand="1"/>
    </w:tblPr>
    <w:tblGrid>
      <w:gridCol w:w="4677"/>
      <w:gridCol w:w="1134"/>
      <w:gridCol w:w="4393"/>
    </w:tblGrid>
    <w:tr w:rsidR="00BB2945">
      <w:trPr>
        <w:trHeight w:val="108"/>
        <w:jc w:val="center"/>
      </w:trPr>
      <w:tc>
        <w:tcPr>
          <w:tcW w:w="4677" w:type="dxa"/>
          <w:vAlign w:val="center"/>
        </w:tcPr>
        <w:p w:rsidR="00BB2945" w:rsidRDefault="00E3371C">
          <w:pPr>
            <w:jc w:val="center"/>
            <w:rPr>
              <w:sz w:val="12"/>
              <w:szCs w:val="12"/>
            </w:rPr>
          </w:pPr>
          <w:r>
            <w:rPr>
              <w:noProof/>
            </w:rPr>
            <w:drawing>
              <wp:inline distT="0" distB="0" distL="0" distR="0">
                <wp:extent cx="2413000" cy="304800"/>
                <wp:effectExtent l="0" t="0" r="635" b="0"/>
                <wp:docPr id="1174" name="[out]4773.png" descr="[out]4773.png"/>
                <wp:cNvGraphicFramePr/>
                <a:graphic xmlns:a="http://schemas.openxmlformats.org/drawingml/2006/main">
                  <a:graphicData uri="http://schemas.openxmlformats.org/drawingml/2006/picture">
                    <pic:pic xmlns:pic="http://schemas.openxmlformats.org/drawingml/2006/picture">
                      <pic:nvPicPr>
                        <pic:cNvPr id="3" name="[out]4773.png"/>
                        <pic:cNvPicPr/>
                      </pic:nvPicPr>
                      <pic:blipFill>
                        <a:blip r:embed="rId1"/>
                        <a:stretch>
                          <a:fillRect/>
                        </a:stretch>
                      </pic:blipFill>
                      <pic:spPr>
                        <a:xfrm>
                          <a:off x="0" y="0"/>
                          <a:ext cx="2413000" cy="304800"/>
                        </a:xfrm>
                        <a:prstGeom prst="rect">
                          <a:avLst/>
                        </a:prstGeom>
                      </pic:spPr>
                    </pic:pic>
                  </a:graphicData>
                </a:graphic>
              </wp:inline>
            </w:drawing>
          </w:r>
        </w:p>
      </w:tc>
      <w:tc>
        <w:tcPr>
          <w:tcW w:w="1134" w:type="dxa"/>
          <w:vMerge w:val="restart"/>
        </w:tcPr>
        <w:p w:rsidR="00BB2945" w:rsidRDefault="00E3371C">
          <w:pPr>
            <w:pStyle w:val="sZapati"/>
            <w:rPr>
              <w:sz w:val="14"/>
              <w:szCs w:val="14"/>
            </w:rPr>
          </w:pPr>
          <w:r>
            <w:rPr>
              <w:sz w:val="14"/>
              <w:szCs w:val="14"/>
            </w:rPr>
            <w:fldChar w:fldCharType="begin"/>
          </w:r>
          <w:r>
            <w:rPr>
              <w:sz w:val="14"/>
              <w:szCs w:val="14"/>
            </w:rPr>
            <w:instrText xml:space="preserve"> PAGE </w:instrText>
          </w:r>
          <w:r>
            <w:rPr>
              <w:sz w:val="14"/>
              <w:szCs w:val="14"/>
            </w:rPr>
            <w:fldChar w:fldCharType="separate"/>
          </w:r>
          <w:r>
            <w:rPr>
              <w:noProof/>
              <w:sz w:val="14"/>
              <w:szCs w:val="14"/>
            </w:rPr>
            <w:t>1</w:t>
          </w:r>
          <w:r>
            <w:rPr>
              <w:sz w:val="14"/>
              <w:szCs w:val="14"/>
            </w:rPr>
            <w:fldChar w:fldCharType="end"/>
          </w:r>
          <w:r>
            <w:rPr>
              <w:sz w:val="14"/>
              <w:szCs w:val="14"/>
            </w:rPr>
            <w:t xml:space="preserve"> / </w:t>
          </w:r>
          <w:r>
            <w:rPr>
              <w:sz w:val="14"/>
              <w:szCs w:val="14"/>
            </w:rPr>
            <w:fldChar w:fldCharType="begin"/>
          </w:r>
          <w:r>
            <w:rPr>
              <w:sz w:val="14"/>
              <w:szCs w:val="14"/>
            </w:rPr>
            <w:instrText xml:space="preserve"> SECTIONPAGES </w:instrText>
          </w:r>
          <w:r>
            <w:rPr>
              <w:sz w:val="14"/>
              <w:szCs w:val="14"/>
            </w:rPr>
            <w:fldChar w:fldCharType="separate"/>
          </w:r>
          <w:r>
            <w:rPr>
              <w:noProof/>
              <w:sz w:val="14"/>
              <w:szCs w:val="14"/>
            </w:rPr>
            <w:t>4</w:t>
          </w:r>
          <w:r>
            <w:rPr>
              <w:sz w:val="14"/>
              <w:szCs w:val="14"/>
            </w:rPr>
            <w:fldChar w:fldCharType="end"/>
          </w:r>
        </w:p>
      </w:tc>
      <w:tc>
        <w:tcPr>
          <w:tcW w:w="4393" w:type="dxa"/>
          <w:vMerge w:val="restart"/>
        </w:tcPr>
        <w:p w:rsidR="00BB2945" w:rsidRDefault="00E3371C">
          <w:pPr>
            <w:pStyle w:val="sZapati"/>
            <w:jc w:val="right"/>
            <w:rPr>
              <w:sz w:val="14"/>
              <w:szCs w:val="14"/>
            </w:rPr>
          </w:pPr>
          <w:r>
            <w:rPr>
              <w:sz w:val="14"/>
              <w:szCs w:val="14"/>
            </w:rPr>
            <w:t>CZ_SDA_011_500_205_c</w:t>
          </w:r>
        </w:p>
      </w:tc>
    </w:tr>
    <w:tr w:rsidR="00BB2945">
      <w:trPr>
        <w:trHeight w:val="107"/>
        <w:jc w:val="center"/>
      </w:trPr>
      <w:tc>
        <w:tcPr>
          <w:tcW w:w="4677" w:type="dxa"/>
          <w:vAlign w:val="center"/>
        </w:tcPr>
        <w:p w:rsidR="00BB2945" w:rsidRDefault="00E3371C">
          <w:pPr>
            <w:pStyle w:val="sZapati"/>
            <w:rPr>
              <w:sz w:val="12"/>
              <w:szCs w:val="12"/>
            </w:rPr>
          </w:pPr>
          <w:r>
            <w:rPr>
              <w:sz w:val="12"/>
              <w:szCs w:val="12"/>
            </w:rPr>
            <w:t>FCZ0148373</w:t>
          </w:r>
        </w:p>
      </w:tc>
      <w:tc>
        <w:tcPr>
          <w:tcW w:w="1134" w:type="dxa"/>
          <w:vMerge/>
        </w:tcPr>
        <w:p w:rsidR="00BB2945" w:rsidRDefault="00BB2945"/>
      </w:tc>
      <w:tc>
        <w:tcPr>
          <w:tcW w:w="4393" w:type="dxa"/>
          <w:vMerge/>
        </w:tcPr>
        <w:p w:rsidR="00BB2945" w:rsidRDefault="00BB2945"/>
      </w:tc>
    </w:tr>
  </w:tbl>
  <w:p w:rsidR="00BB2945" w:rsidRDefault="00BB2945">
    <w:pPr>
      <w:pStyle w:val="sZapat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945" w:rsidRDefault="00E3371C">
      <w:r>
        <w:separator/>
      </w:r>
    </w:p>
  </w:footnote>
  <w:footnote w:type="continuationSeparator" w:id="0">
    <w:p w:rsidR="00BB2945" w:rsidRDefault="00E33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945" w:rsidRDefault="00BB294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945" w:rsidRDefault="00BB294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945" w:rsidRDefault="00E3371C">
    <w:pPr>
      <w:pStyle w:val="Zhlav"/>
    </w:pPr>
    <w:r>
      <w:rPr>
        <w:noProof/>
      </w:rPr>
      <w:drawing>
        <wp:anchor distT="0" distB="0" distL="0" distR="0" simplePos="0" relativeHeight="2048" behindDoc="1" locked="0" layoutInCell="0" allowOverlap="0">
          <wp:simplePos x="0" y="0"/>
          <wp:positionH relativeFrom="page">
            <wp:align>left</wp:align>
          </wp:positionH>
          <wp:positionV relativeFrom="page">
            <wp:posOffset>0</wp:posOffset>
          </wp:positionV>
          <wp:extent cx="7531100" cy="1292225"/>
          <wp:effectExtent l="0" t="0" r="0" b="3175"/>
          <wp:wrapNone/>
          <wp:docPr id="1173" name="Picture_1" descr="Picture_1"/>
          <wp:cNvGraphicFramePr/>
          <a:graphic xmlns:a="http://schemas.openxmlformats.org/drawingml/2006/main">
            <a:graphicData uri="http://schemas.openxmlformats.org/drawingml/2006/picture">
              <pic:pic xmlns:pic="http://schemas.openxmlformats.org/drawingml/2006/picture">
                <pic:nvPicPr>
                  <pic:cNvPr id="0" name="Picture_1"/>
                  <pic:cNvPicPr/>
                </pic:nvPicPr>
                <pic:blipFill>
                  <a:blip r:embed="rId1"/>
                  <a:stretch>
                    <a:fillRect/>
                  </a:stretch>
                </pic:blipFill>
                <pic:spPr bwMode="auto">
                  <a:xfrm>
                    <a:off x="0" y="0"/>
                    <a:ext cx="7531100" cy="12922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240D"/>
    <w:multiLevelType w:val="multilevel"/>
    <w:tmpl w:val="985ED5EE"/>
    <w:lvl w:ilvl="0">
      <w:start w:val="3"/>
      <w:numFmt w:val="decimal"/>
      <w:lvlText w:val="%1."/>
      <w:lvlJc w:val="left"/>
      <w:pPr>
        <w:ind w:left="360" w:hanging="360"/>
      </w:pPr>
      <w:rPr>
        <w:rFonts w:hint="default"/>
      </w:rPr>
    </w:lvl>
    <w:lvl w:ilvl="1">
      <w:start w:val="6"/>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15:restartNumberingAfterBreak="0">
    <w:nsid w:val="05136636"/>
    <w:multiLevelType w:val="multilevel"/>
    <w:tmpl w:val="CF12A51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DB4DBF"/>
    <w:multiLevelType w:val="hybridMultilevel"/>
    <w:tmpl w:val="F08A89BE"/>
    <w:lvl w:ilvl="0" w:tplc="A5E27044">
      <w:start w:val="1"/>
      <w:numFmt w:val="lowerLetter"/>
      <w:lvlText w:val="%1)"/>
      <w:lvlJc w:val="left"/>
      <w:pPr>
        <w:ind w:left="1854" w:hanging="360"/>
      </w:pPr>
    </w:lvl>
    <w:lvl w:ilvl="1" w:tplc="6D1C5814">
      <w:start w:val="1"/>
      <w:numFmt w:val="lowerLetter"/>
      <w:lvlText w:val="%2."/>
      <w:lvlJc w:val="left"/>
      <w:pPr>
        <w:ind w:left="2574" w:hanging="360"/>
      </w:pPr>
    </w:lvl>
    <w:lvl w:ilvl="2" w:tplc="6434A904">
      <w:start w:val="1"/>
      <w:numFmt w:val="lowerRoman"/>
      <w:lvlText w:val="%3."/>
      <w:lvlJc w:val="right"/>
      <w:pPr>
        <w:ind w:left="3294" w:hanging="180"/>
      </w:pPr>
    </w:lvl>
    <w:lvl w:ilvl="3" w:tplc="74BA8D42">
      <w:start w:val="1"/>
      <w:numFmt w:val="decimal"/>
      <w:lvlText w:val="%4."/>
      <w:lvlJc w:val="left"/>
      <w:pPr>
        <w:ind w:left="4014" w:hanging="360"/>
      </w:pPr>
    </w:lvl>
    <w:lvl w:ilvl="4" w:tplc="A23EB376">
      <w:start w:val="1"/>
      <w:numFmt w:val="lowerLetter"/>
      <w:lvlText w:val="%5."/>
      <w:lvlJc w:val="left"/>
      <w:pPr>
        <w:ind w:left="4734" w:hanging="360"/>
      </w:pPr>
    </w:lvl>
    <w:lvl w:ilvl="5" w:tplc="5D6A42E4">
      <w:start w:val="1"/>
      <w:numFmt w:val="lowerRoman"/>
      <w:lvlText w:val="%6."/>
      <w:lvlJc w:val="right"/>
      <w:pPr>
        <w:ind w:left="5454" w:hanging="180"/>
      </w:pPr>
    </w:lvl>
    <w:lvl w:ilvl="6" w:tplc="776CF6E0">
      <w:start w:val="1"/>
      <w:numFmt w:val="decimal"/>
      <w:lvlText w:val="%7."/>
      <w:lvlJc w:val="left"/>
      <w:pPr>
        <w:ind w:left="6174" w:hanging="360"/>
      </w:pPr>
    </w:lvl>
    <w:lvl w:ilvl="7" w:tplc="B254F0E8">
      <w:start w:val="1"/>
      <w:numFmt w:val="lowerLetter"/>
      <w:lvlText w:val="%8."/>
      <w:lvlJc w:val="left"/>
      <w:pPr>
        <w:ind w:left="6894" w:hanging="360"/>
      </w:pPr>
    </w:lvl>
    <w:lvl w:ilvl="8" w:tplc="9ED2869A">
      <w:start w:val="1"/>
      <w:numFmt w:val="lowerRoman"/>
      <w:lvlText w:val="%9."/>
      <w:lvlJc w:val="right"/>
      <w:pPr>
        <w:ind w:left="7614" w:hanging="180"/>
      </w:pPr>
    </w:lvl>
  </w:abstractNum>
  <w:abstractNum w:abstractNumId="3" w15:restartNumberingAfterBreak="0">
    <w:nsid w:val="1F6357EF"/>
    <w:multiLevelType w:val="multilevel"/>
    <w:tmpl w:val="E24E6866"/>
    <w:lvl w:ilvl="0">
      <w:start w:val="1"/>
      <w:numFmt w:val="decimal"/>
      <w:pStyle w:val="sNadpis2"/>
      <w:lvlText w:val="%1."/>
      <w:lvlJc w:val="left"/>
      <w:pPr>
        <w:ind w:left="360" w:hanging="360"/>
      </w:pPr>
      <w:rPr>
        <w:rFonts w:hint="default"/>
      </w:rPr>
    </w:lvl>
    <w:lvl w:ilvl="1">
      <w:start w:val="1"/>
      <w:numFmt w:val="decimal"/>
      <w:pStyle w:val="sOdstavec"/>
      <w:isLgl/>
      <w:lvlText w:val="%1.%2"/>
      <w:lvlJc w:val="left"/>
      <w:pPr>
        <w:tabs>
          <w:tab w:val="num" w:pos="567"/>
        </w:tabs>
        <w:ind w:left="567" w:hanging="56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Letter"/>
      <w:pStyle w:val="sOdstavec2"/>
      <w:suff w:val="space"/>
      <w:lvlText w:val="%3)"/>
      <w:lvlJc w:val="left"/>
      <w:pPr>
        <w:ind w:left="964" w:hanging="24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E37C5B"/>
    <w:multiLevelType w:val="hybridMultilevel"/>
    <w:tmpl w:val="3A484B4A"/>
    <w:lvl w:ilvl="0" w:tplc="1AA8E702">
      <w:start w:val="1"/>
      <w:numFmt w:val="none"/>
      <w:pStyle w:val="sOdstavec4"/>
      <w:suff w:val="space"/>
      <w:lvlText w:val="-"/>
      <w:lvlJc w:val="left"/>
      <w:pPr>
        <w:ind w:left="964" w:hanging="113"/>
      </w:pPr>
      <w:rPr>
        <w:rFonts w:hint="default"/>
      </w:rPr>
    </w:lvl>
    <w:lvl w:ilvl="1" w:tplc="F97A718C">
      <w:start w:val="1"/>
      <w:numFmt w:val="lowerLetter"/>
      <w:lvlText w:val="%2."/>
      <w:lvlJc w:val="left"/>
      <w:pPr>
        <w:ind w:left="1440" w:hanging="360"/>
      </w:pPr>
    </w:lvl>
    <w:lvl w:ilvl="2" w:tplc="631CC3B0">
      <w:start w:val="1"/>
      <w:numFmt w:val="lowerRoman"/>
      <w:lvlText w:val="%3."/>
      <w:lvlJc w:val="right"/>
      <w:pPr>
        <w:ind w:left="2160" w:hanging="180"/>
      </w:pPr>
    </w:lvl>
    <w:lvl w:ilvl="3" w:tplc="F2FEA3F4">
      <w:start w:val="1"/>
      <w:numFmt w:val="decimal"/>
      <w:lvlText w:val="%4."/>
      <w:lvlJc w:val="left"/>
      <w:pPr>
        <w:ind w:left="2880" w:hanging="360"/>
      </w:pPr>
    </w:lvl>
    <w:lvl w:ilvl="4" w:tplc="65166F92">
      <w:start w:val="1"/>
      <w:numFmt w:val="lowerLetter"/>
      <w:lvlText w:val="%5."/>
      <w:lvlJc w:val="left"/>
      <w:pPr>
        <w:ind w:left="3600" w:hanging="360"/>
      </w:pPr>
    </w:lvl>
    <w:lvl w:ilvl="5" w:tplc="A6767BEE">
      <w:start w:val="1"/>
      <w:numFmt w:val="lowerRoman"/>
      <w:lvlText w:val="%6."/>
      <w:lvlJc w:val="right"/>
      <w:pPr>
        <w:ind w:left="4320" w:hanging="180"/>
      </w:pPr>
    </w:lvl>
    <w:lvl w:ilvl="6" w:tplc="F42E3DB4">
      <w:start w:val="1"/>
      <w:numFmt w:val="decimal"/>
      <w:lvlText w:val="%7."/>
      <w:lvlJc w:val="left"/>
      <w:pPr>
        <w:ind w:left="5040" w:hanging="360"/>
      </w:pPr>
    </w:lvl>
    <w:lvl w:ilvl="7" w:tplc="B1D6EA32">
      <w:start w:val="1"/>
      <w:numFmt w:val="lowerLetter"/>
      <w:lvlText w:val="%8."/>
      <w:lvlJc w:val="left"/>
      <w:pPr>
        <w:ind w:left="5760" w:hanging="360"/>
      </w:pPr>
    </w:lvl>
    <w:lvl w:ilvl="8" w:tplc="131ECDE0">
      <w:start w:val="1"/>
      <w:numFmt w:val="lowerRoman"/>
      <w:lvlText w:val="%9."/>
      <w:lvlJc w:val="right"/>
      <w:pPr>
        <w:ind w:left="6480" w:hanging="180"/>
      </w:pPr>
    </w:lvl>
  </w:abstractNum>
  <w:abstractNum w:abstractNumId="5" w15:restartNumberingAfterBreak="0">
    <w:nsid w:val="30057812"/>
    <w:multiLevelType w:val="multilevel"/>
    <w:tmpl w:val="57DAC15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1247F18"/>
    <w:multiLevelType w:val="hybridMultilevel"/>
    <w:tmpl w:val="89C00CCE"/>
    <w:lvl w:ilvl="0" w:tplc="4AC2459A">
      <w:start w:val="1"/>
      <w:numFmt w:val="decimal"/>
      <w:lvlText w:val="%1."/>
      <w:lvlJc w:val="left"/>
      <w:pPr>
        <w:ind w:left="720" w:hanging="360"/>
      </w:pPr>
      <w:rPr>
        <w:sz w:val="20"/>
      </w:rPr>
    </w:lvl>
    <w:lvl w:ilvl="1" w:tplc="824C0E2C">
      <w:start w:val="1"/>
      <w:numFmt w:val="lowerLetter"/>
      <w:lvlText w:val="%2."/>
      <w:lvlJc w:val="left"/>
      <w:pPr>
        <w:ind w:left="1440" w:hanging="360"/>
      </w:pPr>
    </w:lvl>
    <w:lvl w:ilvl="2" w:tplc="1F544208">
      <w:start w:val="1"/>
      <w:numFmt w:val="lowerRoman"/>
      <w:lvlText w:val="%3."/>
      <w:lvlJc w:val="right"/>
      <w:pPr>
        <w:ind w:left="2160" w:hanging="180"/>
      </w:pPr>
    </w:lvl>
    <w:lvl w:ilvl="3" w:tplc="A69C310E">
      <w:start w:val="1"/>
      <w:numFmt w:val="decimal"/>
      <w:lvlText w:val="%4."/>
      <w:lvlJc w:val="left"/>
      <w:pPr>
        <w:ind w:left="2880" w:hanging="360"/>
      </w:pPr>
    </w:lvl>
    <w:lvl w:ilvl="4" w:tplc="2E2A8AFC">
      <w:start w:val="1"/>
      <w:numFmt w:val="lowerLetter"/>
      <w:lvlText w:val="%5."/>
      <w:lvlJc w:val="left"/>
      <w:pPr>
        <w:ind w:left="3600" w:hanging="360"/>
      </w:pPr>
    </w:lvl>
    <w:lvl w:ilvl="5" w:tplc="828CDD94">
      <w:start w:val="1"/>
      <w:numFmt w:val="lowerRoman"/>
      <w:lvlText w:val="%6."/>
      <w:lvlJc w:val="right"/>
      <w:pPr>
        <w:ind w:left="4320" w:hanging="180"/>
      </w:pPr>
    </w:lvl>
    <w:lvl w:ilvl="6" w:tplc="38E289CC">
      <w:start w:val="1"/>
      <w:numFmt w:val="decimal"/>
      <w:lvlText w:val="%7."/>
      <w:lvlJc w:val="left"/>
      <w:pPr>
        <w:ind w:left="5040" w:hanging="360"/>
      </w:pPr>
    </w:lvl>
    <w:lvl w:ilvl="7" w:tplc="EFC05AEC">
      <w:start w:val="1"/>
      <w:numFmt w:val="lowerLetter"/>
      <w:lvlText w:val="%8."/>
      <w:lvlJc w:val="left"/>
      <w:pPr>
        <w:ind w:left="5760" w:hanging="360"/>
      </w:pPr>
    </w:lvl>
    <w:lvl w:ilvl="8" w:tplc="7478C478">
      <w:start w:val="1"/>
      <w:numFmt w:val="lowerRoman"/>
      <w:lvlText w:val="%9."/>
      <w:lvlJc w:val="right"/>
      <w:pPr>
        <w:ind w:left="6480" w:hanging="180"/>
      </w:pPr>
    </w:lvl>
  </w:abstractNum>
  <w:abstractNum w:abstractNumId="7" w15:restartNumberingAfterBreak="0">
    <w:nsid w:val="35BA580A"/>
    <w:multiLevelType w:val="hybridMultilevel"/>
    <w:tmpl w:val="B66615B2"/>
    <w:lvl w:ilvl="0" w:tplc="7CCE75D8">
      <w:start w:val="1"/>
      <w:numFmt w:val="decimal"/>
      <w:lvlText w:val="2.%1"/>
      <w:lvlJc w:val="left"/>
      <w:pPr>
        <w:ind w:left="720" w:hanging="360"/>
      </w:pPr>
      <w:rPr>
        <w:rFonts w:hint="default"/>
      </w:rPr>
    </w:lvl>
    <w:lvl w:ilvl="1" w:tplc="3BE08D78">
      <w:start w:val="1"/>
      <w:numFmt w:val="lowerLetter"/>
      <w:lvlText w:val="%2."/>
      <w:lvlJc w:val="left"/>
      <w:pPr>
        <w:ind w:left="1440" w:hanging="360"/>
      </w:pPr>
    </w:lvl>
    <w:lvl w:ilvl="2" w:tplc="C8BC46F8">
      <w:start w:val="1"/>
      <w:numFmt w:val="lowerRoman"/>
      <w:lvlText w:val="%3."/>
      <w:lvlJc w:val="right"/>
      <w:pPr>
        <w:ind w:left="2160" w:hanging="180"/>
      </w:pPr>
    </w:lvl>
    <w:lvl w:ilvl="3" w:tplc="E6B67720">
      <w:start w:val="1"/>
      <w:numFmt w:val="decimal"/>
      <w:lvlText w:val="%4."/>
      <w:lvlJc w:val="left"/>
      <w:pPr>
        <w:ind w:left="2880" w:hanging="360"/>
      </w:pPr>
    </w:lvl>
    <w:lvl w:ilvl="4" w:tplc="6BE0EDA4">
      <w:start w:val="1"/>
      <w:numFmt w:val="lowerLetter"/>
      <w:lvlText w:val="%5."/>
      <w:lvlJc w:val="left"/>
      <w:pPr>
        <w:ind w:left="3600" w:hanging="360"/>
      </w:pPr>
    </w:lvl>
    <w:lvl w:ilvl="5" w:tplc="72EA097A">
      <w:start w:val="1"/>
      <w:numFmt w:val="lowerRoman"/>
      <w:lvlText w:val="%6."/>
      <w:lvlJc w:val="right"/>
      <w:pPr>
        <w:ind w:left="4320" w:hanging="180"/>
      </w:pPr>
    </w:lvl>
    <w:lvl w:ilvl="6" w:tplc="DA6A8CC8">
      <w:start w:val="1"/>
      <w:numFmt w:val="decimal"/>
      <w:lvlText w:val="%7."/>
      <w:lvlJc w:val="left"/>
      <w:pPr>
        <w:ind w:left="5040" w:hanging="360"/>
      </w:pPr>
    </w:lvl>
    <w:lvl w:ilvl="7" w:tplc="3C3E7852">
      <w:start w:val="1"/>
      <w:numFmt w:val="lowerLetter"/>
      <w:lvlText w:val="%8."/>
      <w:lvlJc w:val="left"/>
      <w:pPr>
        <w:ind w:left="5760" w:hanging="360"/>
      </w:pPr>
    </w:lvl>
    <w:lvl w:ilvl="8" w:tplc="5EE4CBE0">
      <w:start w:val="1"/>
      <w:numFmt w:val="lowerRoman"/>
      <w:lvlText w:val="%9."/>
      <w:lvlJc w:val="right"/>
      <w:pPr>
        <w:ind w:left="6480" w:hanging="180"/>
      </w:pPr>
    </w:lvl>
  </w:abstractNum>
  <w:abstractNum w:abstractNumId="8" w15:restartNumberingAfterBreak="0">
    <w:nsid w:val="4DD826D8"/>
    <w:multiLevelType w:val="multilevel"/>
    <w:tmpl w:val="7E9C957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1D76B81"/>
    <w:multiLevelType w:val="multilevel"/>
    <w:tmpl w:val="DE667174"/>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8BB4508"/>
    <w:multiLevelType w:val="hybridMultilevel"/>
    <w:tmpl w:val="A3A44FA0"/>
    <w:lvl w:ilvl="0" w:tplc="42D8CE54">
      <w:start w:val="1"/>
      <w:numFmt w:val="decimal"/>
      <w:lvlText w:val="3.%1"/>
      <w:lvlJc w:val="left"/>
      <w:pPr>
        <w:tabs>
          <w:tab w:val="num" w:pos="567"/>
        </w:tabs>
        <w:ind w:left="567" w:hanging="567"/>
      </w:pPr>
      <w:rPr>
        <w:rFonts w:hint="default"/>
      </w:rPr>
    </w:lvl>
    <w:lvl w:ilvl="1" w:tplc="F6EA17B4">
      <w:start w:val="1"/>
      <w:numFmt w:val="lowerLetter"/>
      <w:lvlText w:val="%2."/>
      <w:lvlJc w:val="left"/>
      <w:pPr>
        <w:tabs>
          <w:tab w:val="num" w:pos="1440"/>
        </w:tabs>
        <w:ind w:left="1440" w:hanging="360"/>
      </w:pPr>
    </w:lvl>
    <w:lvl w:ilvl="2" w:tplc="A1282ABE">
      <w:start w:val="1"/>
      <w:numFmt w:val="lowerRoman"/>
      <w:lvlText w:val="%3."/>
      <w:lvlJc w:val="right"/>
      <w:pPr>
        <w:tabs>
          <w:tab w:val="num" w:pos="2160"/>
        </w:tabs>
        <w:ind w:left="2160" w:hanging="180"/>
      </w:pPr>
    </w:lvl>
    <w:lvl w:ilvl="3" w:tplc="064C0B62">
      <w:start w:val="1"/>
      <w:numFmt w:val="decimal"/>
      <w:lvlText w:val="%4."/>
      <w:lvlJc w:val="left"/>
      <w:pPr>
        <w:tabs>
          <w:tab w:val="num" w:pos="2880"/>
        </w:tabs>
        <w:ind w:left="2880" w:hanging="360"/>
      </w:pPr>
    </w:lvl>
    <w:lvl w:ilvl="4" w:tplc="293AE8EE">
      <w:start w:val="1"/>
      <w:numFmt w:val="lowerLetter"/>
      <w:lvlText w:val="%5."/>
      <w:lvlJc w:val="left"/>
      <w:pPr>
        <w:tabs>
          <w:tab w:val="num" w:pos="3600"/>
        </w:tabs>
        <w:ind w:left="3600" w:hanging="360"/>
      </w:pPr>
    </w:lvl>
    <w:lvl w:ilvl="5" w:tplc="9030F3A6">
      <w:start w:val="1"/>
      <w:numFmt w:val="lowerRoman"/>
      <w:lvlText w:val="%6."/>
      <w:lvlJc w:val="right"/>
      <w:pPr>
        <w:tabs>
          <w:tab w:val="num" w:pos="4320"/>
        </w:tabs>
        <w:ind w:left="4320" w:hanging="180"/>
      </w:pPr>
    </w:lvl>
    <w:lvl w:ilvl="6" w:tplc="CE4CF722">
      <w:start w:val="1"/>
      <w:numFmt w:val="decimal"/>
      <w:lvlText w:val="%7."/>
      <w:lvlJc w:val="left"/>
      <w:pPr>
        <w:tabs>
          <w:tab w:val="num" w:pos="5040"/>
        </w:tabs>
        <w:ind w:left="5040" w:hanging="360"/>
      </w:pPr>
    </w:lvl>
    <w:lvl w:ilvl="7" w:tplc="5AC0CB18">
      <w:start w:val="1"/>
      <w:numFmt w:val="lowerLetter"/>
      <w:lvlText w:val="%8."/>
      <w:lvlJc w:val="left"/>
      <w:pPr>
        <w:tabs>
          <w:tab w:val="num" w:pos="5760"/>
        </w:tabs>
        <w:ind w:left="5760" w:hanging="360"/>
      </w:pPr>
    </w:lvl>
    <w:lvl w:ilvl="8" w:tplc="D0D04E20">
      <w:start w:val="1"/>
      <w:numFmt w:val="lowerRoman"/>
      <w:lvlText w:val="%9."/>
      <w:lvlJc w:val="right"/>
      <w:pPr>
        <w:tabs>
          <w:tab w:val="num" w:pos="6480"/>
        </w:tabs>
        <w:ind w:left="6480" w:hanging="180"/>
      </w:pPr>
    </w:lvl>
  </w:abstractNum>
  <w:abstractNum w:abstractNumId="11" w15:restartNumberingAfterBreak="0">
    <w:nsid w:val="5BBB6B9D"/>
    <w:multiLevelType w:val="hybridMultilevel"/>
    <w:tmpl w:val="5698658E"/>
    <w:lvl w:ilvl="0" w:tplc="E586DE06">
      <w:start w:val="1"/>
      <w:numFmt w:val="decimal"/>
      <w:lvlText w:val="4.%1"/>
      <w:lvlJc w:val="left"/>
      <w:pPr>
        <w:ind w:left="720" w:hanging="360"/>
      </w:pPr>
      <w:rPr>
        <w:rFonts w:hint="default"/>
        <w:sz w:val="18"/>
        <w:szCs w:val="20"/>
      </w:rPr>
    </w:lvl>
    <w:lvl w:ilvl="1" w:tplc="50DC8BDC">
      <w:start w:val="1"/>
      <w:numFmt w:val="lowerLetter"/>
      <w:lvlText w:val="%2."/>
      <w:lvlJc w:val="left"/>
      <w:pPr>
        <w:ind w:left="1440" w:hanging="360"/>
      </w:pPr>
    </w:lvl>
    <w:lvl w:ilvl="2" w:tplc="F5B60DEE">
      <w:start w:val="1"/>
      <w:numFmt w:val="lowerRoman"/>
      <w:lvlText w:val="%3."/>
      <w:lvlJc w:val="right"/>
      <w:pPr>
        <w:ind w:left="2160" w:hanging="180"/>
      </w:pPr>
    </w:lvl>
    <w:lvl w:ilvl="3" w:tplc="B2446C90">
      <w:start w:val="1"/>
      <w:numFmt w:val="decimal"/>
      <w:lvlText w:val="%4."/>
      <w:lvlJc w:val="left"/>
      <w:pPr>
        <w:ind w:left="2880" w:hanging="360"/>
      </w:pPr>
    </w:lvl>
    <w:lvl w:ilvl="4" w:tplc="62967892">
      <w:start w:val="1"/>
      <w:numFmt w:val="lowerLetter"/>
      <w:lvlText w:val="%5."/>
      <w:lvlJc w:val="left"/>
      <w:pPr>
        <w:ind w:left="3600" w:hanging="360"/>
      </w:pPr>
    </w:lvl>
    <w:lvl w:ilvl="5" w:tplc="11C884E8">
      <w:start w:val="1"/>
      <w:numFmt w:val="lowerRoman"/>
      <w:lvlText w:val="%6."/>
      <w:lvlJc w:val="right"/>
      <w:pPr>
        <w:ind w:left="4320" w:hanging="180"/>
      </w:pPr>
    </w:lvl>
    <w:lvl w:ilvl="6" w:tplc="3CA84E90">
      <w:start w:val="1"/>
      <w:numFmt w:val="decimal"/>
      <w:lvlText w:val="%7."/>
      <w:lvlJc w:val="left"/>
      <w:pPr>
        <w:ind w:left="5040" w:hanging="360"/>
      </w:pPr>
    </w:lvl>
    <w:lvl w:ilvl="7" w:tplc="52F28ABC">
      <w:start w:val="1"/>
      <w:numFmt w:val="lowerLetter"/>
      <w:lvlText w:val="%8."/>
      <w:lvlJc w:val="left"/>
      <w:pPr>
        <w:ind w:left="5760" w:hanging="360"/>
      </w:pPr>
    </w:lvl>
    <w:lvl w:ilvl="8" w:tplc="FA18F78C">
      <w:start w:val="1"/>
      <w:numFmt w:val="lowerRoman"/>
      <w:lvlText w:val="%9."/>
      <w:lvlJc w:val="right"/>
      <w:pPr>
        <w:ind w:left="6480" w:hanging="180"/>
      </w:pPr>
    </w:lvl>
  </w:abstractNum>
  <w:abstractNum w:abstractNumId="12" w15:restartNumberingAfterBreak="0">
    <w:nsid w:val="64C6424E"/>
    <w:multiLevelType w:val="multilevel"/>
    <w:tmpl w:val="C352BC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13" w15:restartNumberingAfterBreak="0">
    <w:nsid w:val="65355CAB"/>
    <w:multiLevelType w:val="hybridMultilevel"/>
    <w:tmpl w:val="130C1FBE"/>
    <w:lvl w:ilvl="0" w:tplc="3932ADA6">
      <w:start w:val="1"/>
      <w:numFmt w:val="decimal"/>
      <w:lvlText w:val="4.%1"/>
      <w:lvlJc w:val="left"/>
      <w:pPr>
        <w:tabs>
          <w:tab w:val="num" w:pos="567"/>
        </w:tabs>
        <w:ind w:left="567" w:hanging="567"/>
      </w:pPr>
      <w:rPr>
        <w:rFonts w:hint="default"/>
      </w:rPr>
    </w:lvl>
    <w:lvl w:ilvl="1" w:tplc="62B086EA">
      <w:start w:val="1"/>
      <w:numFmt w:val="lowerLetter"/>
      <w:lvlText w:val="%2."/>
      <w:lvlJc w:val="left"/>
      <w:pPr>
        <w:tabs>
          <w:tab w:val="num" w:pos="1440"/>
        </w:tabs>
        <w:ind w:left="1440" w:hanging="360"/>
      </w:pPr>
    </w:lvl>
    <w:lvl w:ilvl="2" w:tplc="54BE77AC">
      <w:start w:val="1"/>
      <w:numFmt w:val="lowerRoman"/>
      <w:lvlText w:val="%3."/>
      <w:lvlJc w:val="right"/>
      <w:pPr>
        <w:tabs>
          <w:tab w:val="num" w:pos="2160"/>
        </w:tabs>
        <w:ind w:left="2160" w:hanging="180"/>
      </w:pPr>
    </w:lvl>
    <w:lvl w:ilvl="3" w:tplc="9A54F8D0">
      <w:start w:val="1"/>
      <w:numFmt w:val="decimal"/>
      <w:lvlText w:val="%4."/>
      <w:lvlJc w:val="left"/>
      <w:pPr>
        <w:tabs>
          <w:tab w:val="num" w:pos="2880"/>
        </w:tabs>
        <w:ind w:left="2880" w:hanging="360"/>
      </w:pPr>
    </w:lvl>
    <w:lvl w:ilvl="4" w:tplc="DF380804">
      <w:start w:val="1"/>
      <w:numFmt w:val="lowerLetter"/>
      <w:lvlText w:val="%5."/>
      <w:lvlJc w:val="left"/>
      <w:pPr>
        <w:tabs>
          <w:tab w:val="num" w:pos="3600"/>
        </w:tabs>
        <w:ind w:left="3600" w:hanging="360"/>
      </w:pPr>
    </w:lvl>
    <w:lvl w:ilvl="5" w:tplc="E7B83878">
      <w:start w:val="1"/>
      <w:numFmt w:val="lowerRoman"/>
      <w:lvlText w:val="%6."/>
      <w:lvlJc w:val="right"/>
      <w:pPr>
        <w:tabs>
          <w:tab w:val="num" w:pos="4320"/>
        </w:tabs>
        <w:ind w:left="4320" w:hanging="180"/>
      </w:pPr>
    </w:lvl>
    <w:lvl w:ilvl="6" w:tplc="CC78CE66">
      <w:start w:val="1"/>
      <w:numFmt w:val="decimal"/>
      <w:lvlText w:val="%7."/>
      <w:lvlJc w:val="left"/>
      <w:pPr>
        <w:tabs>
          <w:tab w:val="num" w:pos="5040"/>
        </w:tabs>
        <w:ind w:left="5040" w:hanging="360"/>
      </w:pPr>
    </w:lvl>
    <w:lvl w:ilvl="7" w:tplc="AC4667A0">
      <w:start w:val="1"/>
      <w:numFmt w:val="lowerLetter"/>
      <w:lvlText w:val="%8."/>
      <w:lvlJc w:val="left"/>
      <w:pPr>
        <w:tabs>
          <w:tab w:val="num" w:pos="5760"/>
        </w:tabs>
        <w:ind w:left="5760" w:hanging="360"/>
      </w:pPr>
    </w:lvl>
    <w:lvl w:ilvl="8" w:tplc="EA067046">
      <w:start w:val="1"/>
      <w:numFmt w:val="lowerRoman"/>
      <w:lvlText w:val="%9."/>
      <w:lvlJc w:val="right"/>
      <w:pPr>
        <w:tabs>
          <w:tab w:val="num" w:pos="6480"/>
        </w:tabs>
        <w:ind w:left="6480" w:hanging="180"/>
      </w:pPr>
    </w:lvl>
  </w:abstractNum>
  <w:abstractNum w:abstractNumId="14" w15:restartNumberingAfterBreak="0">
    <w:nsid w:val="66AE7736"/>
    <w:multiLevelType w:val="hybridMultilevel"/>
    <w:tmpl w:val="5086B8DE"/>
    <w:lvl w:ilvl="0" w:tplc="68DA0F72">
      <w:start w:val="1"/>
      <w:numFmt w:val="decimal"/>
      <w:lvlText w:val="5.%1"/>
      <w:lvlJc w:val="left"/>
      <w:pPr>
        <w:ind w:left="1080" w:hanging="360"/>
      </w:pPr>
      <w:rPr>
        <w:rFonts w:hint="default"/>
      </w:rPr>
    </w:lvl>
    <w:lvl w:ilvl="1" w:tplc="F53CA770">
      <w:start w:val="1"/>
      <w:numFmt w:val="lowerLetter"/>
      <w:lvlText w:val="%2."/>
      <w:lvlJc w:val="left"/>
      <w:pPr>
        <w:ind w:left="1800" w:hanging="360"/>
      </w:pPr>
    </w:lvl>
    <w:lvl w:ilvl="2" w:tplc="0CC096BA">
      <w:start w:val="1"/>
      <w:numFmt w:val="lowerRoman"/>
      <w:lvlText w:val="%3."/>
      <w:lvlJc w:val="right"/>
      <w:pPr>
        <w:ind w:left="2520" w:hanging="180"/>
      </w:pPr>
    </w:lvl>
    <w:lvl w:ilvl="3" w:tplc="CE6A3048">
      <w:start w:val="1"/>
      <w:numFmt w:val="decimal"/>
      <w:lvlText w:val="%4."/>
      <w:lvlJc w:val="left"/>
      <w:pPr>
        <w:ind w:left="3240" w:hanging="360"/>
      </w:pPr>
    </w:lvl>
    <w:lvl w:ilvl="4" w:tplc="B3822C0A">
      <w:start w:val="1"/>
      <w:numFmt w:val="lowerLetter"/>
      <w:lvlText w:val="%5."/>
      <w:lvlJc w:val="left"/>
      <w:pPr>
        <w:ind w:left="3960" w:hanging="360"/>
      </w:pPr>
    </w:lvl>
    <w:lvl w:ilvl="5" w:tplc="F62C8A92">
      <w:start w:val="1"/>
      <w:numFmt w:val="lowerRoman"/>
      <w:lvlText w:val="%6."/>
      <w:lvlJc w:val="right"/>
      <w:pPr>
        <w:ind w:left="4680" w:hanging="180"/>
      </w:pPr>
    </w:lvl>
    <w:lvl w:ilvl="6" w:tplc="7416DDB6">
      <w:start w:val="1"/>
      <w:numFmt w:val="decimal"/>
      <w:lvlText w:val="%7."/>
      <w:lvlJc w:val="left"/>
      <w:pPr>
        <w:ind w:left="5400" w:hanging="360"/>
      </w:pPr>
    </w:lvl>
    <w:lvl w:ilvl="7" w:tplc="235A7DB6">
      <w:start w:val="1"/>
      <w:numFmt w:val="lowerLetter"/>
      <w:lvlText w:val="%8."/>
      <w:lvlJc w:val="left"/>
      <w:pPr>
        <w:ind w:left="6120" w:hanging="360"/>
      </w:pPr>
    </w:lvl>
    <w:lvl w:ilvl="8" w:tplc="2A148AAE">
      <w:start w:val="1"/>
      <w:numFmt w:val="lowerRoman"/>
      <w:lvlText w:val="%9."/>
      <w:lvlJc w:val="right"/>
      <w:pPr>
        <w:ind w:left="6840" w:hanging="180"/>
      </w:pPr>
    </w:lvl>
  </w:abstractNum>
  <w:num w:numId="1">
    <w:abstractNumId w:val="3"/>
  </w:num>
  <w:num w:numId="2">
    <w:abstractNumId w:val="3"/>
  </w:num>
  <w:num w:numId="3">
    <w:abstractNumId w:val="4"/>
  </w:num>
  <w:num w:numId="4">
    <w:abstractNumId w:val="3"/>
  </w:num>
  <w:num w:numId="5">
    <w:abstractNumId w:val="3"/>
  </w:num>
  <w:num w:numId="6">
    <w:abstractNumId w:val="3"/>
  </w:num>
  <w:num w:numId="7">
    <w:abstractNumId w:val="4"/>
  </w:num>
  <w:num w:numId="8">
    <w:abstractNumId w:val="3"/>
  </w:num>
  <w:num w:numId="9">
    <w:abstractNumId w:val="3"/>
  </w:num>
  <w:num w:numId="10">
    <w:abstractNumId w:val="3"/>
  </w:num>
  <w:num w:numId="11">
    <w:abstractNumId w:val="4"/>
  </w:num>
  <w:num w:numId="12">
    <w:abstractNumId w:val="12"/>
  </w:num>
  <w:num w:numId="13">
    <w:abstractNumId w:val="9"/>
  </w:num>
  <w:num w:numId="14">
    <w:abstractNumId w:val="11"/>
  </w:num>
  <w:num w:numId="15">
    <w:abstractNumId w:val="14"/>
  </w:num>
  <w:num w:numId="16">
    <w:abstractNumId w:val="6"/>
  </w:num>
  <w:num w:numId="17">
    <w:abstractNumId w:val="7"/>
  </w:num>
  <w:num w:numId="18">
    <w:abstractNumId w:val="2"/>
  </w:num>
  <w:num w:numId="19">
    <w:abstractNumId w:val="10"/>
  </w:num>
  <w:num w:numId="20">
    <w:abstractNumId w:val="13"/>
  </w:num>
  <w:num w:numId="21">
    <w:abstractNumId w:val="1"/>
  </w:num>
  <w:num w:numId="22">
    <w:abstractNumId w:val="0"/>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945"/>
    <w:rsid w:val="00BB2945"/>
    <w:rsid w:val="00E337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807B97B-0BDC-4795-BCE5-6F416920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pacing w:after="0" w:line="240" w:lineRule="auto"/>
    </w:pPr>
    <w:rPr>
      <w:rFonts w:ascii="Arial" w:eastAsia="Times New Roman" w:hAnsi="Arial" w:cs="Times New Roman"/>
      <w:sz w:val="20"/>
      <w:szCs w:val="24"/>
      <w:lang w:eastAsia="cs-CZ"/>
    </w:rPr>
  </w:style>
  <w:style w:type="paragraph" w:styleId="Nadpis1">
    <w:name w:val="heading 1"/>
    <w:basedOn w:val="Normln"/>
    <w:link w:val="Nadpis1Char"/>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Pr>
      <w:rFonts w:asciiTheme="majorHAnsi" w:eastAsiaTheme="majorEastAsia" w:hAnsiTheme="majorHAnsi" w:cstheme="majorBidi"/>
      <w:b/>
      <w:bCs/>
      <w:color w:val="365F91" w:themeColor="accent1" w:themeShade="BF"/>
      <w:sz w:val="28"/>
      <w:szCs w:val="28"/>
    </w:rPr>
  </w:style>
  <w:style w:type="paragraph" w:customStyle="1" w:styleId="sNadpis">
    <w:name w:val="sNadpis"/>
    <w:basedOn w:val="Nzev"/>
    <w:link w:val="sNadpisChar"/>
    <w:pPr>
      <w:pBdr>
        <w:bottom w:val="none" w:sz="0" w:space="0" w:color="auto"/>
      </w:pBdr>
      <w:spacing w:after="0"/>
      <w:jc w:val="center"/>
      <w:outlineLvl w:val="0"/>
    </w:pPr>
    <w:rPr>
      <w:rFonts w:ascii="Arial" w:eastAsia="Times New Roman" w:hAnsi="Arial" w:cs="Arial"/>
      <w:b/>
      <w:caps/>
      <w:color w:val="000000" w:themeColor="text1"/>
      <w:sz w:val="22"/>
      <w:szCs w:val="24"/>
    </w:rPr>
  </w:style>
  <w:style w:type="character" w:customStyle="1" w:styleId="sNadpisChar">
    <w:name w:val="sNadpis Char"/>
    <w:link w:val="sNadpis"/>
    <w:rPr>
      <w:rFonts w:ascii="Arial" w:eastAsia="Times New Roman" w:hAnsi="Arial" w:cs="Arial"/>
      <w:b/>
      <w:caps/>
      <w:color w:val="000000" w:themeColor="text1"/>
      <w:spacing w:val="5"/>
      <w:kern w:val="28"/>
      <w:szCs w:val="24"/>
      <w:lang w:eastAsia="cs-CZ"/>
    </w:rPr>
  </w:style>
  <w:style w:type="paragraph" w:styleId="Nzev">
    <w:name w:val="Title"/>
    <w:basedOn w:val="Normln"/>
    <w:link w:val="NzevChar"/>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Pr>
      <w:rFonts w:asciiTheme="majorHAnsi" w:eastAsiaTheme="majorEastAsia" w:hAnsiTheme="majorHAnsi" w:cstheme="majorBidi"/>
      <w:color w:val="17365D" w:themeColor="text2" w:themeShade="BF"/>
      <w:spacing w:val="5"/>
      <w:kern w:val="28"/>
      <w:sz w:val="52"/>
      <w:szCs w:val="52"/>
    </w:rPr>
  </w:style>
  <w:style w:type="paragraph" w:customStyle="1" w:styleId="sNadpis1">
    <w:name w:val="sNadpis1"/>
    <w:basedOn w:val="Normln"/>
    <w:link w:val="sNadpis1Char"/>
    <w:pPr>
      <w:spacing w:after="480"/>
      <w:jc w:val="center"/>
    </w:pPr>
    <w:rPr>
      <w:rFonts w:cs="Arial"/>
      <w:szCs w:val="20"/>
    </w:rPr>
  </w:style>
  <w:style w:type="character" w:customStyle="1" w:styleId="sNadpis1Char">
    <w:name w:val="sNadpis1 Char"/>
    <w:link w:val="sNadpis1"/>
    <w:rPr>
      <w:rFonts w:ascii="Arial" w:eastAsia="Times New Roman" w:hAnsi="Arial" w:cs="Arial"/>
      <w:sz w:val="20"/>
      <w:szCs w:val="20"/>
      <w:lang w:eastAsia="cs-CZ"/>
    </w:rPr>
  </w:style>
  <w:style w:type="paragraph" w:customStyle="1" w:styleId="sNadpis2">
    <w:name w:val="sNadpis2"/>
    <w:basedOn w:val="Nadpis1"/>
    <w:link w:val="sNadpis2Char"/>
    <w:pPr>
      <w:keepLines w:val="0"/>
      <w:numPr>
        <w:numId w:val="10"/>
      </w:numPr>
      <w:spacing w:before="0" w:after="240"/>
      <w:jc w:val="center"/>
    </w:pPr>
    <w:rPr>
      <w:rFonts w:ascii="Arial" w:eastAsia="Times New Roman" w:hAnsi="Arial" w:cs="Arial"/>
      <w:iCs/>
      <w:color w:val="000000" w:themeColor="text1"/>
      <w:sz w:val="20"/>
      <w:szCs w:val="20"/>
    </w:rPr>
  </w:style>
  <w:style w:type="character" w:customStyle="1" w:styleId="sNadpis2Char">
    <w:name w:val="sNadpis2 Char"/>
    <w:link w:val="sNadpis2"/>
    <w:rPr>
      <w:rFonts w:ascii="Arial" w:eastAsia="Times New Roman" w:hAnsi="Arial" w:cs="Arial"/>
      <w:b/>
      <w:bCs/>
      <w:iCs/>
      <w:color w:val="000000" w:themeColor="text1"/>
      <w:sz w:val="20"/>
      <w:szCs w:val="20"/>
      <w:lang w:eastAsia="cs-CZ"/>
    </w:rPr>
  </w:style>
  <w:style w:type="paragraph" w:customStyle="1" w:styleId="sOdstavec">
    <w:name w:val="sOdstavec"/>
    <w:basedOn w:val="Normln"/>
    <w:link w:val="sOdstavecChar"/>
    <w:pPr>
      <w:numPr>
        <w:ilvl w:val="1"/>
        <w:numId w:val="10"/>
      </w:numPr>
      <w:spacing w:after="240"/>
      <w:jc w:val="both"/>
      <w:outlineLvl w:val="1"/>
    </w:pPr>
    <w:rPr>
      <w:rFonts w:cs="Arial"/>
      <w:color w:val="000000"/>
      <w:sz w:val="18"/>
      <w:szCs w:val="18"/>
    </w:rPr>
  </w:style>
  <w:style w:type="character" w:customStyle="1" w:styleId="sOdstavecChar">
    <w:name w:val="sOdstavec Char"/>
    <w:link w:val="sOdstavec"/>
    <w:rPr>
      <w:rFonts w:ascii="Arial" w:eastAsia="Times New Roman" w:hAnsi="Arial" w:cs="Arial"/>
      <w:color w:val="000000"/>
      <w:sz w:val="18"/>
      <w:szCs w:val="18"/>
      <w:lang w:eastAsia="cs-CZ"/>
    </w:rPr>
  </w:style>
  <w:style w:type="paragraph" w:customStyle="1" w:styleId="sTextnorm">
    <w:name w:val="sText_norm"/>
    <w:basedOn w:val="Normln"/>
    <w:link w:val="sTextnormChar"/>
    <w:pPr>
      <w:spacing w:before="240" w:after="60"/>
      <w:jc w:val="both"/>
      <w:outlineLvl w:val="1"/>
    </w:pPr>
    <w:rPr>
      <w:rFonts w:cs="Arial"/>
      <w:bCs/>
      <w:iCs/>
      <w:color w:val="000000"/>
      <w:sz w:val="18"/>
      <w:szCs w:val="18"/>
    </w:rPr>
  </w:style>
  <w:style w:type="character" w:customStyle="1" w:styleId="sTextnormChar">
    <w:name w:val="sText_norm Char"/>
    <w:link w:val="sTextnorm"/>
    <w:rPr>
      <w:rFonts w:ascii="Arial" w:eastAsia="Times New Roman" w:hAnsi="Arial" w:cs="Arial"/>
      <w:bCs/>
      <w:iCs/>
      <w:color w:val="000000"/>
      <w:sz w:val="18"/>
      <w:szCs w:val="18"/>
      <w:lang w:eastAsia="cs-CZ"/>
    </w:rPr>
  </w:style>
  <w:style w:type="paragraph" w:customStyle="1" w:styleId="sOdstavec1">
    <w:name w:val="sOdstavec1"/>
    <w:basedOn w:val="sTextnorm"/>
    <w:link w:val="sOdstavec1Char"/>
    <w:pPr>
      <w:spacing w:before="0" w:after="240"/>
      <w:ind w:left="567"/>
    </w:pPr>
  </w:style>
  <w:style w:type="character" w:customStyle="1" w:styleId="sOdstavec1Char">
    <w:name w:val="sOdstavec1 Char"/>
    <w:basedOn w:val="sTextnormChar"/>
    <w:link w:val="sOdstavec1"/>
    <w:rPr>
      <w:rFonts w:ascii="Arial" w:eastAsia="Times New Roman" w:hAnsi="Arial" w:cs="Arial"/>
      <w:bCs/>
      <w:iCs/>
      <w:color w:val="000000"/>
      <w:sz w:val="18"/>
      <w:szCs w:val="18"/>
      <w:lang w:eastAsia="cs-CZ"/>
    </w:rPr>
  </w:style>
  <w:style w:type="paragraph" w:customStyle="1" w:styleId="sOdstavec2">
    <w:name w:val="sOdstavec2"/>
    <w:basedOn w:val="Normln"/>
    <w:link w:val="sOdstavec2Char"/>
    <w:pPr>
      <w:numPr>
        <w:ilvl w:val="2"/>
        <w:numId w:val="10"/>
      </w:numPr>
      <w:spacing w:after="240"/>
      <w:outlineLvl w:val="1"/>
    </w:pPr>
    <w:rPr>
      <w:rFonts w:cs="Arial"/>
      <w:bCs/>
      <w:iCs/>
      <w:color w:val="000000"/>
      <w:sz w:val="18"/>
      <w:szCs w:val="18"/>
    </w:rPr>
  </w:style>
  <w:style w:type="character" w:customStyle="1" w:styleId="sOdstavec2Char">
    <w:name w:val="sOdstavec2 Char"/>
    <w:link w:val="sOdstavec2"/>
    <w:rPr>
      <w:rFonts w:ascii="Arial" w:eastAsia="Times New Roman" w:hAnsi="Arial" w:cs="Arial"/>
      <w:bCs/>
      <w:iCs/>
      <w:color w:val="000000"/>
      <w:sz w:val="18"/>
      <w:szCs w:val="18"/>
      <w:lang w:eastAsia="cs-CZ"/>
    </w:rPr>
  </w:style>
  <w:style w:type="paragraph" w:customStyle="1" w:styleId="sOdstavec3">
    <w:name w:val="sOdstavec3"/>
    <w:basedOn w:val="sOdstavec2"/>
    <w:link w:val="sOdstavec3Char"/>
    <w:pPr>
      <w:numPr>
        <w:ilvl w:val="0"/>
        <w:numId w:val="0"/>
      </w:numPr>
      <w:ind w:left="964"/>
    </w:pPr>
  </w:style>
  <w:style w:type="character" w:customStyle="1" w:styleId="sOdstavec3Char">
    <w:name w:val="sOdstavec3 Char"/>
    <w:basedOn w:val="sOdstavec2Char"/>
    <w:link w:val="sOdstavec3"/>
    <w:rPr>
      <w:rFonts w:ascii="Arial" w:eastAsia="Times New Roman" w:hAnsi="Arial" w:cs="Arial"/>
      <w:bCs/>
      <w:iCs/>
      <w:color w:val="000000"/>
      <w:sz w:val="18"/>
      <w:szCs w:val="18"/>
      <w:lang w:eastAsia="cs-CZ"/>
    </w:rPr>
  </w:style>
  <w:style w:type="paragraph" w:customStyle="1" w:styleId="sOdstavec4">
    <w:name w:val="sOdstavec4"/>
    <w:basedOn w:val="sOdstavec"/>
    <w:link w:val="sOdstavec4Char"/>
    <w:pPr>
      <w:numPr>
        <w:ilvl w:val="0"/>
        <w:numId w:val="11"/>
      </w:numPr>
      <w:spacing w:after="100"/>
    </w:pPr>
  </w:style>
  <w:style w:type="character" w:customStyle="1" w:styleId="sOdstavec4Char">
    <w:name w:val="sOdstavec4 Char"/>
    <w:basedOn w:val="sOdstavecChar"/>
    <w:link w:val="sOdstavec4"/>
    <w:rPr>
      <w:rFonts w:ascii="Arial" w:eastAsia="Times New Roman" w:hAnsi="Arial" w:cs="Arial"/>
      <w:color w:val="000000"/>
      <w:sz w:val="18"/>
      <w:szCs w:val="18"/>
      <w:lang w:eastAsia="cs-CZ"/>
    </w:rPr>
  </w:style>
  <w:style w:type="paragraph" w:customStyle="1" w:styleId="sTabnorm">
    <w:name w:val="sTab_norm"/>
    <w:basedOn w:val="Normln"/>
    <w:link w:val="sTabnormChar"/>
    <w:pPr>
      <w:jc w:val="both"/>
    </w:pPr>
    <w:rPr>
      <w:rFonts w:cs="Arial"/>
      <w:color w:val="000000"/>
      <w:sz w:val="18"/>
      <w:szCs w:val="18"/>
    </w:rPr>
  </w:style>
  <w:style w:type="character" w:customStyle="1" w:styleId="sTabnormChar">
    <w:name w:val="sTab_norm Char"/>
    <w:basedOn w:val="sOdstavec1Char"/>
    <w:link w:val="sTabnorm"/>
    <w:rPr>
      <w:rFonts w:ascii="Arial" w:eastAsia="Times New Roman" w:hAnsi="Arial" w:cs="Arial"/>
      <w:bCs w:val="0"/>
      <w:iCs w:val="0"/>
      <w:color w:val="000000"/>
      <w:sz w:val="18"/>
      <w:szCs w:val="18"/>
      <w:lang w:eastAsia="cs-CZ"/>
    </w:rPr>
  </w:style>
  <w:style w:type="paragraph" w:customStyle="1" w:styleId="sTabbold">
    <w:name w:val="sTab_bold"/>
    <w:basedOn w:val="sTabnorm"/>
    <w:link w:val="sTabboldChar"/>
    <w:pPr>
      <w:keepNext/>
      <w:keepLines/>
      <w:jc w:val="left"/>
    </w:pPr>
    <w:rPr>
      <w:rFonts w:eastAsia="Calibri"/>
      <w:b/>
    </w:rPr>
  </w:style>
  <w:style w:type="character" w:customStyle="1" w:styleId="sTabboldChar">
    <w:name w:val="sTab_bold Char"/>
    <w:basedOn w:val="sOdstavec1Char"/>
    <w:link w:val="sTabbold"/>
    <w:rPr>
      <w:rFonts w:ascii="Arial" w:eastAsia="Calibri" w:hAnsi="Arial" w:cs="Arial"/>
      <w:b/>
      <w:bCs w:val="0"/>
      <w:iCs w:val="0"/>
      <w:color w:val="000000"/>
      <w:sz w:val="18"/>
      <w:szCs w:val="18"/>
      <w:lang w:eastAsia="cs-CZ"/>
    </w:rPr>
  </w:style>
  <w:style w:type="paragraph" w:customStyle="1" w:styleId="sTextbold">
    <w:name w:val="sText_bold"/>
    <w:basedOn w:val="Normln"/>
    <w:link w:val="sTextboldChar"/>
    <w:pPr>
      <w:jc w:val="both"/>
    </w:pPr>
    <w:rPr>
      <w:b/>
      <w:sz w:val="18"/>
      <w:szCs w:val="18"/>
    </w:rPr>
  </w:style>
  <w:style w:type="character" w:customStyle="1" w:styleId="sTextboldChar">
    <w:name w:val="sText_bold Char"/>
    <w:link w:val="sTextbold"/>
    <w:rPr>
      <w:rFonts w:ascii="Arial" w:eastAsia="Times New Roman" w:hAnsi="Arial" w:cs="Times New Roman"/>
      <w:b/>
      <w:sz w:val="18"/>
      <w:szCs w:val="18"/>
      <w:lang w:eastAsia="cs-CZ"/>
    </w:rPr>
  </w:style>
  <w:style w:type="paragraph" w:customStyle="1" w:styleId="sZapati">
    <w:name w:val="sZapati"/>
    <w:basedOn w:val="Zpat"/>
    <w:link w:val="sZapatiChar"/>
    <w:pPr>
      <w:tabs>
        <w:tab w:val="clear" w:pos="4536"/>
        <w:tab w:val="clear" w:pos="9072"/>
        <w:tab w:val="center" w:pos="4253"/>
        <w:tab w:val="right" w:pos="8647"/>
      </w:tabs>
      <w:jc w:val="center"/>
    </w:pPr>
    <w:rPr>
      <w:rFonts w:cs="Arial"/>
      <w:sz w:val="16"/>
      <w:szCs w:val="16"/>
      <w:lang w:val="en-GB"/>
    </w:rPr>
  </w:style>
  <w:style w:type="character" w:customStyle="1" w:styleId="sZapatiChar">
    <w:name w:val="sZapati Char"/>
    <w:link w:val="sZapati"/>
    <w:rPr>
      <w:rFonts w:ascii="Arial" w:eastAsia="Times New Roman" w:hAnsi="Arial" w:cs="Arial"/>
      <w:sz w:val="16"/>
      <w:szCs w:val="16"/>
      <w:lang w:val="en-GB" w:eastAsia="cs-CZ"/>
    </w:rPr>
  </w:style>
  <w:style w:type="paragraph" w:styleId="Zpat">
    <w:name w:val="footer"/>
    <w:basedOn w:val="Normln"/>
    <w:link w:val="ZpatChar"/>
    <w:pPr>
      <w:tabs>
        <w:tab w:val="center" w:pos="4536"/>
        <w:tab w:val="right" w:pos="9072"/>
      </w:tabs>
    </w:pPr>
  </w:style>
  <w:style w:type="character" w:customStyle="1" w:styleId="ZpatChar">
    <w:name w:val="Zápatí Char"/>
    <w:basedOn w:val="Standardnpsmoodstavce"/>
    <w:link w:val="Zpat"/>
  </w:style>
  <w:style w:type="paragraph" w:styleId="Zhlav">
    <w:name w:val="header"/>
    <w:basedOn w:val="Normln"/>
    <w:link w:val="ZhlavChar"/>
    <w:pPr>
      <w:tabs>
        <w:tab w:val="center" w:pos="4536"/>
        <w:tab w:val="right" w:pos="9072"/>
      </w:tabs>
    </w:pPr>
  </w:style>
  <w:style w:type="character" w:customStyle="1" w:styleId="ZhlavChar">
    <w:name w:val="Záhlaví Char"/>
    <w:basedOn w:val="Standardnpsmoodstavce"/>
    <w:link w:val="Zhlav"/>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basedOn w:val="Standardnpsmoodstavce"/>
    <w:link w:val="Textbubliny"/>
    <w:rPr>
      <w:rFonts w:ascii="Tahoma" w:eastAsia="Times New Roman" w:hAnsi="Tahoma" w:cs="Tahoma"/>
      <w:sz w:val="16"/>
      <w:szCs w:val="16"/>
      <w:lang w:eastAsia="cs-CZ"/>
    </w:rPr>
  </w:style>
  <w:style w:type="character" w:styleId="Zstupntext">
    <w:name w:val="Placeholder Text"/>
    <w:basedOn w:val="Standardnpsmoodstavce"/>
    <w:rPr>
      <w:color w:val="808080"/>
    </w:rPr>
  </w:style>
  <w:style w:type="paragraph" w:styleId="Odstavecseseznamem">
    <w:name w:val="List Paragraph"/>
    <w:basedOn w:val="Normln"/>
    <w:pPr>
      <w:ind w:left="708"/>
    </w:pPr>
  </w:style>
  <w:style w:type="paragraph" w:customStyle="1" w:styleId="polozka">
    <w:name w:val="polozka"/>
    <w:basedOn w:val="Prosttext"/>
    <w:pPr>
      <w:ind w:left="180"/>
      <w:jc w:val="both"/>
    </w:pPr>
    <w:rPr>
      <w:rFonts w:ascii="Arial" w:hAnsi="Arial" w:cs="Arial"/>
      <w:b/>
      <w:sz w:val="18"/>
      <w:szCs w:val="20"/>
    </w:rPr>
  </w:style>
  <w:style w:type="paragraph" w:styleId="Prosttext">
    <w:name w:val="Plain Text"/>
    <w:basedOn w:val="Normln"/>
    <w:link w:val="ProsttextChar"/>
    <w:rPr>
      <w:rFonts w:ascii="Consolas" w:hAnsi="Consolas" w:cs="Consolas"/>
      <w:sz w:val="21"/>
      <w:szCs w:val="21"/>
    </w:rPr>
  </w:style>
  <w:style w:type="character" w:customStyle="1" w:styleId="ProsttextChar">
    <w:name w:val="Prostý text Char"/>
    <w:basedOn w:val="Standardnpsmoodstavce"/>
    <w:link w:val="Prosttext"/>
    <w:rPr>
      <w:rFonts w:ascii="Consolas" w:eastAsia="Times New Roman" w:hAnsi="Consolas" w:cs="Consolas"/>
      <w:sz w:val="21"/>
      <w:szCs w:val="21"/>
      <w:lang w:eastAsia="cs-CZ"/>
    </w:rPr>
  </w:style>
  <w:style w:type="paragraph" w:customStyle="1" w:styleId="smlouva">
    <w:name w:val="smlouva"/>
    <w:basedOn w:val="Prosttext"/>
    <w:pPr>
      <w:spacing w:after="240"/>
    </w:pPr>
    <w:rPr>
      <w:rFonts w:ascii="Arial" w:hAnsi="Arial" w:cs="Times New Roman"/>
      <w:b/>
      <w:sz w:val="28"/>
      <w:szCs w:val="20"/>
    </w:rPr>
  </w:style>
  <w:style w:type="character" w:styleId="Odkaznakoment">
    <w:name w:val="annotation reference"/>
    <w:basedOn w:val="Standardnpsmoodstav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basedOn w:val="Standardnpsmoodstavce"/>
    <w:link w:val="Textkomente"/>
    <w:rPr>
      <w:rFonts w:ascii="Arial" w:eastAsia="Times New Roman" w:hAnsi="Arial" w:cs="Times New Roman"/>
      <w:sz w:val="20"/>
      <w:szCs w:val="20"/>
      <w:lang w:eastAsia="cs-CZ"/>
    </w:rPr>
  </w:style>
  <w:style w:type="paragraph" w:styleId="Pedmtkomente">
    <w:name w:val="annotation subject"/>
    <w:basedOn w:val="Textkomente"/>
    <w:link w:val="PedmtkomenteChar"/>
    <w:rPr>
      <w:b/>
      <w:bCs/>
    </w:rPr>
  </w:style>
  <w:style w:type="character" w:customStyle="1" w:styleId="PedmtkomenteChar">
    <w:name w:val="Předmět komentáře Char"/>
    <w:basedOn w:val="TextkomenteChar"/>
    <w:link w:val="Pedmtkomente"/>
    <w:rPr>
      <w:rFonts w:ascii="Arial" w:eastAsia="Times New Roman" w:hAnsi="Arial" w:cs="Times New Roman"/>
      <w:b/>
      <w:bCs/>
      <w:sz w:val="20"/>
      <w:szCs w:val="20"/>
      <w:lang w:eastAsia="cs-CZ"/>
    </w:rPr>
  </w:style>
  <w:style w:type="table" w:styleId="Mkatabulky">
    <w:name w:val="Table 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1997</Words>
  <Characters>11785</Characters>
  <Application>Microsoft Office Word</Application>
  <DocSecurity>4</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Societe Generale Equipment Finance</Company>
  <LinksUpToDate>false</LinksUpToDate>
  <CharactersWithSpaces>13755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SNABL STANISLAV</dc:creator>
  <cp:lastModifiedBy>Javurkova Jitka (SGEF)</cp:lastModifiedBy>
  <cp:revision>2</cp:revision>
  <cp:lastPrinted>2020-12-01T08:13:00Z</cp:lastPrinted>
  <dcterms:created xsi:type="dcterms:W3CDTF">2020-12-01T08:13:00Z</dcterms:created>
  <dcterms:modified xsi:type="dcterms:W3CDTF">2020-12-01T08:13:00Z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6d9757-80ae-4c87-b4d7-9ffa7a0710d0_Enabled">
    <vt:lpwstr>true</vt:lpwstr>
  </property>
  <property fmtid="{D5CDD505-2E9C-101B-9397-08002B2CF9AE}" pid="3" name="MSIP_Label_076d9757-80ae-4c87-b4d7-9ffa7a0710d0_SetDate">
    <vt:lpwstr>2020-12-01T08:13:24Z</vt:lpwstr>
  </property>
  <property fmtid="{D5CDD505-2E9C-101B-9397-08002B2CF9AE}" pid="4" name="MSIP_Label_076d9757-80ae-4c87-b4d7-9ffa7a0710d0_Method">
    <vt:lpwstr>Standard</vt:lpwstr>
  </property>
  <property fmtid="{D5CDD505-2E9C-101B-9397-08002B2CF9AE}" pid="5" name="MSIP_Label_076d9757-80ae-4c87-b4d7-9ffa7a0710d0_Name">
    <vt:lpwstr>C1 - Internal</vt:lpwstr>
  </property>
  <property fmtid="{D5CDD505-2E9C-101B-9397-08002B2CF9AE}" pid="6" name="MSIP_Label_076d9757-80ae-4c87-b4d7-9ffa7a0710d0_SiteId">
    <vt:lpwstr>c79e7c80-cff5-4503-b468-3702cea89272</vt:lpwstr>
  </property>
  <property fmtid="{D5CDD505-2E9C-101B-9397-08002B2CF9AE}" pid="7" name="MSIP_Label_076d9757-80ae-4c87-b4d7-9ffa7a0710d0_ActionId">
    <vt:lpwstr>9996a378-f1ce-483a-a346-041b500e829d</vt:lpwstr>
  </property>
  <property fmtid="{D5CDD505-2E9C-101B-9397-08002B2CF9AE}" pid="8" name="MSIP_Label_076d9757-80ae-4c87-b4d7-9ffa7a0710d0_ContentBits">
    <vt:lpwstr>0</vt:lpwstr>
  </property>
  <property fmtid="{D5CDD505-2E9C-101B-9397-08002B2CF9AE}" pid="9" name="Kod_Duvernosti">
    <vt:lpwstr>KB_C1_INTERNAL_992521</vt:lpwstr>
  </property>
</Properties>
</file>