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1 </w:t>
      </w:r>
    </w:p>
    <w:p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ke smlouvě 1300159314 ze dne 2. ledna 2018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poskytnutí užívacích práv k Programovému vybavení a Datovým souborům ÚRS </w:t>
      </w:r>
      <w:r>
        <w:rPr>
          <w:sz w:val="24"/>
          <w:szCs w:val="24"/>
        </w:rPr>
        <w:br/>
        <w:t>a poskytnutí dalších služeb, předpisů).</w:t>
      </w:r>
    </w:p>
    <w:p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CES 71/2017_1</w:t>
      </w:r>
    </w:p>
    <w:p>
      <w:pPr>
        <w:spacing w:before="120"/>
        <w:jc w:val="right"/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1.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>
      <w:pPr>
        <w:jc w:val="center"/>
        <w:rPr>
          <w:rFonts w:ascii="Calibri Light" w:hAnsi="Calibri Light" w:cs="Tahoma"/>
        </w:rPr>
      </w:pPr>
    </w:p>
    <w:p>
      <w:pPr>
        <w:rPr>
          <w:rFonts w:ascii="Calibri Light" w:hAnsi="Calibri Light" w:cs="Tahoma"/>
          <w:sz w:val="16"/>
          <w:szCs w:val="16"/>
        </w:rPr>
      </w:pPr>
    </w:p>
    <w:p>
      <w:pPr>
        <w:rPr>
          <w:rFonts w:ascii="Calibri Light" w:hAnsi="Calibri Light" w:cs="Tahoma"/>
          <w:sz w:val="16"/>
          <w:szCs w:val="16"/>
        </w:rPr>
      </w:pPr>
    </w:p>
    <w:p>
      <w:pPr>
        <w:tabs>
          <w:tab w:val="left" w:pos="1843"/>
          <w:tab w:val="left" w:pos="5954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ÚRS CZ, a.s.</w:t>
      </w:r>
      <w:r>
        <w:rPr>
          <w:b/>
          <w:sz w:val="24"/>
          <w:szCs w:val="24"/>
        </w:rPr>
        <w:tab/>
      </w:r>
    </w:p>
    <w:p>
      <w:pPr>
        <w:tabs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se sídlem: Tiskařská 257/10, 108 00 Praha 10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zapsaná: v obchodním rejstříku vedeném Městským soudem v Praze, oddíl B, vložka 1776</w:t>
      </w:r>
    </w:p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IČO: 47115645 </w:t>
      </w:r>
    </w:p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>DIČ: CZ 699000797</w:t>
      </w:r>
    </w:p>
    <w:p>
      <w:pPr>
        <w:tabs>
          <w:tab w:val="left" w:pos="1843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číslo účtu: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konstantní symbol: 308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Zastoupena: Ing. Vladimírem Panákem, ředitelem společnosti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na základě plné moci ze dne 23. 10. 2018</w:t>
      </w:r>
    </w:p>
    <w:p>
      <w:pPr>
        <w:tabs>
          <w:tab w:val="left" w:pos="3544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 pro věcná a smluvní jednání: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e-mail: </w:t>
      </w:r>
      <w:proofErr w:type="spellStart"/>
      <w:r>
        <w:rPr>
          <w:sz w:val="24"/>
          <w:szCs w:val="24"/>
        </w:rPr>
        <w:t>xxx</w:t>
      </w:r>
      <w:proofErr w:type="spellEnd"/>
    </w:p>
    <w:p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Poskytovatel</w:t>
      </w:r>
      <w:r>
        <w:rPr>
          <w:sz w:val="24"/>
          <w:szCs w:val="24"/>
        </w:rPr>
        <w:t>“)</w:t>
      </w:r>
    </w:p>
    <w:p>
      <w:pPr>
        <w:tabs>
          <w:tab w:val="left" w:pos="4536"/>
        </w:tabs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tabs>
          <w:tab w:val="left" w:pos="4536"/>
        </w:tabs>
        <w:spacing w:before="120"/>
        <w:jc w:val="center"/>
        <w:rPr>
          <w:sz w:val="24"/>
          <w:szCs w:val="24"/>
        </w:rPr>
      </w:pPr>
    </w:p>
    <w:p>
      <w:pPr>
        <w:tabs>
          <w:tab w:val="left" w:pos="1843"/>
          <w:tab w:val="left" w:pos="5954"/>
          <w:tab w:val="left" w:pos="7513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Státní fond dopravní infrastruktury 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se sídlem: Sokolovská 1955/278, 190 00 Praha 9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IČO: 70856508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DIČ: CZ70856508</w:t>
      </w:r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číslo účtu: </w:t>
      </w:r>
      <w:proofErr w:type="spellStart"/>
      <w:r>
        <w:rPr>
          <w:sz w:val="24"/>
          <w:szCs w:val="24"/>
        </w:rPr>
        <w:t>xxx</w:t>
      </w:r>
      <w:proofErr w:type="spellEnd"/>
    </w:p>
    <w:p>
      <w:pPr>
        <w:tabs>
          <w:tab w:val="left" w:pos="1843"/>
          <w:tab w:val="left" w:pos="5954"/>
          <w:tab w:val="left" w:pos="7513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Zastoupený: Ing. Zbyňkem Hořelicou, ředitelem</w:t>
      </w:r>
    </w:p>
    <w:p>
      <w:pPr>
        <w:tabs>
          <w:tab w:val="left" w:pos="1843"/>
          <w:tab w:val="left" w:pos="4253"/>
          <w:tab w:val="left" w:pos="7513"/>
        </w:tabs>
        <w:spacing w:before="120"/>
        <w:rPr>
          <w:rFonts w:ascii="Calibri Light" w:hAnsi="Calibri Light" w:cs="Tahoma"/>
          <w:sz w:val="22"/>
          <w:szCs w:val="22"/>
        </w:rPr>
      </w:pPr>
      <w:r>
        <w:rPr>
          <w:sz w:val="24"/>
          <w:szCs w:val="24"/>
        </w:rPr>
        <w:t xml:space="preserve">Kontaktní osoba pro věcná a smluvní jednání: Ing. Ondřej Papež, telefon: </w:t>
      </w:r>
      <w:proofErr w:type="spellStart"/>
      <w:r>
        <w:rPr>
          <w:sz w:val="24"/>
          <w:szCs w:val="24"/>
        </w:rPr>
        <w:t>xxx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e-mail: ondrej.papez@sfdi.cz</w:t>
      </w:r>
      <w:r>
        <w:rPr>
          <w:rFonts w:ascii="Calibri Light" w:hAnsi="Calibri Light" w:cs="Tahoma"/>
          <w:sz w:val="22"/>
          <w:szCs w:val="22"/>
        </w:rPr>
        <w:t xml:space="preserve">              </w:t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  <w:t xml:space="preserve">   </w:t>
      </w:r>
      <w:r>
        <w:rPr>
          <w:rFonts w:ascii="Calibri Light" w:hAnsi="Calibri Light" w:cs="Tahoma"/>
          <w:sz w:val="22"/>
          <w:szCs w:val="22"/>
        </w:rPr>
        <w:tab/>
      </w:r>
    </w:p>
    <w:p>
      <w:pPr>
        <w:tabs>
          <w:tab w:val="left" w:pos="188"/>
          <w:tab w:val="left" w:pos="1843"/>
          <w:tab w:val="left" w:pos="4253"/>
          <w:tab w:val="left" w:pos="7513"/>
        </w:tabs>
        <w:spacing w:before="120"/>
        <w:ind w:left="3544" w:hanging="3544"/>
        <w:rPr>
          <w:sz w:val="24"/>
          <w:szCs w:val="22"/>
        </w:rPr>
      </w:pPr>
      <w:r>
        <w:rPr>
          <w:rFonts w:ascii="Calibri Light" w:hAnsi="Calibri Light" w:cs="Tahoma"/>
          <w:sz w:val="22"/>
          <w:szCs w:val="22"/>
        </w:rPr>
        <w:t>(</w:t>
      </w:r>
      <w:r>
        <w:rPr>
          <w:sz w:val="24"/>
          <w:szCs w:val="22"/>
        </w:rPr>
        <w:t>dále jen „</w:t>
      </w:r>
      <w:r>
        <w:rPr>
          <w:b/>
          <w:sz w:val="24"/>
          <w:szCs w:val="22"/>
        </w:rPr>
        <w:t>Nabyvatel</w:t>
      </w:r>
      <w:r>
        <w:rPr>
          <w:sz w:val="24"/>
          <w:szCs w:val="22"/>
        </w:rPr>
        <w:t>“),</w:t>
      </w:r>
    </w:p>
    <w:p>
      <w:pPr>
        <w:tabs>
          <w:tab w:val="left" w:pos="188"/>
          <w:tab w:val="left" w:pos="1843"/>
          <w:tab w:val="left" w:pos="4253"/>
          <w:tab w:val="left" w:pos="7513"/>
        </w:tabs>
        <w:spacing w:before="120"/>
        <w:ind w:left="3544" w:hanging="3544"/>
        <w:rPr>
          <w:sz w:val="24"/>
          <w:szCs w:val="22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  <w:szCs w:val="22"/>
        </w:rPr>
        <w:t>(dále společně jen „</w:t>
      </w:r>
      <w:r>
        <w:rPr>
          <w:b/>
          <w:sz w:val="24"/>
          <w:szCs w:val="22"/>
        </w:rPr>
        <w:t>Smluvní strany</w:t>
      </w:r>
      <w:r>
        <w:rPr>
          <w:sz w:val="24"/>
          <w:szCs w:val="22"/>
        </w:rPr>
        <w:t>“),</w:t>
      </w:r>
    </w:p>
    <w:p>
      <w:pPr>
        <w:spacing w:line="200" w:lineRule="exact"/>
        <w:rPr>
          <w:sz w:val="24"/>
          <w:szCs w:val="22"/>
        </w:rPr>
      </w:pPr>
    </w:p>
    <w:p>
      <w:pPr>
        <w:spacing w:line="200" w:lineRule="exact"/>
        <w:rPr>
          <w:rFonts w:ascii="Calibri Light" w:hAnsi="Calibri Light" w:cs="Tahoma"/>
          <w:sz w:val="24"/>
        </w:rPr>
      </w:pPr>
      <w:r>
        <w:rPr>
          <w:sz w:val="24"/>
          <w:szCs w:val="22"/>
        </w:rPr>
        <w:t>(dále tato smlouva o užívání práv jen „</w:t>
      </w:r>
      <w:r>
        <w:rPr>
          <w:b/>
          <w:sz w:val="24"/>
          <w:szCs w:val="22"/>
        </w:rPr>
        <w:t>Smlouva</w:t>
      </w:r>
      <w:r>
        <w:rPr>
          <w:sz w:val="24"/>
          <w:szCs w:val="22"/>
        </w:rPr>
        <w:t>“).</w:t>
      </w:r>
      <w:r>
        <w:rPr>
          <w:rFonts w:ascii="Calibri Light" w:hAnsi="Calibri Light" w:cs="Tahoma"/>
          <w:sz w:val="28"/>
        </w:rPr>
        <w:t xml:space="preserve"> </w:t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  <w:t xml:space="preserve">         </w:t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</w:p>
    <w:p>
      <w:pPr>
        <w:spacing w:line="200" w:lineRule="exact"/>
        <w:rPr>
          <w:rFonts w:ascii="Calibri Light" w:hAnsi="Calibri Light" w:cs="Tahoma"/>
          <w:sz w:val="24"/>
        </w:rPr>
      </w:pPr>
      <w:r>
        <w:rPr>
          <w:rFonts w:ascii="Calibri Light" w:hAnsi="Calibri Light" w:cs="Tahoma"/>
          <w:sz w:val="24"/>
        </w:rPr>
        <w:t xml:space="preserve"> </w:t>
      </w:r>
    </w:p>
    <w:p>
      <w:pPr>
        <w:spacing w:before="120" w:line="200" w:lineRule="exact"/>
        <w:rPr>
          <w:rFonts w:ascii="Calibri Light" w:hAnsi="Calibri Light" w:cs="Tahoma"/>
          <w:sz w:val="24"/>
        </w:rPr>
      </w:pP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  <w:r>
        <w:rPr>
          <w:rFonts w:ascii="Calibri Light" w:hAnsi="Calibri Light" w:cs="Tahoma"/>
          <w:sz w:val="24"/>
        </w:rPr>
        <w:tab/>
      </w:r>
    </w:p>
    <w:p>
      <w:pPr>
        <w:spacing w:before="120" w:line="200" w:lineRule="exact"/>
        <w:rPr>
          <w:rFonts w:ascii="Calibri Light" w:hAnsi="Calibri Light" w:cs="Tahoma"/>
          <w:sz w:val="24"/>
        </w:rPr>
      </w:pPr>
    </w:p>
    <w:p>
      <w:pPr>
        <w:spacing w:before="120" w:line="200" w:lineRule="exact"/>
        <w:rPr>
          <w:rFonts w:ascii="Calibri Light" w:hAnsi="Calibri Light" w:cs="Tahoma"/>
          <w:sz w:val="24"/>
        </w:rPr>
      </w:pPr>
    </w:p>
    <w:p>
      <w:pPr>
        <w:spacing w:before="120" w:line="200" w:lineRule="exact"/>
        <w:rPr>
          <w:sz w:val="24"/>
          <w:szCs w:val="24"/>
        </w:rPr>
      </w:pPr>
      <w:r>
        <w:rPr>
          <w:rFonts w:ascii="Calibri Light" w:hAnsi="Calibri Light" w:cs="Tahoma"/>
          <w:sz w:val="24"/>
        </w:rPr>
        <w:t>S</w:t>
      </w:r>
      <w:r>
        <w:rPr>
          <w:sz w:val="24"/>
          <w:szCs w:val="24"/>
        </w:rPr>
        <w:t>mluvní strany se dohodly na následující změně Smlouvy ze dne 2. 1. 2018:</w:t>
      </w:r>
    </w:p>
    <w:p>
      <w:pPr>
        <w:spacing w:before="120" w:line="200" w:lineRule="exact"/>
        <w:rPr>
          <w:rFonts w:ascii="Calibri Light" w:hAnsi="Calibri Light" w:cs="Tahoma"/>
          <w:sz w:val="24"/>
        </w:rPr>
      </w:pPr>
    </w:p>
    <w:p>
      <w:pPr>
        <w:tabs>
          <w:tab w:val="left" w:pos="993"/>
          <w:tab w:val="left" w:pos="6237"/>
          <w:tab w:val="right" w:pos="8789"/>
        </w:tabs>
        <w:jc w:val="both"/>
        <w:rPr>
          <w:sz w:val="24"/>
          <w:szCs w:val="24"/>
        </w:rPr>
      </w:pPr>
    </w:p>
    <w:p>
      <w:pPr>
        <w:tabs>
          <w:tab w:val="left" w:pos="993"/>
          <w:tab w:val="left" w:pos="6237"/>
          <w:tab w:val="right" w:pos="8789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Článek 2.</w:t>
      </w:r>
    </w:p>
    <w:p>
      <w:pPr>
        <w:tabs>
          <w:tab w:val="left" w:pos="993"/>
          <w:tab w:val="left" w:pos="6237"/>
          <w:tab w:val="right" w:pos="8789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Předmět dodatku</w:t>
      </w:r>
    </w:p>
    <w:p>
      <w:pPr>
        <w:tabs>
          <w:tab w:val="left" w:pos="993"/>
          <w:tab w:val="left" w:pos="6237"/>
          <w:tab w:val="right" w:pos="8789"/>
        </w:tabs>
        <w:jc w:val="both"/>
        <w:rPr>
          <w:sz w:val="24"/>
          <w:szCs w:val="24"/>
        </w:rPr>
      </w:pPr>
    </w:p>
    <w:p>
      <w:pPr>
        <w:pStyle w:val="Odstavecseseznamem"/>
        <w:numPr>
          <w:ilvl w:val="0"/>
          <w:numId w:val="21"/>
        </w:numPr>
        <w:tabs>
          <w:tab w:val="left" w:pos="993"/>
          <w:tab w:val="left" w:pos="6237"/>
          <w:tab w:val="righ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Článek VIII. Smlouvy „Specifikace Aplikace a Dat“ nově zní:</w:t>
      </w:r>
    </w:p>
    <w:p>
      <w:pPr>
        <w:tabs>
          <w:tab w:val="left" w:pos="993"/>
          <w:tab w:val="left" w:pos="6237"/>
          <w:tab w:val="right" w:pos="8789"/>
        </w:tabs>
        <w:jc w:val="both"/>
        <w:rPr>
          <w:sz w:val="24"/>
          <w:szCs w:val="24"/>
        </w:rPr>
      </w:pPr>
    </w:p>
    <w:p>
      <w:pPr>
        <w:tabs>
          <w:tab w:val="left" w:pos="993"/>
          <w:tab w:val="left" w:pos="6237"/>
          <w:tab w:val="righ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„Specifikace stávajících licencí Aplikace KROS a Dat ÚRS</w:t>
      </w:r>
    </w:p>
    <w:tbl>
      <w:tblPr>
        <w:tblW w:w="758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1559"/>
      </w:tblGrid>
      <w:tr>
        <w:trPr>
          <w:trHeight w:val="567"/>
        </w:trPr>
        <w:tc>
          <w:tcPr>
            <w:tcW w:w="177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produktu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Kusů celkem</w:t>
            </w:r>
          </w:p>
        </w:tc>
      </w:tr>
      <w:tr>
        <w:trPr>
          <w:trHeight w:val="506"/>
        </w:trPr>
        <w:tc>
          <w:tcPr>
            <w:tcW w:w="1771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KROS 4 – modul Projektant 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506"/>
        </w:trPr>
        <w:tc>
          <w:tcPr>
            <w:tcW w:w="1771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R04</w:t>
            </w:r>
          </w:p>
        </w:tc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ÚRS PRAHA - komplet bez rozborů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tabs>
          <w:tab w:val="left" w:pos="993"/>
          <w:tab w:val="left" w:pos="6237"/>
          <w:tab w:val="right" w:pos="8789"/>
        </w:tabs>
        <w:rPr>
          <w:sz w:val="24"/>
          <w:szCs w:val="24"/>
        </w:rPr>
      </w:pPr>
    </w:p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>Opakované roční provozní náklady</w:t>
      </w:r>
    </w:p>
    <w:tbl>
      <w:tblPr>
        <w:tblW w:w="755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969"/>
        <w:gridCol w:w="887"/>
        <w:gridCol w:w="1210"/>
      </w:tblGrid>
      <w:tr>
        <w:trPr>
          <w:trHeight w:val="566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Období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Licencí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v Kč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ročně </w:t>
            </w:r>
          </w:p>
        </w:tc>
      </w:tr>
      <w:tr>
        <w:trPr>
          <w:trHeight w:val="506"/>
        </w:trPr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1. 1. 2021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Uživatelské podpory a pravidelná aktualizace Dat (2x ročně)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22 806</w:t>
            </w:r>
          </w:p>
        </w:tc>
      </w:tr>
    </w:tbl>
    <w:p>
      <w:pPr>
        <w:tabs>
          <w:tab w:val="left" w:pos="993"/>
          <w:tab w:val="left" w:pos="6237"/>
          <w:tab w:val="right" w:pos="8789"/>
        </w:tabs>
        <w:rPr>
          <w:sz w:val="24"/>
          <w:szCs w:val="24"/>
        </w:rPr>
      </w:pPr>
    </w:p>
    <w:p>
      <w:pPr>
        <w:tabs>
          <w:tab w:val="left" w:pos="993"/>
          <w:tab w:val="left" w:pos="6237"/>
          <w:tab w:val="right" w:pos="87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Celková cena za opakované roční provozní náklady se fakturuje 1x ročně, vždy v lednu daného roku.</w:t>
      </w:r>
    </w:p>
    <w:p>
      <w:pPr>
        <w:tabs>
          <w:tab w:val="left" w:pos="993"/>
          <w:tab w:val="left" w:pos="6237"/>
          <w:tab w:val="right" w:pos="878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Veškeré ceny neobsahují platnou sazbu DPH.“</w:t>
      </w:r>
    </w:p>
    <w:p>
      <w:pPr>
        <w:tabs>
          <w:tab w:val="left" w:pos="993"/>
          <w:tab w:val="left" w:pos="6237"/>
          <w:tab w:val="right" w:pos="8789"/>
        </w:tabs>
        <w:rPr>
          <w:i/>
          <w:sz w:val="24"/>
          <w:szCs w:val="24"/>
        </w:rPr>
      </w:pPr>
    </w:p>
    <w:p>
      <w:pPr>
        <w:tabs>
          <w:tab w:val="left" w:pos="993"/>
          <w:tab w:val="left" w:pos="6237"/>
          <w:tab w:val="right" w:pos="8789"/>
        </w:tabs>
        <w:rPr>
          <w:i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Článek 3.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Závěrečná ustanovení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Tento Dodatek č. 1 nabývá platnosti dnem jeho podpisu druhou smluvní stranou </w:t>
      </w:r>
      <w:r>
        <w:rPr>
          <w:bCs/>
          <w:sz w:val="24"/>
        </w:rPr>
        <w:br/>
        <w:t>a účinnosti dnem jeho zveřejnění prostřednictvím Registru smluv.</w:t>
      </w:r>
    </w:p>
    <w:p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</w:rPr>
      </w:pPr>
      <w:r>
        <w:rPr>
          <w:rFonts w:eastAsia="Calibri"/>
          <w:sz w:val="24"/>
        </w:rPr>
        <w:t>Ostatní ustanovení Smlouvy zůstávají beze změn.</w:t>
      </w:r>
    </w:p>
    <w:p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Dodatek č. 1 ke smlouvě bude uveřejněn nabyvatelem v registru smluv v souladu se zákonem č. 340/2015 Sb., o zvláštních podmínkách účinnosti některých smluv, uveřejňování těchto smluv a o registru smluv (zákon o registru smluv).</w:t>
      </w:r>
    </w:p>
    <w:p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Účastníci tohoto Dodatku č. 1 prohlašují, že Dodatek č. 1 byl sjednán na základě jejich pravé a svobodné vůle, že si jeho obsah přečetli a bezvýhradně s ním souhlasí, což stvrzují vlastnoručními podpisy.</w:t>
      </w:r>
    </w:p>
    <w:p>
      <w:pPr>
        <w:pStyle w:val="Odstavecseseznamem"/>
        <w:widowControl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Dodatek č. 1 je uzavřen elektronicky.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Za nabyvatele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Za poskytovatele</w:t>
      </w:r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V Praze dne:………………………………      V Praze dne:……………………………</w:t>
      </w:r>
      <w:proofErr w:type="gramStart"/>
      <w:r>
        <w:rPr>
          <w:sz w:val="24"/>
        </w:rPr>
        <w:t>…..</w:t>
      </w:r>
      <w:proofErr w:type="gramEnd"/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</w:p>
    <w:p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……………………………………………</w:t>
      </w:r>
      <w:r>
        <w:rPr>
          <w:sz w:val="24"/>
        </w:rPr>
        <w:tab/>
        <w:t xml:space="preserve">   ……………………………………………….</w:t>
      </w:r>
    </w:p>
    <w:p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Státní fond dopravní infrastruktury</w:t>
      </w:r>
      <w:r>
        <w:rPr>
          <w:b/>
          <w:sz w:val="24"/>
        </w:rPr>
        <w:tab/>
      </w:r>
      <w:r>
        <w:rPr>
          <w:b/>
          <w:sz w:val="24"/>
        </w:rPr>
        <w:tab/>
        <w:t>ÚRS CZ a.s.</w:t>
      </w:r>
    </w:p>
    <w:p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 xml:space="preserve">Ing. Zbyněk Hořelica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Vladimír Panák</w:t>
      </w:r>
    </w:p>
    <w:p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ředitel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ředitel</w:t>
      </w:r>
      <w:proofErr w:type="spellEnd"/>
      <w:r>
        <w:rPr>
          <w:sz w:val="24"/>
        </w:rPr>
        <w:t xml:space="preserve"> společnosti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709"/>
      <w:outlineLvl w:val="0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>
    <w:nsid w:val="18675692"/>
    <w:multiLevelType w:val="hybridMultilevel"/>
    <w:tmpl w:val="CECCF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9">
    <w:nsid w:val="36102F48"/>
    <w:multiLevelType w:val="hybridMultilevel"/>
    <w:tmpl w:val="4D18194A"/>
    <w:lvl w:ilvl="0" w:tplc="0EBE0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94A72"/>
    <w:multiLevelType w:val="hybridMultilevel"/>
    <w:tmpl w:val="CCFC9200"/>
    <w:lvl w:ilvl="0" w:tplc="6F20C06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9"/>
  </w:num>
  <w:num w:numId="7">
    <w:abstractNumId w:val="2"/>
  </w:num>
  <w:num w:numId="8">
    <w:abstractNumId w:val="17"/>
  </w:num>
  <w:num w:numId="9">
    <w:abstractNumId w:val="14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9"/>
  </w:num>
  <w:num w:numId="15">
    <w:abstractNumId w:val="20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customStyle="1" w:styleId="ZkladntextBODY">
    <w:name w:val="Základní text BODY"/>
    <w:basedOn w:val="Zkladntext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description1">
    <w:name w:val="description1"/>
    <w:basedOn w:val="Normln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Pr>
      <w:vanish w:val="0"/>
      <w:webHidden w:val="0"/>
      <w:specVanish w:val="0"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snapToGrid w:val="0"/>
    </w:rPr>
  </w:style>
  <w:style w:type="paragraph" w:customStyle="1" w:styleId="1">
    <w:name w:val="§1"/>
    <w:basedOn w:val="Normln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pPr>
      <w:numPr>
        <w:ilvl w:val="2"/>
      </w:numPr>
    </w:p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-0">
    <w:name w:val="0-0"/>
    <w:basedOn w:val="Normln"/>
    <w:pPr>
      <w:widowControl/>
      <w:jc w:val="both"/>
    </w:pPr>
    <w:rPr>
      <w:snapToGrid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customStyle="1" w:styleId="ZkladntextBODY">
    <w:name w:val="Základní text BODY"/>
    <w:basedOn w:val="Zkladntext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description1">
    <w:name w:val="description1"/>
    <w:basedOn w:val="Normln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Pr>
      <w:vanish w:val="0"/>
      <w:webHidden w:val="0"/>
      <w:specVanish w:val="0"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snapToGrid w:val="0"/>
    </w:rPr>
  </w:style>
  <w:style w:type="paragraph" w:customStyle="1" w:styleId="1">
    <w:name w:val="§1"/>
    <w:basedOn w:val="Normln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pPr>
      <w:numPr>
        <w:ilvl w:val="2"/>
      </w:numPr>
    </w:p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-0">
    <w:name w:val="0-0"/>
    <w:basedOn w:val="Normln"/>
    <w:pPr>
      <w:widowControl/>
      <w:jc w:val="both"/>
    </w:pPr>
    <w:rPr>
      <w:snapToGrid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B286-509C-4677-938B-ED033E1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2020-12-02T17:13:00Z</dcterms:created>
  <dcterms:modified xsi:type="dcterms:W3CDTF">2020-12-02T17:14:00Z</dcterms:modified>
</cp:coreProperties>
</file>