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05BFE" w14:textId="77777777" w:rsidR="00121752" w:rsidRDefault="00121752" w:rsidP="00BD34C2">
      <w:pPr>
        <w:ind w:left="7080"/>
      </w:pPr>
    </w:p>
    <w:tbl>
      <w:tblPr>
        <w:tblW w:w="0" w:type="auto"/>
        <w:jc w:val="center"/>
        <w:tblLook w:val="01E0" w:firstRow="1" w:lastRow="1" w:firstColumn="1" w:lastColumn="1" w:noHBand="0" w:noVBand="0"/>
      </w:tblPr>
      <w:tblGrid>
        <w:gridCol w:w="9072"/>
      </w:tblGrid>
      <w:tr w:rsidR="00121752" w:rsidRPr="000B4FBB" w14:paraId="32CC0611" w14:textId="77777777" w:rsidTr="009C2607">
        <w:trPr>
          <w:jc w:val="center"/>
        </w:trPr>
        <w:tc>
          <w:tcPr>
            <w:tcW w:w="9072" w:type="dxa"/>
            <w:vAlign w:val="center"/>
          </w:tcPr>
          <w:p w14:paraId="4A261A4E" w14:textId="77777777" w:rsidR="00121752" w:rsidRPr="00000CAA" w:rsidRDefault="0012175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21752" w:rsidRPr="000B4FBB" w14:paraId="599CAB3E" w14:textId="77777777" w:rsidTr="009C2607">
        <w:trPr>
          <w:trHeight w:val="1382"/>
          <w:jc w:val="center"/>
        </w:trPr>
        <w:tc>
          <w:tcPr>
            <w:tcW w:w="9072" w:type="dxa"/>
          </w:tcPr>
          <w:p w14:paraId="58118AF3" w14:textId="77777777" w:rsidR="00121752" w:rsidRPr="00307F46" w:rsidRDefault="0012175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40C5EC6" w14:textId="77777777" w:rsidR="00121752" w:rsidRPr="00307F46" w:rsidRDefault="0012175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21752" w:rsidRPr="000B4FBB" w14:paraId="62BAA966" w14:textId="77777777" w:rsidTr="009C2607">
        <w:trPr>
          <w:jc w:val="center"/>
        </w:trPr>
        <w:tc>
          <w:tcPr>
            <w:tcW w:w="9072" w:type="dxa"/>
          </w:tcPr>
          <w:p w14:paraId="6A625724" w14:textId="77777777" w:rsidR="00121752" w:rsidRPr="00307F46" w:rsidRDefault="00121752" w:rsidP="0081427E">
            <w:pPr>
              <w:pStyle w:val="SSellerPurchaser"/>
              <w:widowControl w:val="0"/>
              <w:spacing w:after="240" w:line="240" w:lineRule="auto"/>
              <w:rPr>
                <w:rFonts w:ascii="Calibri" w:hAnsi="Calibri" w:cs="Calibri"/>
                <w:bCs/>
                <w:color w:val="000000"/>
                <w:szCs w:val="20"/>
                <w:lang w:val="cs-CZ"/>
              </w:rPr>
            </w:pPr>
          </w:p>
          <w:p w14:paraId="59B5F650" w14:textId="77777777" w:rsidR="00121752" w:rsidRPr="00307F46" w:rsidRDefault="00121752" w:rsidP="0081427E">
            <w:pPr>
              <w:pStyle w:val="SSellerPurchaser"/>
              <w:widowControl w:val="0"/>
              <w:spacing w:after="240" w:line="240" w:lineRule="auto"/>
              <w:rPr>
                <w:rFonts w:ascii="Calibri" w:hAnsi="Calibri" w:cs="Calibri"/>
                <w:bCs/>
                <w:color w:val="000000"/>
                <w:szCs w:val="20"/>
                <w:lang w:val="cs-CZ"/>
              </w:rPr>
            </w:pPr>
          </w:p>
          <w:p w14:paraId="34B74D08" w14:textId="77777777" w:rsidR="00121752" w:rsidRDefault="0012175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Brno, třída Kapitána Jaroše, příspěvková organizace</w:t>
            </w:r>
          </w:p>
          <w:p w14:paraId="7712E9F2" w14:textId="77777777" w:rsidR="00121752" w:rsidRDefault="0012175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třída Kpt. Jaroše 1829/14, 658 70 Brno</w:t>
            </w:r>
          </w:p>
          <w:p w14:paraId="2BA5D20A" w14:textId="77777777" w:rsidR="00121752" w:rsidRPr="00557202" w:rsidRDefault="00121752" w:rsidP="00557202">
            <w:pPr>
              <w:jc w:val="center"/>
              <w:rPr>
                <w:rFonts w:asciiTheme="minorHAnsi" w:hAnsiTheme="minorHAnsi"/>
                <w:b/>
                <w:sz w:val="22"/>
                <w:szCs w:val="22"/>
              </w:rPr>
            </w:pPr>
          </w:p>
          <w:p w14:paraId="13779D7B" w14:textId="77777777" w:rsidR="00121752" w:rsidRDefault="0012175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00559032</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EE134F9" w14:textId="77777777" w:rsidR="00121752" w:rsidRPr="00BA5194" w:rsidRDefault="00121752" w:rsidP="00BA5194">
            <w:pPr>
              <w:jc w:val="center"/>
              <w:rPr>
                <w:rFonts w:ascii="Calibri" w:hAnsi="Calibri" w:cs="Calibri"/>
                <w:b/>
                <w:sz w:val="22"/>
                <w:szCs w:val="22"/>
              </w:rPr>
            </w:pPr>
          </w:p>
          <w:p w14:paraId="50BA24A0" w14:textId="77777777" w:rsidR="00121752" w:rsidRPr="00307F46" w:rsidRDefault="0012175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JM_034</w:t>
            </w:r>
          </w:p>
          <w:p w14:paraId="101BE4D2" w14:textId="77777777" w:rsidR="00121752" w:rsidRPr="00307F46" w:rsidRDefault="0012175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D77C5">
              <w:rPr>
                <w:rFonts w:ascii="Calibri" w:hAnsi="Calibri" w:cs="Calibri"/>
                <w:bCs/>
                <w:noProof/>
                <w:color w:val="000000"/>
                <w:sz w:val="22"/>
                <w:szCs w:val="22"/>
                <w:highlight w:val="black"/>
              </w:rPr>
              <w:t>RNDr. Jiřím Hermanem, Ph.D., ředitelem</w:t>
            </w:r>
          </w:p>
          <w:p w14:paraId="192605D6" w14:textId="77777777" w:rsidR="00121752" w:rsidRPr="00307F46" w:rsidRDefault="0012175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21752" w:rsidRPr="000B4FBB" w14:paraId="10F0D8E2" w14:textId="77777777" w:rsidTr="009C2607">
        <w:trPr>
          <w:trHeight w:val="1312"/>
          <w:jc w:val="center"/>
        </w:trPr>
        <w:tc>
          <w:tcPr>
            <w:tcW w:w="9072" w:type="dxa"/>
          </w:tcPr>
          <w:p w14:paraId="2E0192E9" w14:textId="77777777" w:rsidR="00121752" w:rsidRPr="00307F46" w:rsidRDefault="00121752" w:rsidP="0081427E">
            <w:pPr>
              <w:pStyle w:val="Sseller"/>
              <w:widowControl w:val="0"/>
              <w:spacing w:after="240" w:line="240" w:lineRule="auto"/>
              <w:rPr>
                <w:rFonts w:ascii="Calibri" w:hAnsi="Calibri" w:cs="Calibri"/>
                <w:szCs w:val="20"/>
                <w:lang w:val="cs-CZ"/>
              </w:rPr>
            </w:pPr>
          </w:p>
          <w:p w14:paraId="0D6DBADB" w14:textId="77777777" w:rsidR="00121752" w:rsidRPr="00307F46" w:rsidRDefault="0012175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5A61E9A" w14:textId="77777777" w:rsidR="00121752" w:rsidRPr="00307F46" w:rsidRDefault="00121752" w:rsidP="0081427E">
            <w:pPr>
              <w:pStyle w:val="Sseller"/>
              <w:widowControl w:val="0"/>
              <w:spacing w:after="240" w:line="240" w:lineRule="auto"/>
              <w:rPr>
                <w:rFonts w:ascii="Calibri" w:hAnsi="Calibri" w:cs="Calibri"/>
                <w:szCs w:val="20"/>
                <w:lang w:val="cs-CZ"/>
              </w:rPr>
            </w:pPr>
          </w:p>
        </w:tc>
      </w:tr>
      <w:tr w:rsidR="00121752" w:rsidRPr="000B4FBB" w14:paraId="2BA1DE5F" w14:textId="77777777" w:rsidTr="009C2607">
        <w:trPr>
          <w:jc w:val="center"/>
        </w:trPr>
        <w:tc>
          <w:tcPr>
            <w:tcW w:w="9072" w:type="dxa"/>
          </w:tcPr>
          <w:p w14:paraId="02BD0EE7" w14:textId="77777777" w:rsidR="00121752" w:rsidRPr="00307F46" w:rsidRDefault="0012175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9F15B42" w14:textId="77777777" w:rsidR="00121752" w:rsidRDefault="0012175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B46B451" w14:textId="77777777" w:rsidR="00121752" w:rsidRPr="00307F46" w:rsidRDefault="0012175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28060E4" w14:textId="77777777" w:rsidR="00121752" w:rsidRPr="00307F46" w:rsidRDefault="0012175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211E006" w14:textId="77777777" w:rsidR="00121752" w:rsidRPr="00307F46" w:rsidRDefault="0012175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2CC0DD0" w14:textId="77777777" w:rsidR="00121752" w:rsidRPr="00307F46" w:rsidRDefault="0012175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D77C5">
              <w:rPr>
                <w:rFonts w:ascii="Calibri" w:hAnsi="Calibri" w:cs="Calibri"/>
                <w:bCs/>
                <w:color w:val="000000"/>
                <w:sz w:val="22"/>
                <w:szCs w:val="22"/>
                <w:highlight w:val="black"/>
                <w:lang w:val="cs-CZ"/>
              </w:rPr>
              <w:t>Mgr. Libuší Podolovou, jednatelkou</w:t>
            </w:r>
          </w:p>
          <w:p w14:paraId="093AB0EB" w14:textId="77777777" w:rsidR="00121752" w:rsidRPr="00307F46" w:rsidRDefault="0012175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21752" w:rsidRPr="000B4FBB" w14:paraId="35ACD334" w14:textId="77777777" w:rsidTr="009C2607">
        <w:trPr>
          <w:trHeight w:val="1133"/>
          <w:jc w:val="center"/>
        </w:trPr>
        <w:tc>
          <w:tcPr>
            <w:tcW w:w="9072" w:type="dxa"/>
          </w:tcPr>
          <w:p w14:paraId="7BDCA26C" w14:textId="77777777" w:rsidR="00121752" w:rsidRPr="00307F46" w:rsidRDefault="00121752" w:rsidP="0081427E">
            <w:pPr>
              <w:pStyle w:val="Sbyandbetween"/>
              <w:widowControl w:val="0"/>
              <w:spacing w:before="0" w:after="240" w:line="240" w:lineRule="auto"/>
              <w:rPr>
                <w:rFonts w:ascii="Calibri" w:hAnsi="Calibri" w:cs="Calibri"/>
                <w:sz w:val="20"/>
                <w:szCs w:val="20"/>
                <w:lang w:val="cs-CZ"/>
              </w:rPr>
            </w:pPr>
          </w:p>
          <w:p w14:paraId="5A50071D" w14:textId="77777777" w:rsidR="00121752" w:rsidRPr="00307F46" w:rsidRDefault="0012175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B2DC35E" w14:textId="77777777" w:rsidR="00121752" w:rsidRPr="00307F46" w:rsidRDefault="00121752" w:rsidP="0081427E">
            <w:pPr>
              <w:pStyle w:val="Sbyandbetween"/>
              <w:widowControl w:val="0"/>
              <w:spacing w:before="0" w:after="240" w:line="240" w:lineRule="auto"/>
              <w:rPr>
                <w:rFonts w:ascii="Calibri" w:hAnsi="Calibri" w:cs="Calibri"/>
                <w:sz w:val="20"/>
                <w:szCs w:val="20"/>
                <w:lang w:val="cs-CZ"/>
              </w:rPr>
            </w:pPr>
          </w:p>
        </w:tc>
      </w:tr>
    </w:tbl>
    <w:p w14:paraId="422F3481" w14:textId="77777777" w:rsidR="00121752" w:rsidRPr="00663073" w:rsidRDefault="0012175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7FDFEB3" w14:textId="77777777" w:rsidR="00121752" w:rsidRPr="00663073"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620D797" w14:textId="77777777" w:rsidR="00121752" w:rsidRPr="00862240"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4FBAF65"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68492FB" w14:textId="77777777" w:rsidR="00121752" w:rsidRPr="00EC7EDD" w:rsidRDefault="0012175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7076022"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0FFADA0"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BB4B295"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E33E7B3" w14:textId="77777777" w:rsidR="00121752" w:rsidRPr="00BD402B"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84CBB9B" w14:textId="77777777" w:rsidR="00121752" w:rsidRPr="00EC7EDD" w:rsidRDefault="0012175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2C613A3" w14:textId="77777777" w:rsidR="00121752" w:rsidRPr="00EC7EDD" w:rsidRDefault="0012175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3EBFE06" w14:textId="77777777" w:rsidR="00121752" w:rsidRPr="00EC7EDD" w:rsidRDefault="0012175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F7D13A8" w14:textId="77777777" w:rsidR="00121752" w:rsidRPr="00EC7EDD" w:rsidRDefault="0012175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C67E7F4" w14:textId="77777777" w:rsidR="00121752" w:rsidRPr="00EC7EDD" w:rsidRDefault="0012175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93A3FE6" w14:textId="77777777" w:rsidR="00121752" w:rsidRPr="00EC7EDD" w:rsidRDefault="0012175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AB2469A" w14:textId="77777777" w:rsidR="00121752" w:rsidRPr="00EC7EDD" w:rsidRDefault="0012175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44B58F1" w14:textId="77777777" w:rsidR="00121752" w:rsidRPr="00EC7EDD" w:rsidRDefault="0012175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99FC49C" w14:textId="77777777" w:rsidR="00121752" w:rsidRPr="00EC7EDD" w:rsidRDefault="0012175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1464AD8" w14:textId="77777777" w:rsidR="00121752" w:rsidRPr="00EC7EDD" w:rsidRDefault="0012175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0B226D2" w14:textId="77777777" w:rsidR="00121752" w:rsidRPr="00EC7EDD" w:rsidRDefault="0012175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D8824ED" w14:textId="77777777" w:rsidR="00121752" w:rsidRDefault="0012175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AFD5B63" w14:textId="77777777" w:rsidR="00121752" w:rsidRPr="000F3926" w:rsidRDefault="0012175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4A79CC9" w14:textId="77777777" w:rsidR="00121752" w:rsidRDefault="00121752" w:rsidP="002E1666">
      <w:pPr>
        <w:pStyle w:val="Stext2"/>
        <w:spacing w:before="0" w:after="240" w:line="240" w:lineRule="auto"/>
        <w:rPr>
          <w:rFonts w:ascii="Calibri" w:hAnsi="Calibri" w:cs="Calibri"/>
          <w:sz w:val="22"/>
          <w:szCs w:val="22"/>
          <w:lang w:val="cs-CZ" w:eastAsia="en-US"/>
        </w:rPr>
      </w:pPr>
    </w:p>
    <w:p w14:paraId="3D36B139" w14:textId="77777777" w:rsidR="00121752" w:rsidRDefault="00121752" w:rsidP="008E4DB1">
      <w:pPr>
        <w:pStyle w:val="Stext2"/>
        <w:spacing w:before="0" w:after="240" w:line="240" w:lineRule="auto"/>
        <w:ind w:left="0"/>
        <w:rPr>
          <w:rFonts w:ascii="Calibri" w:hAnsi="Calibri" w:cs="Calibri"/>
          <w:sz w:val="22"/>
          <w:szCs w:val="22"/>
          <w:lang w:val="cs-CZ" w:eastAsia="en-US"/>
        </w:rPr>
      </w:pPr>
    </w:p>
    <w:p w14:paraId="7639A841"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CF8A992" w14:textId="77777777" w:rsidR="00121752" w:rsidRPr="00EC7EDD" w:rsidRDefault="0012175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A8E0582"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575F9F0"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A021806"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D605B9F"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4A7BA80"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1AAB53D" w14:textId="77777777" w:rsidR="00121752" w:rsidRPr="00EC7EDD" w:rsidRDefault="0012175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CF7BED9"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76174EE" w14:textId="77777777" w:rsidR="00121752" w:rsidRPr="00EC7EDD" w:rsidRDefault="0012175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0CFB018" w14:textId="77777777" w:rsidR="00121752" w:rsidRDefault="0012175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AA35632" w14:textId="77777777" w:rsidR="00121752" w:rsidRPr="00640074" w:rsidRDefault="0012175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72E8EF5" w14:textId="77777777" w:rsidR="00121752" w:rsidRPr="00EC7EDD" w:rsidRDefault="0012175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02F4231" w14:textId="77777777" w:rsidR="00121752" w:rsidRPr="007E6E57" w:rsidRDefault="0012175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00B2EF0" w14:textId="77777777" w:rsidR="00121752" w:rsidRPr="007E6E57" w:rsidRDefault="0012175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8147E90" w14:textId="77777777" w:rsidR="00121752" w:rsidRPr="007E6E57" w:rsidRDefault="0012175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54817D5" w14:textId="77777777" w:rsidR="00121752" w:rsidRPr="00EC7EDD" w:rsidRDefault="0012175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9C6FEBB" w14:textId="77777777" w:rsidR="00121752" w:rsidRPr="00D10084" w:rsidRDefault="0012175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26EFD3" w14:textId="77777777" w:rsidR="00121752" w:rsidRPr="00EC7EDD" w:rsidRDefault="0012175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ACB4BB8" w14:textId="77777777" w:rsidR="00121752" w:rsidRPr="00EC7EDD" w:rsidRDefault="0012175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4249210" w14:textId="77777777" w:rsidR="00121752" w:rsidRPr="00EC7EDD" w:rsidRDefault="0012175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A04167B" w14:textId="77777777" w:rsidR="00121752" w:rsidRPr="00EC7EDD" w:rsidRDefault="0012175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9DF15AB" w14:textId="77777777" w:rsidR="00121752" w:rsidRPr="00EC7EDD" w:rsidRDefault="0012175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E4F28AC"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DD82960"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8B80804" w14:textId="77777777" w:rsidR="00121752" w:rsidRPr="00EC7EDD" w:rsidRDefault="0012175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7184784"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97C4010" w14:textId="77777777" w:rsidR="00121752" w:rsidRPr="00EC7EDD" w:rsidRDefault="0012175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EB266A0" w14:textId="77777777" w:rsidR="00121752" w:rsidRPr="00EC7EDD" w:rsidRDefault="0012175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D17E689" w14:textId="77777777" w:rsidR="00121752" w:rsidRPr="00EC7EDD" w:rsidRDefault="0012175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8F3EA84" w14:textId="77777777" w:rsidR="00121752" w:rsidRPr="00EC7EDD" w:rsidRDefault="0012175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0788E24" w14:textId="77777777" w:rsidR="00121752" w:rsidRPr="00EC7EDD" w:rsidRDefault="0012175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7BF1B9CA" w14:textId="77777777" w:rsidR="00121752" w:rsidRPr="00EC7EDD" w:rsidRDefault="0012175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3717BDD"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3A97BF7"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80592CB" w14:textId="77777777" w:rsidR="00121752" w:rsidRPr="00EC7EDD" w:rsidRDefault="0012175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8DD23FA"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6BA0A6F"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A2F0B49"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D0A386"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41E0167"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E28AF53" w14:textId="77777777" w:rsidR="00121752" w:rsidRPr="00EC7EDD" w:rsidRDefault="0012175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9DAD400" w14:textId="77777777" w:rsidR="00121752" w:rsidRPr="00EC7EDD" w:rsidRDefault="0012175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B03DD78"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E53F36C"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5AE643A" w14:textId="77777777" w:rsidR="00121752" w:rsidRPr="00EC7EDD" w:rsidRDefault="0012175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E47F7C9" w14:textId="77777777" w:rsidR="00121752" w:rsidRPr="00EC7EDD" w:rsidRDefault="0012175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9F9B774"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BFFCA63" w14:textId="77777777" w:rsidR="00121752" w:rsidRPr="00EC7EDD" w:rsidRDefault="0012175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F040B5D"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934A8A2" w14:textId="77777777" w:rsidR="00121752" w:rsidRPr="00EC7EDD" w:rsidRDefault="0012175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4360B04" w14:textId="77777777" w:rsidR="00121752" w:rsidRPr="00EC7EDD" w:rsidRDefault="0012175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8519330" w14:textId="77777777" w:rsidR="00121752" w:rsidRPr="00EC7EDD" w:rsidRDefault="0012175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C886025"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6DD3EC3"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0BD9815" w14:textId="77777777" w:rsidR="00121752" w:rsidRPr="00EC7EDD" w:rsidRDefault="0012175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4801DEC" w14:textId="77777777" w:rsidR="00121752" w:rsidRPr="00EC7EDD" w:rsidRDefault="0012175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208945E" w14:textId="77777777" w:rsidR="00121752" w:rsidRPr="00EC7EDD" w:rsidRDefault="0012175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E30B0DF" w14:textId="77777777" w:rsidR="00121752" w:rsidRPr="00EC7EDD" w:rsidRDefault="0012175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CFE49FC" w14:textId="77777777" w:rsidR="00121752" w:rsidRPr="00EC7EDD" w:rsidRDefault="0012175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268FC66" w14:textId="77777777" w:rsidR="00121752" w:rsidRPr="00EC7EDD" w:rsidRDefault="0012175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0A7A334"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A2CED0A" w14:textId="77777777" w:rsidR="00121752" w:rsidRPr="00EC7EDD" w:rsidRDefault="0012175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88E68BB" w14:textId="77777777" w:rsidR="00121752" w:rsidRPr="00EC7EDD" w:rsidRDefault="0012175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A54AE72" w14:textId="77777777" w:rsidR="00121752" w:rsidRPr="00EC7EDD" w:rsidRDefault="0012175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DB4FD18"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35E459A" w14:textId="77777777" w:rsidR="00121752" w:rsidRPr="00EC7EDD" w:rsidRDefault="0012175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2A11484"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89CD12F"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311F1FB"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27D1854" w14:textId="77777777" w:rsidR="00121752" w:rsidRPr="00EC7EDD" w:rsidRDefault="0012175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41B28CE" w14:textId="77777777" w:rsidR="00121752" w:rsidRPr="00EC7EDD" w:rsidRDefault="0012175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0F93BF5" w14:textId="77777777" w:rsidR="00121752" w:rsidRPr="00C84FFA" w:rsidRDefault="0012175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47DE6AA"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D06FE98"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061EA35" w14:textId="77777777" w:rsidR="00121752" w:rsidRPr="00EC7EDD" w:rsidRDefault="0012175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762B6B0" w14:textId="77777777" w:rsidR="00121752" w:rsidRPr="00EC7EDD" w:rsidRDefault="0012175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1076A0F" w14:textId="77777777" w:rsidR="00121752" w:rsidRPr="00EC7EDD" w:rsidRDefault="0012175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47C9F69"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BFC5071" w14:textId="77777777" w:rsidR="00121752" w:rsidRPr="00EC7EDD" w:rsidRDefault="0012175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9A6DBF5"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1514F33"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758217B"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B09503E" w14:textId="77777777" w:rsidR="00121752" w:rsidRPr="00EC7EDD" w:rsidRDefault="0012175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F580501" w14:textId="77777777" w:rsidR="00121752" w:rsidRDefault="0012175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EC4F730" w14:textId="77777777" w:rsidR="00121752" w:rsidRPr="005327D5" w:rsidRDefault="0012175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54BE826" w14:textId="77777777" w:rsidR="00121752" w:rsidRDefault="0012175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C15A916" w14:textId="77777777" w:rsidR="00121752" w:rsidRPr="00F165F7" w:rsidRDefault="0012175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6047C13" w14:textId="77777777" w:rsidR="00121752" w:rsidRPr="00EC7EDD" w:rsidRDefault="0012175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5189886" w14:textId="77777777" w:rsidR="00121752" w:rsidRPr="00EC7EDD" w:rsidRDefault="0012175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BA052A7" w14:textId="77777777" w:rsidR="00121752" w:rsidRPr="00EC7EDD" w:rsidRDefault="0012175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08FA1D0" w14:textId="77777777" w:rsidR="00121752" w:rsidRPr="00EC7EDD" w:rsidRDefault="0012175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13F9DE8" w14:textId="77777777" w:rsidR="00121752" w:rsidRPr="00EC7EDD" w:rsidRDefault="0012175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0996BA2" w14:textId="77777777" w:rsidR="00121752" w:rsidRDefault="00121752" w:rsidP="006C3E38">
      <w:pPr>
        <w:spacing w:after="240"/>
        <w:rPr>
          <w:rFonts w:ascii="Calibri" w:hAnsi="Calibri" w:cs="Calibri"/>
          <w:sz w:val="22"/>
        </w:rPr>
      </w:pPr>
    </w:p>
    <w:p w14:paraId="18C2C89F" w14:textId="77777777" w:rsidR="00121752" w:rsidRPr="00EC7EDD" w:rsidRDefault="0012175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21752" w:rsidRPr="00EC7EDD" w14:paraId="584D42F1" w14:textId="77777777" w:rsidTr="001A2362">
        <w:trPr>
          <w:trHeight w:val="397"/>
          <w:jc w:val="center"/>
        </w:trPr>
        <w:tc>
          <w:tcPr>
            <w:tcW w:w="4395" w:type="dxa"/>
          </w:tcPr>
          <w:p w14:paraId="03974588" w14:textId="77777777" w:rsidR="00121752" w:rsidRPr="00EC7EDD" w:rsidRDefault="0012175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D531B5A" w14:textId="77777777" w:rsidR="00121752" w:rsidRPr="00EC7EDD" w:rsidRDefault="00121752" w:rsidP="001A2362">
            <w:pPr>
              <w:keepNext/>
              <w:spacing w:after="120"/>
              <w:jc w:val="center"/>
              <w:rPr>
                <w:rFonts w:ascii="Calibri" w:hAnsi="Calibri" w:cs="Calibri"/>
                <w:sz w:val="22"/>
                <w:szCs w:val="22"/>
              </w:rPr>
            </w:pPr>
          </w:p>
        </w:tc>
      </w:tr>
      <w:tr w:rsidR="00121752" w:rsidRPr="00EC7EDD" w14:paraId="484AC1EB" w14:textId="77777777" w:rsidTr="001A2362">
        <w:trPr>
          <w:trHeight w:val="1701"/>
          <w:jc w:val="center"/>
        </w:trPr>
        <w:tc>
          <w:tcPr>
            <w:tcW w:w="4395" w:type="dxa"/>
          </w:tcPr>
          <w:p w14:paraId="270E07A5" w14:textId="77777777" w:rsidR="00121752" w:rsidRPr="00EC7EDD" w:rsidRDefault="00121752" w:rsidP="001A2362">
            <w:pPr>
              <w:keepNext/>
              <w:spacing w:after="120"/>
              <w:jc w:val="center"/>
              <w:rPr>
                <w:rFonts w:ascii="Calibri" w:hAnsi="Calibri" w:cs="Calibri"/>
                <w:sz w:val="22"/>
                <w:szCs w:val="22"/>
              </w:rPr>
            </w:pPr>
          </w:p>
        </w:tc>
        <w:tc>
          <w:tcPr>
            <w:tcW w:w="4961" w:type="dxa"/>
          </w:tcPr>
          <w:p w14:paraId="60481497" w14:textId="77777777" w:rsidR="00121752" w:rsidRPr="00EC7EDD" w:rsidRDefault="00121752" w:rsidP="001A2362">
            <w:pPr>
              <w:keepNext/>
              <w:spacing w:after="120"/>
              <w:jc w:val="center"/>
              <w:rPr>
                <w:rFonts w:ascii="Calibri" w:hAnsi="Calibri" w:cs="Calibri"/>
                <w:sz w:val="22"/>
                <w:szCs w:val="22"/>
              </w:rPr>
            </w:pPr>
          </w:p>
        </w:tc>
      </w:tr>
      <w:tr w:rsidR="00121752" w:rsidRPr="00EC7EDD" w14:paraId="3AE87A08" w14:textId="77777777" w:rsidTr="001A2362">
        <w:trPr>
          <w:trHeight w:val="1077"/>
          <w:jc w:val="center"/>
        </w:trPr>
        <w:tc>
          <w:tcPr>
            <w:tcW w:w="4395" w:type="dxa"/>
          </w:tcPr>
          <w:p w14:paraId="76FE1EC6" w14:textId="77777777" w:rsidR="00121752" w:rsidRPr="00EC7EDD" w:rsidRDefault="00121752" w:rsidP="001A2362">
            <w:pPr>
              <w:keepNext/>
              <w:spacing w:after="120"/>
              <w:jc w:val="center"/>
              <w:rPr>
                <w:rFonts w:ascii="Calibri" w:hAnsi="Calibri" w:cs="Calibri"/>
                <w:sz w:val="22"/>
                <w:szCs w:val="22"/>
              </w:rPr>
            </w:pPr>
            <w:r w:rsidRPr="00EC7EDD">
              <w:rPr>
                <w:rFonts w:ascii="Calibri" w:hAnsi="Calibri" w:cs="Calibri"/>
                <w:sz w:val="22"/>
                <w:szCs w:val="22"/>
              </w:rPr>
              <w:t>.......................................................</w:t>
            </w:r>
          </w:p>
          <w:p w14:paraId="0DEF79EF" w14:textId="77777777" w:rsidR="00121752" w:rsidRPr="00B46573" w:rsidRDefault="0012175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7257DCC" w14:textId="77777777" w:rsidR="00121752" w:rsidRPr="00B46573" w:rsidRDefault="00121752" w:rsidP="00362626">
            <w:pPr>
              <w:keepNext/>
              <w:spacing w:after="60"/>
              <w:jc w:val="center"/>
              <w:rPr>
                <w:rFonts w:ascii="Calibri" w:hAnsi="Calibri"/>
                <w:sz w:val="22"/>
                <w:szCs w:val="22"/>
              </w:rPr>
            </w:pPr>
            <w:r w:rsidRPr="001D77C5">
              <w:rPr>
                <w:rFonts w:ascii="Calibri" w:hAnsi="Calibri"/>
                <w:sz w:val="22"/>
                <w:szCs w:val="22"/>
                <w:highlight w:val="black"/>
              </w:rPr>
              <w:t>Mgr. Libuše Podolová</w:t>
            </w:r>
          </w:p>
          <w:p w14:paraId="3457C8E3" w14:textId="77777777" w:rsidR="00121752" w:rsidRPr="00EC7EDD" w:rsidRDefault="0012175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6C274C6" w14:textId="77777777" w:rsidR="00121752" w:rsidRPr="00EC7EDD" w:rsidRDefault="00121752" w:rsidP="001A2362">
            <w:pPr>
              <w:keepNext/>
              <w:spacing w:after="120"/>
              <w:jc w:val="center"/>
              <w:rPr>
                <w:rFonts w:ascii="Calibri" w:hAnsi="Calibri" w:cs="Calibri"/>
                <w:sz w:val="22"/>
                <w:szCs w:val="22"/>
              </w:rPr>
            </w:pPr>
            <w:r w:rsidRPr="00EC7EDD">
              <w:rPr>
                <w:rFonts w:ascii="Calibri" w:hAnsi="Calibri" w:cs="Calibri"/>
                <w:sz w:val="22"/>
                <w:szCs w:val="22"/>
              </w:rPr>
              <w:t>.......................................................</w:t>
            </w:r>
          </w:p>
          <w:p w14:paraId="0D068E46" w14:textId="77777777" w:rsidR="00121752" w:rsidRPr="00B46573" w:rsidRDefault="0012175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F8CCBB3" w14:textId="77777777" w:rsidR="00121752" w:rsidRDefault="00121752" w:rsidP="00C22AB1">
            <w:pPr>
              <w:keepNext/>
              <w:spacing w:after="60"/>
              <w:jc w:val="center"/>
              <w:rPr>
                <w:rFonts w:ascii="Calibri" w:hAnsi="Calibri"/>
                <w:sz w:val="22"/>
                <w:szCs w:val="22"/>
              </w:rPr>
            </w:pPr>
            <w:r w:rsidRPr="001D77C5">
              <w:rPr>
                <w:rFonts w:ascii="Calibri" w:hAnsi="Calibri"/>
                <w:noProof/>
                <w:sz w:val="22"/>
                <w:szCs w:val="22"/>
                <w:highlight w:val="black"/>
              </w:rPr>
              <w:t>RNDr. Jiří Herman, Ph.D.</w:t>
            </w:r>
          </w:p>
          <w:p w14:paraId="676F7BAD" w14:textId="77777777" w:rsidR="00121752" w:rsidRPr="00EC7EDD" w:rsidRDefault="00121752"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39E6B1D" w14:textId="77777777" w:rsidR="00121752" w:rsidRDefault="00121752" w:rsidP="006C3E38">
      <w:pPr>
        <w:spacing w:after="240"/>
        <w:rPr>
          <w:rFonts w:ascii="Verdana" w:hAnsi="Verdana"/>
          <w:sz w:val="20"/>
        </w:rPr>
      </w:pPr>
    </w:p>
    <w:p w14:paraId="6F7FE1B8" w14:textId="77777777" w:rsidR="00121752" w:rsidRPr="00EC7EDD" w:rsidRDefault="0012175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80333CD" w14:textId="77777777" w:rsidR="00121752" w:rsidRPr="00EC7EDD" w:rsidRDefault="0012175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DE6FEF0" w14:textId="77777777" w:rsidR="00121752" w:rsidRPr="00EC7EDD" w:rsidRDefault="00121752" w:rsidP="00D50831">
      <w:pPr>
        <w:pStyle w:val="Stext"/>
        <w:spacing w:before="0" w:after="240" w:line="240" w:lineRule="auto"/>
        <w:rPr>
          <w:rFonts w:ascii="Calibri" w:hAnsi="Calibri" w:cs="Calibri"/>
          <w:kern w:val="28"/>
          <w:sz w:val="22"/>
          <w:szCs w:val="22"/>
          <w:lang w:val="cs-CZ"/>
        </w:rPr>
      </w:pPr>
    </w:p>
    <w:p w14:paraId="31CF1142" w14:textId="77777777" w:rsidR="00121752" w:rsidRDefault="0012175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JM_034</w:t>
      </w:r>
    </w:p>
    <w:p w14:paraId="6FD5E32C" w14:textId="77777777" w:rsidR="00121752" w:rsidRPr="00EC7EDD" w:rsidRDefault="0012175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00559032</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21752" w14:paraId="3448B766" w14:textId="77777777" w:rsidTr="0012175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066B8EC" w14:textId="77777777" w:rsidR="00121752" w:rsidRDefault="0012175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D0D846" w14:textId="77777777" w:rsidR="00121752" w:rsidRDefault="0012175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A05EB86" w14:textId="77777777" w:rsidR="00121752" w:rsidRDefault="0012175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29195F" w14:textId="77777777" w:rsidR="00121752" w:rsidRDefault="0012175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BF12FF" w14:textId="77777777" w:rsidR="00121752" w:rsidRDefault="00121752">
            <w:pPr>
              <w:jc w:val="center"/>
              <w:rPr>
                <w:rFonts w:ascii="Calibri" w:hAnsi="Calibri" w:cs="Calibri"/>
                <w:b/>
                <w:bCs/>
                <w:sz w:val="20"/>
                <w:szCs w:val="20"/>
              </w:rPr>
            </w:pPr>
            <w:r>
              <w:rPr>
                <w:rFonts w:ascii="Calibri" w:hAnsi="Calibri" w:cs="Calibri"/>
                <w:b/>
                <w:bCs/>
                <w:sz w:val="20"/>
                <w:szCs w:val="20"/>
              </w:rPr>
              <w:t>Předpokládaná spotřeba za rok v [MWh]</w:t>
            </w:r>
          </w:p>
        </w:tc>
      </w:tr>
      <w:tr w:rsidR="00121752" w14:paraId="5318F9C8" w14:textId="77777777" w:rsidTr="0012175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4B09A12" w14:textId="77777777" w:rsidR="00121752" w:rsidRDefault="00121752">
            <w:pPr>
              <w:rPr>
                <w:rFonts w:ascii="Calibri" w:hAnsi="Calibri" w:cs="Calibri"/>
                <w:color w:val="000000"/>
                <w:sz w:val="20"/>
                <w:szCs w:val="20"/>
              </w:rPr>
            </w:pPr>
            <w:r>
              <w:rPr>
                <w:rFonts w:ascii="Calibri" w:hAnsi="Calibri" w:cs="Calibri"/>
                <w:color w:val="000000"/>
                <w:sz w:val="20"/>
                <w:szCs w:val="20"/>
              </w:rPr>
              <w:t>třída Kpt. Jaroše 1829/14, 658 70 Brno</w:t>
            </w:r>
          </w:p>
        </w:tc>
        <w:tc>
          <w:tcPr>
            <w:tcW w:w="1059" w:type="pct"/>
            <w:tcBorders>
              <w:top w:val="nil"/>
              <w:left w:val="nil"/>
              <w:bottom w:val="single" w:sz="4" w:space="0" w:color="auto"/>
              <w:right w:val="single" w:sz="4" w:space="0" w:color="auto"/>
            </w:tcBorders>
            <w:shd w:val="clear" w:color="auto" w:fill="auto"/>
            <w:vAlign w:val="center"/>
            <w:hideMark/>
          </w:tcPr>
          <w:p w14:paraId="66139275" w14:textId="77777777" w:rsidR="00121752" w:rsidRDefault="00121752">
            <w:pPr>
              <w:jc w:val="center"/>
              <w:rPr>
                <w:rFonts w:ascii="Calibri" w:hAnsi="Calibri" w:cs="Calibri"/>
                <w:color w:val="000000"/>
                <w:sz w:val="20"/>
                <w:szCs w:val="20"/>
              </w:rPr>
            </w:pPr>
            <w:r>
              <w:rPr>
                <w:rFonts w:ascii="Calibri" w:hAnsi="Calibri" w:cs="Calibri"/>
                <w:color w:val="000000"/>
                <w:sz w:val="20"/>
                <w:szCs w:val="20"/>
              </w:rPr>
              <w:t>859182400200981005</w:t>
            </w:r>
          </w:p>
        </w:tc>
        <w:tc>
          <w:tcPr>
            <w:tcW w:w="501" w:type="pct"/>
            <w:tcBorders>
              <w:top w:val="nil"/>
              <w:left w:val="nil"/>
              <w:bottom w:val="single" w:sz="4" w:space="0" w:color="auto"/>
              <w:right w:val="nil"/>
            </w:tcBorders>
            <w:shd w:val="clear" w:color="auto" w:fill="auto"/>
            <w:noWrap/>
            <w:vAlign w:val="center"/>
            <w:hideMark/>
          </w:tcPr>
          <w:p w14:paraId="17E67E41" w14:textId="77777777" w:rsidR="00121752" w:rsidRDefault="0012175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0863EBC" w14:textId="77777777" w:rsidR="00121752" w:rsidRDefault="0012175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92171D6" w14:textId="77777777" w:rsidR="00121752" w:rsidRDefault="00121752">
            <w:pPr>
              <w:jc w:val="center"/>
              <w:rPr>
                <w:rFonts w:ascii="Calibri" w:hAnsi="Calibri" w:cs="Calibri"/>
                <w:sz w:val="20"/>
                <w:szCs w:val="20"/>
              </w:rPr>
            </w:pPr>
            <w:r>
              <w:rPr>
                <w:rFonts w:ascii="Calibri" w:hAnsi="Calibri" w:cs="Calibri"/>
                <w:sz w:val="20"/>
                <w:szCs w:val="20"/>
              </w:rPr>
              <w:t>121,102</w:t>
            </w:r>
          </w:p>
        </w:tc>
      </w:tr>
      <w:tr w:rsidR="00121752" w14:paraId="1FDEC8F6" w14:textId="77777777" w:rsidTr="0012175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0334733" w14:textId="77777777" w:rsidR="00121752" w:rsidRDefault="00121752">
            <w:pPr>
              <w:rPr>
                <w:rFonts w:ascii="Calibri" w:hAnsi="Calibri" w:cs="Calibri"/>
                <w:color w:val="000000"/>
                <w:sz w:val="20"/>
                <w:szCs w:val="20"/>
              </w:rPr>
            </w:pPr>
            <w:r>
              <w:rPr>
                <w:rFonts w:ascii="Calibri" w:hAnsi="Calibri" w:cs="Calibri"/>
                <w:color w:val="000000"/>
                <w:sz w:val="20"/>
                <w:szCs w:val="20"/>
              </w:rPr>
              <w:t>Příční 123/16, 602 00 Brno</w:t>
            </w:r>
          </w:p>
        </w:tc>
        <w:tc>
          <w:tcPr>
            <w:tcW w:w="1059" w:type="pct"/>
            <w:tcBorders>
              <w:top w:val="nil"/>
              <w:left w:val="nil"/>
              <w:bottom w:val="single" w:sz="4" w:space="0" w:color="auto"/>
              <w:right w:val="single" w:sz="4" w:space="0" w:color="auto"/>
            </w:tcBorders>
            <w:shd w:val="clear" w:color="auto" w:fill="auto"/>
            <w:vAlign w:val="center"/>
            <w:hideMark/>
          </w:tcPr>
          <w:p w14:paraId="4A3F2553" w14:textId="77777777" w:rsidR="00121752" w:rsidRDefault="00121752">
            <w:pPr>
              <w:jc w:val="center"/>
              <w:rPr>
                <w:rFonts w:ascii="Calibri" w:hAnsi="Calibri" w:cs="Calibri"/>
                <w:color w:val="000000"/>
                <w:sz w:val="20"/>
                <w:szCs w:val="20"/>
              </w:rPr>
            </w:pPr>
            <w:r>
              <w:rPr>
                <w:rFonts w:ascii="Calibri" w:hAnsi="Calibri" w:cs="Calibri"/>
                <w:color w:val="000000"/>
                <w:sz w:val="20"/>
                <w:szCs w:val="20"/>
              </w:rPr>
              <w:t>859182400200991844</w:t>
            </w:r>
          </w:p>
        </w:tc>
        <w:tc>
          <w:tcPr>
            <w:tcW w:w="501" w:type="pct"/>
            <w:tcBorders>
              <w:top w:val="nil"/>
              <w:left w:val="nil"/>
              <w:bottom w:val="single" w:sz="4" w:space="0" w:color="auto"/>
              <w:right w:val="nil"/>
            </w:tcBorders>
            <w:shd w:val="clear" w:color="auto" w:fill="auto"/>
            <w:noWrap/>
            <w:vAlign w:val="center"/>
            <w:hideMark/>
          </w:tcPr>
          <w:p w14:paraId="7387CB06" w14:textId="77777777" w:rsidR="00121752" w:rsidRDefault="0012175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B84A6A8" w14:textId="77777777" w:rsidR="00121752" w:rsidRDefault="0012175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AFA5013" w14:textId="77777777" w:rsidR="00121752" w:rsidRDefault="00121752">
            <w:pPr>
              <w:jc w:val="center"/>
              <w:rPr>
                <w:rFonts w:ascii="Calibri" w:hAnsi="Calibri" w:cs="Calibri"/>
                <w:sz w:val="20"/>
                <w:szCs w:val="20"/>
              </w:rPr>
            </w:pPr>
            <w:r>
              <w:rPr>
                <w:rFonts w:ascii="Calibri" w:hAnsi="Calibri" w:cs="Calibri"/>
                <w:sz w:val="20"/>
                <w:szCs w:val="20"/>
              </w:rPr>
              <w:t>35,034</w:t>
            </w:r>
          </w:p>
        </w:tc>
      </w:tr>
    </w:tbl>
    <w:p w14:paraId="7B78F2C9" w14:textId="77777777" w:rsidR="00121752" w:rsidRPr="00EC7EDD" w:rsidRDefault="00121752" w:rsidP="00D50831">
      <w:pPr>
        <w:pStyle w:val="Stext"/>
        <w:spacing w:after="240"/>
        <w:rPr>
          <w:rFonts w:ascii="Calibri" w:hAnsi="Calibri" w:cs="Calibri"/>
          <w:kern w:val="28"/>
          <w:sz w:val="22"/>
          <w:szCs w:val="22"/>
          <w:highlight w:val="yellow"/>
          <w:lang w:val="cs-CZ"/>
        </w:rPr>
      </w:pPr>
    </w:p>
    <w:p w14:paraId="6A07071F" w14:textId="77777777" w:rsidR="00121752" w:rsidRDefault="00121752" w:rsidP="00D50831">
      <w:pPr>
        <w:pStyle w:val="Stext"/>
        <w:spacing w:after="240"/>
        <w:rPr>
          <w:kern w:val="28"/>
          <w:highlight w:val="yellow"/>
          <w:lang w:val="cs-CZ"/>
        </w:rPr>
        <w:sectPr w:rsidR="00121752" w:rsidSect="0012175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AA92514" w14:textId="77777777" w:rsidR="00121752" w:rsidRPr="000B4FBB" w:rsidRDefault="00121752" w:rsidP="00D50831">
      <w:pPr>
        <w:pStyle w:val="Stext"/>
        <w:spacing w:after="240"/>
        <w:rPr>
          <w:kern w:val="28"/>
          <w:highlight w:val="yellow"/>
          <w:lang w:val="cs-CZ"/>
        </w:rPr>
      </w:pPr>
    </w:p>
    <w:sectPr w:rsidR="00121752" w:rsidRPr="000B4FBB" w:rsidSect="0012175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733DB" w14:textId="77777777" w:rsidR="00121752" w:rsidRDefault="00121752">
      <w:r>
        <w:separator/>
      </w:r>
    </w:p>
  </w:endnote>
  <w:endnote w:type="continuationSeparator" w:id="0">
    <w:p w14:paraId="1A5D3E86" w14:textId="77777777" w:rsidR="00121752" w:rsidRDefault="00121752">
      <w:r>
        <w:continuationSeparator/>
      </w:r>
    </w:p>
  </w:endnote>
  <w:endnote w:type="continuationNotice" w:id="1">
    <w:p w14:paraId="1EAFF154" w14:textId="77777777" w:rsidR="00121752" w:rsidRDefault="00121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5C2E3" w14:textId="77777777" w:rsidR="00121752" w:rsidRPr="006536C0" w:rsidRDefault="00121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F121E"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02A90" w14:textId="77777777" w:rsidR="00121752" w:rsidRDefault="00121752">
      <w:r>
        <w:separator/>
      </w:r>
    </w:p>
  </w:footnote>
  <w:footnote w:type="continuationSeparator" w:id="0">
    <w:p w14:paraId="6A1D871A" w14:textId="77777777" w:rsidR="00121752" w:rsidRDefault="00121752">
      <w:r>
        <w:continuationSeparator/>
      </w:r>
    </w:p>
  </w:footnote>
  <w:footnote w:type="continuationNotice" w:id="1">
    <w:p w14:paraId="46BF7D65" w14:textId="77777777" w:rsidR="00121752" w:rsidRDefault="00121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710F3" w14:textId="77777777" w:rsidR="00121752" w:rsidRDefault="00121752">
    <w:pPr>
      <w:framePr w:wrap="around" w:vAnchor="text" w:hAnchor="margin" w:xAlign="center" w:y="1"/>
    </w:pPr>
    <w:r>
      <w:fldChar w:fldCharType="begin"/>
    </w:r>
    <w:r>
      <w:instrText xml:space="preserve">PAGE  </w:instrText>
    </w:r>
    <w:r>
      <w:fldChar w:fldCharType="separate"/>
    </w:r>
    <w:r>
      <w:rPr>
        <w:noProof/>
      </w:rPr>
      <w:t>1</w:t>
    </w:r>
    <w:r>
      <w:fldChar w:fldCharType="end"/>
    </w:r>
  </w:p>
  <w:p w14:paraId="1B71DB9F" w14:textId="77777777" w:rsidR="00121752" w:rsidRDefault="00121752"/>
  <w:p w14:paraId="7A033614" w14:textId="77777777" w:rsidR="00121752" w:rsidRDefault="00121752"/>
  <w:p w14:paraId="683EA85E" w14:textId="77777777" w:rsidR="00121752" w:rsidRDefault="00121752"/>
  <w:p w14:paraId="46CE1390" w14:textId="77777777" w:rsidR="00121752" w:rsidRDefault="00121752"/>
  <w:p w14:paraId="6AD146FD" w14:textId="77777777" w:rsidR="00121752" w:rsidRDefault="00121752"/>
  <w:p w14:paraId="799D4347" w14:textId="77777777" w:rsidR="00121752" w:rsidRDefault="001217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06FD" w14:textId="77777777" w:rsidR="00121752" w:rsidRDefault="001217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A8248"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4444FF1D" w14:textId="77777777" w:rsidR="00CB69A8" w:rsidRDefault="00CB69A8"/>
  <w:p w14:paraId="25FBD839" w14:textId="77777777" w:rsidR="00CB69A8" w:rsidRDefault="00CB69A8"/>
  <w:p w14:paraId="49A2D0A2" w14:textId="77777777" w:rsidR="00CB69A8" w:rsidRDefault="00CB69A8"/>
  <w:p w14:paraId="062AAD19" w14:textId="77777777" w:rsidR="00CB69A8" w:rsidRDefault="00CB69A8"/>
  <w:p w14:paraId="2E3F4E2F" w14:textId="77777777" w:rsidR="00CB69A8" w:rsidRDefault="00CB69A8"/>
  <w:p w14:paraId="4DA71A18"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647E"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21752"/>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D77C5"/>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5162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393434343">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4674</Words>
  <Characters>28621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2020-12-16T14:39:00Z</dcterms:created>
  <dcterms:modified xsi:type="dcterms:W3CDTF">2020-12-16T14:39:00Z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