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Objednatel: </w:t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Základní škola</w:t>
      </w:r>
      <w:r w:rsidDel="00000000" w:rsidR="00000000" w:rsidRPr="00000000">
        <w:rPr>
          <w:b w:val="1"/>
          <w:color w:val="101000"/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Praha 10, Brigádníků 14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/</w:t>
      </w:r>
      <w:r w:rsidDel="00000000" w:rsidR="00000000" w:rsidRPr="00000000">
        <w:rPr>
          <w:b w:val="1"/>
          <w:sz w:val="22"/>
          <w:szCs w:val="22"/>
          <w:rtl w:val="0"/>
        </w:rPr>
        <w:t xml:space="preserve">510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Br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i</w:t>
      </w:r>
      <w:r w:rsidDel="00000000" w:rsidR="00000000" w:rsidRPr="00000000">
        <w:rPr>
          <w:sz w:val="22"/>
          <w:szCs w:val="22"/>
          <w:rtl w:val="0"/>
        </w:rPr>
        <w:t xml:space="preserve">gádníků 510</w:t>
      </w:r>
      <w:r w:rsidDel="00000000" w:rsidR="00000000" w:rsidRPr="00000000">
        <w:rPr>
          <w:i w:val="1"/>
          <w:color w:val="040400"/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rtl w:val="0"/>
        </w:rPr>
        <w:t xml:space="preserve">14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10000 Praha 10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color w:val="202000"/>
          <w:sz w:val="22"/>
          <w:szCs w:val="22"/>
          <w:rtl w:val="0"/>
        </w:rPr>
        <w:t xml:space="preserve">Czech </w:t>
      </w:r>
      <w:r w:rsidDel="00000000" w:rsidR="00000000" w:rsidRPr="00000000">
        <w:rPr>
          <w:sz w:val="22"/>
          <w:szCs w:val="22"/>
          <w:rtl w:val="0"/>
        </w:rPr>
        <w:t xml:space="preserve">Republic</w:t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IČO: 47611898</w:t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DIČ: CZ47611898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Dodavatel:</w:t>
        <w:br w:type="textWrapping"/>
        <w:br w:type="textWrapping"/>
        <w:t xml:space="preserve">MY DVA corporation s.r.o. 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Osadní 1053</w:t>
      </w:r>
      <w:r w:rsidDel="00000000" w:rsidR="00000000" w:rsidRPr="00000000">
        <w:rPr>
          <w:i w:val="1"/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rtl w:val="0"/>
        </w:rPr>
        <w:t xml:space="preserve">28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170 00 Praha 7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 274602 vedená u Městského soudu v Praze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IČO: 06013902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DIČ: CZ06013902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Objednávka č. 70P191634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ab/>
        <w:t xml:space="preserve">              </w:t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V Praze dne 1.11. 2019</w:t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 základě předešlé cenové poptávky u Vás objednáváme následující: </w:t>
      </w:r>
    </w:p>
    <w:p w:rsidR="00000000" w:rsidDel="00000000" w:rsidP="00000000" w:rsidRDefault="00000000" w:rsidRPr="00000000" w14:paraId="0000001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název položky / množství / jednotková cena bez DPH</w:t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BTTS16</w:t>
      </w:r>
      <w:r w:rsidDel="00000000" w:rsidR="00000000" w:rsidRPr="00000000">
        <w:rPr>
          <w:sz w:val="22"/>
          <w:szCs w:val="22"/>
          <w:rtl w:val="0"/>
        </w:rPr>
        <w:t xml:space="preserve">0</w:t>
      </w:r>
      <w:r w:rsidDel="00000000" w:rsidR="00000000" w:rsidRPr="00000000">
        <w:rPr>
          <w:sz w:val="22"/>
          <w:szCs w:val="22"/>
          <w:rtl w:val="0"/>
        </w:rPr>
        <w:t xml:space="preserve">86 Stůl konferenční lichoběžníkový, kat. S / 11 ks / á 2.986,75 Kč</w:t>
      </w:r>
    </w:p>
    <w:p w:rsidR="00000000" w:rsidDel="00000000" w:rsidP="00000000" w:rsidRDefault="00000000" w:rsidRPr="00000000" w14:paraId="00000017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JIV-ZSB-01 Taburetka na kolečkách / 19 ks / á 2.303,00 Kč</w:t>
      </w:r>
    </w:p>
    <w:p w:rsidR="00000000" w:rsidDel="00000000" w:rsidP="00000000" w:rsidRDefault="00000000" w:rsidRPr="00000000" w14:paraId="00000018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FCDG5823 Skříňka kombinovaná / 4 ks / á 8.592,00 Kč</w:t>
      </w:r>
    </w:p>
    <w:p w:rsidR="00000000" w:rsidDel="00000000" w:rsidP="00000000" w:rsidRDefault="00000000" w:rsidRPr="00000000" w14:paraId="00000019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FCO58 Skříňka otevřená / 1ks / á 3.153,00 Kč</w:t>
      </w:r>
    </w:p>
    <w:p w:rsidR="00000000" w:rsidDel="00000000" w:rsidP="00000000" w:rsidRDefault="00000000" w:rsidRPr="00000000" w14:paraId="0000001A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LABF02 Katedra s uzamykatelnou skříňkou / 1ks / á 6.666,00 Kč</w:t>
      </w:r>
    </w:p>
    <w:p w:rsidR="00000000" w:rsidDel="00000000" w:rsidP="00000000" w:rsidRDefault="00000000" w:rsidRPr="00000000" w14:paraId="0000001B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LABA07 Větrací mřížka v zádech skříňky / 1ks / á 194,25 Kč</w:t>
      </w:r>
    </w:p>
    <w:p w:rsidR="00000000" w:rsidDel="00000000" w:rsidP="00000000" w:rsidRDefault="00000000" w:rsidRPr="00000000" w14:paraId="0000001C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XSCH01 Skříň na chemikálie / 1ks / á 6.706,50 Kč</w:t>
      </w:r>
    </w:p>
    <w:p w:rsidR="00000000" w:rsidDel="00000000" w:rsidP="00000000" w:rsidRDefault="00000000" w:rsidRPr="00000000" w14:paraId="0000001D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Doprava / 1ks / á 5.000,00 Kč</w:t>
      </w:r>
    </w:p>
    <w:p w:rsidR="00000000" w:rsidDel="00000000" w:rsidP="00000000" w:rsidRDefault="00000000" w:rsidRPr="00000000" w14:paraId="0000001E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Montáž / 1ks / á 3.000,00 Kč</w:t>
      </w:r>
    </w:p>
    <w:p w:rsidR="00000000" w:rsidDel="00000000" w:rsidP="00000000" w:rsidRDefault="00000000" w:rsidRPr="00000000" w14:paraId="0000001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Zakázka je v celkové hodnotě </w:t>
      </w:r>
      <w:r w:rsidDel="00000000" w:rsidR="00000000" w:rsidRPr="00000000">
        <w:rPr>
          <w:b w:val="1"/>
          <w:sz w:val="22"/>
          <w:szCs w:val="22"/>
          <w:rtl w:val="0"/>
        </w:rPr>
        <w:t xml:space="preserve">164.195,79 Kč</w:t>
      </w:r>
      <w:r w:rsidDel="00000000" w:rsidR="00000000" w:rsidRPr="00000000">
        <w:rPr>
          <w:sz w:val="22"/>
          <w:szCs w:val="22"/>
          <w:rtl w:val="0"/>
        </w:rPr>
        <w:t xml:space="preserve"> včetně DPH. </w:t>
      </w:r>
    </w:p>
    <w:p w:rsidR="00000000" w:rsidDel="00000000" w:rsidP="00000000" w:rsidRDefault="00000000" w:rsidRPr="00000000" w14:paraId="0000002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5040"/>
        </w:tabs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Poskytnutá dodávka je pro potřeby projektu CZ.07.4.67/0.0/0.0/17_054/0001141</w:t>
      </w:r>
    </w:p>
    <w:p w:rsidR="00000000" w:rsidDel="00000000" w:rsidP="00000000" w:rsidRDefault="00000000" w:rsidRPr="00000000" w14:paraId="00000023">
      <w:pPr>
        <w:tabs>
          <w:tab w:val="left" w:pos="5040"/>
        </w:tabs>
        <w:jc w:val="both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s názvem „Zábava s přírodou“. </w:t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5040"/>
        </w:tabs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Dodavatel bere na vědomí, že zakázka je spolufinancovaná ze zdrojů Evropského sociálního fondu a Státního rozpočtu ČR, a zavazuje se respektovat stanovená nařízení operačního programu OPPPR. Dodavatel se zavazuje umožnit všem subjektům oprávněným k výkonu kontroly projektu, z jehož prostředků je dodávka hrazena, provést kontrolu dokladů souvisejících s plněním zakázky, a to po dobu danou právními předpisy ČR k jejich archivaci (zákon o účetnictví č. 563/1991 Sb. v platném znění, a zákon o dani z přidané hodnoty č. 235/2004 Sb. v platném znění). Veškeré originály smluv, účetních dokladů a dalších dokumentů souvisejících s realizací této zakázky budou uchovávány do roku 2035, pokud český právní řád nestanoví lhůtu delší. Tyto dokumenty a účetní záznamy budou uchovávány způsobem uvedeným v zákoně č. 563/1991 Sb. o účetnictví, ve znění pozdějších předpisů a v zákoně č. 499/2004 Sb. o archivní a spisové službě a o změně některých zákonů ve znění pozdějších předpisů, a souladu s dalšími platnými právními předpisy ČR.</w:t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Za školu: </w:t>
        <w:tab/>
        <w:tab/>
        <w:tab/>
        <w:tab/>
        <w:t xml:space="preserve">Razítko a podpis dodavatele: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283620</wp:posOffset>
            </wp:positionV>
            <wp:extent cx="3383813" cy="964155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3813" cy="964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4343400</wp:posOffset>
            </wp:positionH>
            <wp:positionV relativeFrom="paragraph">
              <wp:posOffset>365775</wp:posOffset>
            </wp:positionV>
            <wp:extent cx="609600" cy="609600"/>
            <wp:effectExtent b="0" l="0" r="0" t="0"/>
            <wp:wrapSquare wrapText="bothSides" distB="0" distT="0" distL="114300" distR="114300"/>
            <wp:docPr descr="Praha_cb" id="2" name="image2.png"/>
            <a:graphic>
              <a:graphicData uri="http://schemas.openxmlformats.org/drawingml/2006/picture">
                <pic:pic>
                  <pic:nvPicPr>
                    <pic:cNvPr descr="Praha_cb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8" w:type="default"/>
      <w:pgSz w:h="16840" w:w="11900" w:orient="portrait"/>
      <w:pgMar w:bottom="1676.574803149607" w:top="425.1968503937008" w:left="708.6614173228347" w:right="708.54330708661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