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3AEE4CDB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D3122C">
        <w:rPr>
          <w:rFonts w:ascii="Arial" w:hAnsi="Arial" w:cs="Arial"/>
          <w:sz w:val="22"/>
          <w:szCs w:val="22"/>
        </w:rPr>
        <w:t>416347</w:t>
      </w:r>
      <w:r w:rsidRPr="005B2F8B">
        <w:rPr>
          <w:rFonts w:ascii="Arial" w:hAnsi="Arial" w:cs="Arial"/>
          <w:sz w:val="22"/>
          <w:szCs w:val="22"/>
        </w:rPr>
        <w:t>/</w:t>
      </w:r>
      <w:r w:rsidR="00D3122C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D3ECB">
        <w:rPr>
          <w:rFonts w:ascii="Arial" w:hAnsi="Arial" w:cs="Arial"/>
          <w:sz w:val="22"/>
          <w:szCs w:val="22"/>
        </w:rPr>
        <w:t>11a</w:t>
      </w:r>
      <w:proofErr w:type="gramEnd"/>
      <w:r w:rsidRPr="009D3ECB">
        <w:rPr>
          <w:rFonts w:ascii="Arial" w:hAnsi="Arial" w:cs="Arial"/>
          <w:sz w:val="22"/>
          <w:szCs w:val="22"/>
        </w:rPr>
        <w:t>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7F7A7A4" w14:textId="62013E19" w:rsidR="00553121" w:rsidRDefault="0027581B" w:rsidP="0055312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64B822F7" w14:textId="77777777" w:rsidR="00D3122C" w:rsidRPr="00553121" w:rsidRDefault="00D3122C" w:rsidP="0055312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5095A7C" w14:textId="0EAC9C5C" w:rsidR="00B8734E" w:rsidRPr="00757C4B" w:rsidRDefault="0011061A" w:rsidP="00B8734E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Pavel Hons</w:t>
      </w:r>
    </w:p>
    <w:p w14:paraId="00012C46" w14:textId="5C7FA176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proofErr w:type="spellStart"/>
      <w:r w:rsidR="00E17969">
        <w:rPr>
          <w:rFonts w:ascii="Arial" w:hAnsi="Arial" w:cs="Arial"/>
          <w:bCs/>
          <w:sz w:val="22"/>
        </w:rPr>
        <w:t>xxxxxxxxxxx</w:t>
      </w:r>
      <w:proofErr w:type="spellEnd"/>
      <w:r w:rsidR="00E17969">
        <w:rPr>
          <w:rFonts w:ascii="Arial" w:hAnsi="Arial" w:cs="Arial"/>
          <w:bCs/>
          <w:sz w:val="22"/>
        </w:rPr>
        <w:t>,</w:t>
      </w:r>
      <w:r w:rsidR="0011061A">
        <w:rPr>
          <w:rFonts w:ascii="Arial" w:hAnsi="Arial" w:cs="Arial"/>
          <w:bCs/>
          <w:sz w:val="22"/>
        </w:rPr>
        <w:t xml:space="preserve"> 106 00 Praha 10</w:t>
      </w:r>
    </w:p>
    <w:p w14:paraId="348D3DD5" w14:textId="0BE2F1C2" w:rsidR="009D7010" w:rsidRPr="00757C4B" w:rsidRDefault="009D7010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proofErr w:type="spellStart"/>
      <w:r w:rsidR="00E17969">
        <w:rPr>
          <w:rFonts w:ascii="Arial" w:hAnsi="Arial" w:cs="Arial"/>
          <w:bCs/>
          <w:sz w:val="22"/>
        </w:rPr>
        <w:t>xxxxxxxx</w:t>
      </w:r>
      <w:proofErr w:type="spellEnd"/>
    </w:p>
    <w:p w14:paraId="32C61B4D" w14:textId="28925643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 xml:space="preserve">: </w:t>
      </w:r>
      <w:r w:rsidR="0011061A">
        <w:rPr>
          <w:rFonts w:ascii="Arial" w:hAnsi="Arial" w:cs="Arial"/>
          <w:bCs/>
          <w:sz w:val="22"/>
        </w:rPr>
        <w:t>48553697</w:t>
      </w:r>
    </w:p>
    <w:p w14:paraId="4070B573" w14:textId="04F2F1D8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Pr="00757C4B">
        <w:rPr>
          <w:rFonts w:ascii="Arial" w:hAnsi="Arial" w:cs="Arial"/>
          <w:bCs/>
          <w:sz w:val="22"/>
        </w:rPr>
        <w:t>CZ</w:t>
      </w:r>
      <w:r w:rsidR="00E17969">
        <w:rPr>
          <w:rFonts w:ascii="Arial" w:hAnsi="Arial" w:cs="Arial"/>
          <w:bCs/>
          <w:sz w:val="22"/>
        </w:rPr>
        <w:t>xxxxxxxxx</w:t>
      </w:r>
      <w:proofErr w:type="spellEnd"/>
    </w:p>
    <w:p w14:paraId="274242B3" w14:textId="77AC4DD8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E17969">
        <w:rPr>
          <w:rFonts w:ascii="Arial" w:hAnsi="Arial" w:cs="Arial"/>
          <w:bCs/>
          <w:sz w:val="22"/>
        </w:rPr>
        <w:t>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13167F5B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</w:t>
      </w:r>
      <w:r w:rsidR="009D7010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3F47592F" w:rsidR="00EB70FC" w:rsidRPr="007D02C2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11061A">
        <w:rPr>
          <w:rFonts w:ascii="Arial" w:hAnsi="Arial" w:cs="Arial"/>
          <w:bCs w:val="0"/>
          <w:sz w:val="22"/>
          <w:szCs w:val="22"/>
        </w:rPr>
        <w:t>3AA 1107</w:t>
      </w:r>
      <w:r w:rsidRPr="00B846E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B846E2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B846E2">
        <w:rPr>
          <w:rFonts w:ascii="Arial" w:hAnsi="Arial" w:cs="Arial"/>
          <w:b w:val="0"/>
          <w:sz w:val="22"/>
          <w:szCs w:val="22"/>
        </w:rPr>
        <w:t xml:space="preserve">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11061A">
        <w:rPr>
          <w:rFonts w:ascii="Arial" w:hAnsi="Arial" w:cs="Arial"/>
          <w:b w:val="0"/>
          <w:sz w:val="22"/>
          <w:szCs w:val="22"/>
        </w:rPr>
        <w:t>14369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57C4B" w:rsidRPr="00B846E2">
        <w:rPr>
          <w:rFonts w:ascii="Arial" w:hAnsi="Arial" w:cs="Arial"/>
          <w:b w:val="0"/>
          <w:sz w:val="22"/>
          <w:szCs w:val="22"/>
        </w:rPr>
        <w:t>TMB</w:t>
      </w:r>
      <w:r w:rsidR="00ED1957">
        <w:rPr>
          <w:rFonts w:ascii="Arial" w:hAnsi="Arial" w:cs="Arial"/>
          <w:b w:val="0"/>
          <w:sz w:val="22"/>
          <w:szCs w:val="22"/>
        </w:rPr>
        <w:t>BH</w:t>
      </w:r>
      <w:r w:rsidR="00FA3F90">
        <w:rPr>
          <w:rFonts w:ascii="Arial" w:hAnsi="Arial" w:cs="Arial"/>
          <w:b w:val="0"/>
          <w:sz w:val="22"/>
          <w:szCs w:val="22"/>
        </w:rPr>
        <w:t>25J</w:t>
      </w:r>
      <w:r w:rsidR="0011061A">
        <w:rPr>
          <w:rFonts w:ascii="Arial" w:hAnsi="Arial" w:cs="Arial"/>
          <w:b w:val="0"/>
          <w:sz w:val="22"/>
          <w:szCs w:val="22"/>
        </w:rPr>
        <w:t>593082687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</w:t>
      </w:r>
      <w:r w:rsidR="00FA3F90">
        <w:rPr>
          <w:rFonts w:ascii="Arial" w:hAnsi="Arial" w:cs="Arial"/>
          <w:b w:val="0"/>
          <w:sz w:val="22"/>
          <w:szCs w:val="22"/>
        </w:rPr>
        <w:t>8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FA3F90">
        <w:rPr>
          <w:rFonts w:ascii="Arial" w:hAnsi="Arial" w:cs="Arial"/>
          <w:b w:val="0"/>
          <w:sz w:val="22"/>
          <w:szCs w:val="22"/>
        </w:rPr>
        <w:t>modrá</w:t>
      </w:r>
      <w:r w:rsidR="00757C4B" w:rsidRPr="00B846E2">
        <w:rPr>
          <w:rFonts w:ascii="Arial" w:hAnsi="Arial" w:cs="Arial"/>
          <w:b w:val="0"/>
          <w:sz w:val="22"/>
          <w:szCs w:val="22"/>
        </w:rPr>
        <w:t xml:space="preserve"> základní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13C9F" w:rsidRPr="00B846E2">
        <w:rPr>
          <w:rFonts w:ascii="Arial" w:hAnsi="Arial" w:cs="Arial"/>
          <w:b w:val="0"/>
          <w:sz w:val="22"/>
          <w:szCs w:val="22"/>
        </w:rPr>
        <w:t>U</w:t>
      </w:r>
      <w:r w:rsidR="00FA3F90">
        <w:rPr>
          <w:rFonts w:ascii="Arial" w:hAnsi="Arial" w:cs="Arial"/>
          <w:b w:val="0"/>
          <w:sz w:val="22"/>
          <w:szCs w:val="22"/>
        </w:rPr>
        <w:t>D</w:t>
      </w:r>
      <w:r w:rsidR="0011061A">
        <w:rPr>
          <w:rFonts w:ascii="Arial" w:hAnsi="Arial" w:cs="Arial"/>
          <w:b w:val="0"/>
          <w:sz w:val="22"/>
          <w:szCs w:val="22"/>
        </w:rPr>
        <w:t>004977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11061A">
        <w:rPr>
          <w:rFonts w:ascii="Arial" w:hAnsi="Arial" w:cs="Arial"/>
          <w:b w:val="0"/>
          <w:sz w:val="22"/>
          <w:szCs w:val="22"/>
        </w:rPr>
        <w:t xml:space="preserve">203 608 </w:t>
      </w:r>
      <w:r w:rsidRPr="00B846E2">
        <w:rPr>
          <w:rFonts w:ascii="Arial" w:hAnsi="Arial" w:cs="Arial"/>
          <w:b w:val="0"/>
          <w:sz w:val="22"/>
          <w:szCs w:val="22"/>
        </w:rPr>
        <w:t>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B846E2">
        <w:rPr>
          <w:rFonts w:ascii="Arial" w:hAnsi="Arial" w:cs="Arial"/>
          <w:b w:val="0"/>
          <w:sz w:val="22"/>
          <w:szCs w:val="22"/>
        </w:rPr>
        <w:t>2</w:t>
      </w:r>
      <w:r w:rsidRPr="00B846E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>příslušenství:</w:t>
      </w:r>
      <w:r w:rsidR="00423A27">
        <w:rPr>
          <w:rFonts w:ascii="Arial" w:hAnsi="Arial" w:cs="Arial"/>
          <w:b w:val="0"/>
          <w:sz w:val="22"/>
          <w:szCs w:val="22"/>
        </w:rPr>
        <w:t xml:space="preserve"> </w:t>
      </w:r>
      <w:r w:rsidR="00757C4B">
        <w:rPr>
          <w:rFonts w:ascii="Arial" w:hAnsi="Arial" w:cs="Arial"/>
          <w:b w:val="0"/>
          <w:sz w:val="22"/>
          <w:szCs w:val="22"/>
        </w:rPr>
        <w:t>sada letních pneumatik</w:t>
      </w:r>
      <w:r w:rsidR="00FA3F90">
        <w:rPr>
          <w:rFonts w:ascii="Arial" w:hAnsi="Arial" w:cs="Arial"/>
          <w:b w:val="0"/>
          <w:sz w:val="22"/>
          <w:szCs w:val="22"/>
        </w:rPr>
        <w:t xml:space="preserve"> s disky</w:t>
      </w:r>
      <w:r w:rsidR="00757C4B">
        <w:rPr>
          <w:rFonts w:ascii="Arial" w:hAnsi="Arial" w:cs="Arial"/>
          <w:b w:val="0"/>
          <w:sz w:val="22"/>
          <w:szCs w:val="22"/>
        </w:rPr>
        <w:t xml:space="preserve"> </w:t>
      </w:r>
      <w:r w:rsidR="00423A27">
        <w:rPr>
          <w:rFonts w:ascii="Arial" w:hAnsi="Arial" w:cs="Arial"/>
          <w:b w:val="0"/>
          <w:sz w:val="22"/>
          <w:szCs w:val="22"/>
        </w:rPr>
        <w:t>4x</w:t>
      </w:r>
      <w:r w:rsidR="00757C4B">
        <w:rPr>
          <w:rFonts w:ascii="Arial" w:hAnsi="Arial" w:cs="Arial"/>
          <w:b w:val="0"/>
          <w:sz w:val="22"/>
          <w:szCs w:val="22"/>
        </w:rPr>
        <w:t xml:space="preserve">, </w:t>
      </w:r>
      <w:r w:rsidR="00FA3F90">
        <w:rPr>
          <w:rFonts w:ascii="Arial" w:hAnsi="Arial" w:cs="Arial"/>
          <w:b w:val="0"/>
          <w:sz w:val="22"/>
          <w:szCs w:val="22"/>
        </w:rPr>
        <w:t xml:space="preserve">servisní knížka, </w:t>
      </w:r>
      <w:r w:rsidR="0011061A">
        <w:rPr>
          <w:rFonts w:ascii="Arial" w:hAnsi="Arial" w:cs="Arial"/>
          <w:b w:val="0"/>
          <w:sz w:val="22"/>
          <w:szCs w:val="22"/>
        </w:rPr>
        <w:t xml:space="preserve">návod k obsluze, </w:t>
      </w:r>
      <w:r w:rsidR="00B846E2">
        <w:rPr>
          <w:rFonts w:ascii="Arial" w:hAnsi="Arial" w:cs="Arial"/>
          <w:b w:val="0"/>
          <w:sz w:val="22"/>
          <w:szCs w:val="22"/>
        </w:rPr>
        <w:t>malý i velký TP, povinná výbava, gumové koberečky,</w:t>
      </w:r>
      <w:r w:rsidR="00423A27">
        <w:rPr>
          <w:rFonts w:ascii="Arial" w:hAnsi="Arial" w:cs="Arial"/>
          <w:b w:val="0"/>
          <w:sz w:val="22"/>
          <w:szCs w:val="22"/>
        </w:rPr>
        <w:t xml:space="preserve"> zabudované autorádio, centrální zamykání</w:t>
      </w:r>
      <w:r w:rsidR="00FA3F90">
        <w:rPr>
          <w:rFonts w:ascii="Arial" w:hAnsi="Arial" w:cs="Arial"/>
          <w:b w:val="0"/>
          <w:sz w:val="22"/>
          <w:szCs w:val="22"/>
        </w:rPr>
        <w:t xml:space="preserve">, </w:t>
      </w:r>
      <w:r w:rsidR="00D2436A">
        <w:rPr>
          <w:rFonts w:ascii="Arial" w:hAnsi="Arial" w:cs="Arial"/>
          <w:b w:val="0"/>
          <w:sz w:val="22"/>
          <w:szCs w:val="22"/>
        </w:rPr>
        <w:t>el. ovládání předních okýnek, rezerva, disk kola</w:t>
      </w:r>
      <w:r w:rsidR="00553121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55312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553121">
        <w:rPr>
          <w:rFonts w:ascii="Arial" w:hAnsi="Arial" w:cs="Arial"/>
          <w:b w:val="0"/>
          <w:sz w:val="22"/>
          <w:szCs w:val="22"/>
        </w:rPr>
        <w:t>. č. D000062557)</w:t>
      </w:r>
      <w:r w:rsidR="00D2436A">
        <w:rPr>
          <w:rFonts w:ascii="Arial" w:hAnsi="Arial" w:cs="Arial"/>
          <w:b w:val="0"/>
          <w:sz w:val="22"/>
          <w:szCs w:val="22"/>
        </w:rPr>
        <w:t>,</w:t>
      </w:r>
      <w:r w:rsidR="00553121">
        <w:rPr>
          <w:rFonts w:ascii="Arial" w:hAnsi="Arial" w:cs="Arial"/>
          <w:b w:val="0"/>
          <w:sz w:val="22"/>
          <w:szCs w:val="22"/>
        </w:rPr>
        <w:t xml:space="preserve"> </w:t>
      </w:r>
      <w:r w:rsidR="00D2436A">
        <w:rPr>
          <w:rFonts w:ascii="Arial" w:hAnsi="Arial" w:cs="Arial"/>
          <w:b w:val="0"/>
          <w:sz w:val="22"/>
          <w:szCs w:val="22"/>
        </w:rPr>
        <w:t>kolo kompletní</w:t>
      </w:r>
      <w:r w:rsidR="00553121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r w:rsidR="0055312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553121">
        <w:rPr>
          <w:rFonts w:ascii="Arial" w:hAnsi="Arial" w:cs="Arial"/>
          <w:b w:val="0"/>
          <w:sz w:val="22"/>
          <w:szCs w:val="22"/>
        </w:rPr>
        <w:t>. č. D000062558)</w:t>
      </w:r>
      <w:r w:rsidR="00D2436A">
        <w:rPr>
          <w:rFonts w:ascii="Arial" w:hAnsi="Arial" w:cs="Arial"/>
          <w:b w:val="0"/>
          <w:sz w:val="22"/>
          <w:szCs w:val="22"/>
        </w:rPr>
        <w:t>,</w:t>
      </w:r>
      <w:r w:rsidR="00553121">
        <w:rPr>
          <w:rFonts w:ascii="Arial" w:hAnsi="Arial" w:cs="Arial"/>
          <w:b w:val="0"/>
          <w:sz w:val="22"/>
          <w:szCs w:val="22"/>
        </w:rPr>
        <w:t xml:space="preserve"> kolo kompletní (</w:t>
      </w:r>
      <w:proofErr w:type="spellStart"/>
      <w:r w:rsidR="0055312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553121">
        <w:rPr>
          <w:rFonts w:ascii="Arial" w:hAnsi="Arial" w:cs="Arial"/>
          <w:b w:val="0"/>
          <w:sz w:val="22"/>
          <w:szCs w:val="22"/>
        </w:rPr>
        <w:t xml:space="preserve"> .č. D000062559), kolo kompletní (</w:t>
      </w:r>
      <w:proofErr w:type="spellStart"/>
      <w:r w:rsidR="00553121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553121">
        <w:rPr>
          <w:rFonts w:ascii="Arial" w:hAnsi="Arial" w:cs="Arial"/>
          <w:b w:val="0"/>
          <w:sz w:val="22"/>
          <w:szCs w:val="22"/>
        </w:rPr>
        <w:t>. č. D000062560),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26A8E2C5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D2436A">
        <w:rPr>
          <w:rFonts w:ascii="Arial" w:hAnsi="Arial" w:cs="Arial"/>
          <w:b/>
          <w:bCs/>
          <w:sz w:val="22"/>
          <w:szCs w:val="22"/>
        </w:rPr>
        <w:t>48</w:t>
      </w:r>
      <w:r w:rsidR="00B846E2" w:rsidRPr="00B846E2">
        <w:rPr>
          <w:rFonts w:ascii="Arial" w:hAnsi="Arial" w:cs="Arial"/>
          <w:b/>
          <w:bCs/>
          <w:sz w:val="22"/>
          <w:szCs w:val="22"/>
        </w:rPr>
        <w:t>.500</w:t>
      </w:r>
      <w:r w:rsidR="00553121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2436A">
        <w:rPr>
          <w:rFonts w:ascii="Arial" w:hAnsi="Arial" w:cs="Arial"/>
          <w:sz w:val="22"/>
          <w:szCs w:val="22"/>
        </w:rPr>
        <w:t>čtyřice</w:t>
      </w:r>
      <w:r w:rsidR="00ED1957">
        <w:rPr>
          <w:rFonts w:ascii="Arial" w:hAnsi="Arial" w:cs="Arial"/>
          <w:sz w:val="22"/>
          <w:szCs w:val="22"/>
        </w:rPr>
        <w:t>t</w:t>
      </w:r>
      <w:r w:rsidR="00D2436A">
        <w:rPr>
          <w:rFonts w:ascii="Arial" w:hAnsi="Arial" w:cs="Arial"/>
          <w:sz w:val="22"/>
          <w:szCs w:val="22"/>
        </w:rPr>
        <w:t>osm</w:t>
      </w:r>
      <w:r w:rsidR="00B846E2" w:rsidRPr="00B846E2">
        <w:rPr>
          <w:rFonts w:ascii="Arial" w:hAnsi="Arial" w:cs="Arial"/>
          <w:sz w:val="22"/>
          <w:szCs w:val="22"/>
        </w:rPr>
        <w:t>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</w:t>
      </w:r>
      <w:proofErr w:type="spellEnd"/>
      <w:r w:rsidR="005B6FA4" w:rsidRPr="00B846E2">
        <w:rPr>
          <w:rFonts w:ascii="Arial" w:hAnsi="Arial" w:cs="Arial"/>
          <w:sz w:val="22"/>
          <w:szCs w:val="22"/>
        </w:rPr>
        <w:t>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4DE98DAA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</w:t>
      </w:r>
      <w:r w:rsidR="00D2436A">
        <w:rPr>
          <w:rFonts w:ascii="Arial" w:hAnsi="Arial" w:cs="Arial"/>
          <w:b/>
          <w:sz w:val="22"/>
          <w:szCs w:val="22"/>
        </w:rPr>
        <w:t>1258502090</w:t>
      </w:r>
      <w:r w:rsidR="00B846E2">
        <w:rPr>
          <w:rFonts w:ascii="Arial" w:hAnsi="Arial" w:cs="Arial"/>
          <w:b/>
          <w:sz w:val="22"/>
          <w:szCs w:val="22"/>
        </w:rPr>
        <w:t>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proofErr w:type="gramStart"/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>pokutu</w:t>
      </w:r>
      <w:proofErr w:type="gramEnd"/>
      <w:r w:rsidR="003F51DF" w:rsidRPr="009D3ECB">
        <w:rPr>
          <w:rFonts w:ascii="Arial" w:hAnsi="Arial" w:cs="Arial"/>
          <w:sz w:val="22"/>
          <w:szCs w:val="22"/>
        </w:rPr>
        <w:t xml:space="preserve">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1F3EE51F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D2436A">
        <w:rPr>
          <w:rFonts w:ascii="Arial" w:hAnsi="Arial" w:cs="Arial"/>
          <w:sz w:val="22"/>
          <w:szCs w:val="22"/>
        </w:rPr>
        <w:t>Husovo náměstí 2938, 390 02 Tábor.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1DE1A552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48FF6A7" w14:textId="51F669E4" w:rsidR="00D3122C" w:rsidRDefault="00D3122C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549282A" w14:textId="1296D962" w:rsidR="00D3122C" w:rsidRDefault="00D3122C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01E3D79" w14:textId="63291FA0" w:rsidR="00D3122C" w:rsidRDefault="00D3122C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BAF20B5" w14:textId="77777777" w:rsidR="00D3122C" w:rsidRDefault="00D3122C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48868297" w:rsidR="00BA666F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6B4CB597" w14:textId="77777777" w:rsidR="00D3122C" w:rsidRPr="00886719" w:rsidRDefault="00D3122C" w:rsidP="00D3122C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55F028E1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17969">
              <w:rPr>
                <w:rFonts w:ascii="Arial" w:hAnsi="Arial" w:cs="Arial"/>
                <w:sz w:val="22"/>
                <w:szCs w:val="22"/>
              </w:rPr>
              <w:t>13. 11. 2020</w:t>
            </w:r>
          </w:p>
        </w:tc>
        <w:tc>
          <w:tcPr>
            <w:tcW w:w="4605" w:type="dxa"/>
          </w:tcPr>
          <w:p w14:paraId="311A3BA2" w14:textId="5037F598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7969">
              <w:rPr>
                <w:rFonts w:ascii="Arial" w:hAnsi="Arial" w:cs="Arial"/>
                <w:sz w:val="22"/>
                <w:szCs w:val="22"/>
              </w:rPr>
              <w:t>Praze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17969">
              <w:rPr>
                <w:rFonts w:ascii="Arial" w:hAnsi="Arial" w:cs="Arial"/>
                <w:sz w:val="22"/>
                <w:szCs w:val="22"/>
              </w:rPr>
              <w:t>23. 11. 2020</w:t>
            </w:r>
            <w:bookmarkStart w:id="0" w:name="_GoBack"/>
            <w:bookmarkEnd w:id="0"/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553121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121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1F7BA73" w:rsidR="008C743B" w:rsidRPr="00553121" w:rsidRDefault="00D2436A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121">
              <w:rPr>
                <w:rFonts w:ascii="Arial" w:hAnsi="Arial" w:cs="Arial"/>
                <w:b/>
                <w:bCs/>
                <w:sz w:val="22"/>
                <w:szCs w:val="22"/>
              </w:rPr>
              <w:t>Pavel Hons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71297" w14:textId="77777777" w:rsidR="00E33B7D" w:rsidRDefault="00E33B7D">
      <w:r>
        <w:separator/>
      </w:r>
    </w:p>
  </w:endnote>
  <w:endnote w:type="continuationSeparator" w:id="0">
    <w:p w14:paraId="32F402F2" w14:textId="77777777" w:rsidR="00E33B7D" w:rsidRDefault="00E3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E3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9AD9" w14:textId="77777777" w:rsidR="00E33B7D" w:rsidRDefault="00E33B7D">
      <w:r>
        <w:separator/>
      </w:r>
    </w:p>
  </w:footnote>
  <w:footnote w:type="continuationSeparator" w:id="0">
    <w:p w14:paraId="5DE9500B" w14:textId="77777777" w:rsidR="00E33B7D" w:rsidRDefault="00E3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21B07"/>
    <w:rsid w:val="0002264E"/>
    <w:rsid w:val="0002577A"/>
    <w:rsid w:val="000309C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61A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4CBE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3A27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86190"/>
    <w:rsid w:val="004914BE"/>
    <w:rsid w:val="004917A7"/>
    <w:rsid w:val="00496BB9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3121"/>
    <w:rsid w:val="00556EDB"/>
    <w:rsid w:val="00557C48"/>
    <w:rsid w:val="00565886"/>
    <w:rsid w:val="0056734A"/>
    <w:rsid w:val="00573895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719"/>
    <w:rsid w:val="00886B36"/>
    <w:rsid w:val="008A0B6A"/>
    <w:rsid w:val="008A2D1C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5604"/>
    <w:rsid w:val="009B6E73"/>
    <w:rsid w:val="009B71BB"/>
    <w:rsid w:val="009C1AA3"/>
    <w:rsid w:val="009C1AB3"/>
    <w:rsid w:val="009D3ECB"/>
    <w:rsid w:val="009D7010"/>
    <w:rsid w:val="009D7D80"/>
    <w:rsid w:val="009E1850"/>
    <w:rsid w:val="009E3416"/>
    <w:rsid w:val="009E7E01"/>
    <w:rsid w:val="009F2175"/>
    <w:rsid w:val="009F4D81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B243C"/>
    <w:rsid w:val="00AB4C6E"/>
    <w:rsid w:val="00AB5B4D"/>
    <w:rsid w:val="00AC2E3F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82F89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821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436A"/>
    <w:rsid w:val="00D275CB"/>
    <w:rsid w:val="00D3122C"/>
    <w:rsid w:val="00D3196C"/>
    <w:rsid w:val="00D326CD"/>
    <w:rsid w:val="00D40AE9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2FB4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447D"/>
    <w:rsid w:val="00E170F3"/>
    <w:rsid w:val="00E17969"/>
    <w:rsid w:val="00E20A3D"/>
    <w:rsid w:val="00E2429B"/>
    <w:rsid w:val="00E27EC9"/>
    <w:rsid w:val="00E32861"/>
    <w:rsid w:val="00E33B7D"/>
    <w:rsid w:val="00E43194"/>
    <w:rsid w:val="00E60B2B"/>
    <w:rsid w:val="00E630D9"/>
    <w:rsid w:val="00E643BD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D1957"/>
    <w:rsid w:val="00EE1B21"/>
    <w:rsid w:val="00EE67E7"/>
    <w:rsid w:val="00EE76A0"/>
    <w:rsid w:val="00EF46D5"/>
    <w:rsid w:val="00F11307"/>
    <w:rsid w:val="00F3767E"/>
    <w:rsid w:val="00F43D62"/>
    <w:rsid w:val="00F52EDE"/>
    <w:rsid w:val="00F55309"/>
    <w:rsid w:val="00F60548"/>
    <w:rsid w:val="00F6216F"/>
    <w:rsid w:val="00F64392"/>
    <w:rsid w:val="00F67DCD"/>
    <w:rsid w:val="00F768E1"/>
    <w:rsid w:val="00F779D6"/>
    <w:rsid w:val="00F82CDF"/>
    <w:rsid w:val="00F8490C"/>
    <w:rsid w:val="00F9139A"/>
    <w:rsid w:val="00FA0FBB"/>
    <w:rsid w:val="00FA3639"/>
    <w:rsid w:val="00FA3C65"/>
    <w:rsid w:val="00FA3F90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1280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2020-11-13T10:03:00Z</cp:lastPrinted>
  <dcterms:created xsi:type="dcterms:W3CDTF">2020-12-14T13:10:00Z</dcterms:created>
  <dcterms:modified xsi:type="dcterms:W3CDTF">2020-12-14T13:10:00Z</dcterms:modified>
</cp:coreProperties>
</file>