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55C" w:rsidRDefault="00912487">
      <w:pPr>
        <w:pStyle w:val="Nadpis2"/>
        <w:spacing w:before="71"/>
        <w:ind w:firstLine="0"/>
      </w:pPr>
      <w:proofErr w:type="spellStart"/>
      <w:r>
        <w:t>Botanický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v. v. </w:t>
      </w:r>
      <w:proofErr w:type="spellStart"/>
      <w:r>
        <w:t>i</w:t>
      </w:r>
      <w:proofErr w:type="spellEnd"/>
      <w:r>
        <w:t>.</w:t>
      </w:r>
    </w:p>
    <w:p w:rsidR="00C7555C" w:rsidRDefault="00C7555C">
      <w:pPr>
        <w:pStyle w:val="Zkladntext"/>
        <w:rPr>
          <w:b/>
          <w:sz w:val="22"/>
        </w:rPr>
      </w:pPr>
    </w:p>
    <w:p w:rsidR="00C7555C" w:rsidRDefault="00C7555C">
      <w:pPr>
        <w:pStyle w:val="Zkladntext"/>
        <w:spacing w:before="1"/>
        <w:rPr>
          <w:b/>
          <w:sz w:val="29"/>
        </w:rPr>
      </w:pPr>
    </w:p>
    <w:p w:rsidR="00C7555C" w:rsidRDefault="00912487">
      <w:pPr>
        <w:pStyle w:val="Zkladntext"/>
        <w:ind w:left="11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Zámek</w:t>
      </w:r>
      <w:proofErr w:type="spellEnd"/>
      <w:r>
        <w:t xml:space="preserve"> 1, 252 43 Průhonice</w:t>
      </w:r>
    </w:p>
    <w:p w:rsidR="00C7555C" w:rsidRDefault="00912487">
      <w:pPr>
        <w:pStyle w:val="Zkladntext"/>
        <w:spacing w:before="178" w:line="424" w:lineRule="auto"/>
        <w:ind w:left="115" w:right="4440"/>
      </w:pPr>
      <w:proofErr w:type="spellStart"/>
      <w:r>
        <w:t>zastoupená</w:t>
      </w:r>
      <w:proofErr w:type="spellEnd"/>
      <w:r>
        <w:t xml:space="preserve"> doc. Ing. </w:t>
      </w:r>
      <w:proofErr w:type="spellStart"/>
      <w:r>
        <w:t>Janem</w:t>
      </w:r>
      <w:proofErr w:type="spellEnd"/>
      <w:r>
        <w:t xml:space="preserve"> </w:t>
      </w:r>
      <w:proofErr w:type="spellStart"/>
      <w:r>
        <w:t>Wildem</w:t>
      </w:r>
      <w:proofErr w:type="spellEnd"/>
      <w:r>
        <w:t xml:space="preserve"> Ph.D., </w:t>
      </w:r>
      <w:proofErr w:type="spellStart"/>
      <w:r>
        <w:t>ředitelem</w:t>
      </w:r>
      <w:proofErr w:type="spellEnd"/>
      <w:r>
        <w:t xml:space="preserve"> IČO: 67985939</w:t>
      </w:r>
    </w:p>
    <w:p w:rsidR="00C7555C" w:rsidRDefault="00912487">
      <w:pPr>
        <w:pStyle w:val="Zkladntext"/>
        <w:spacing w:line="229" w:lineRule="exact"/>
        <w:ind w:left="115"/>
      </w:pPr>
      <w:r>
        <w:t>DIČ: CZ67985939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rPr>
          <w:sz w:val="29"/>
        </w:rPr>
      </w:pPr>
    </w:p>
    <w:p w:rsidR="00C7555C" w:rsidRDefault="00912487">
      <w:pPr>
        <w:pStyle w:val="Zkladntext"/>
        <w:ind w:left="11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objednatel</w:t>
      </w:r>
      <w:proofErr w:type="spellEnd"/>
      <w:r>
        <w:t>“</w:t>
      </w:r>
      <w:proofErr w:type="gram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spacing w:before="9"/>
        <w:rPr>
          <w:sz w:val="28"/>
        </w:rPr>
      </w:pPr>
    </w:p>
    <w:p w:rsidR="00C7555C" w:rsidRDefault="00912487">
      <w:pPr>
        <w:pStyle w:val="Zkladntext"/>
        <w:ind w:left="116"/>
      </w:pPr>
      <w:r>
        <w:rPr>
          <w:w w:val="99"/>
        </w:rPr>
        <w:t>a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spacing w:before="8"/>
        <w:rPr>
          <w:sz w:val="28"/>
        </w:rPr>
      </w:pPr>
    </w:p>
    <w:p w:rsidR="00C7555C" w:rsidRDefault="00912487">
      <w:pPr>
        <w:pStyle w:val="Nadpis2"/>
        <w:ind w:left="116" w:firstLine="0"/>
      </w:pPr>
      <w:r>
        <w:t xml:space="preserve">NAVIGA 4, </w:t>
      </w:r>
      <w:proofErr w:type="spellStart"/>
      <w:r>
        <w:t>s.r.o.</w:t>
      </w:r>
      <w:proofErr w:type="spellEnd"/>
    </w:p>
    <w:p w:rsidR="00C7555C" w:rsidRDefault="00C7555C">
      <w:pPr>
        <w:pStyle w:val="Zkladntext"/>
        <w:rPr>
          <w:b/>
        </w:rPr>
      </w:pPr>
    </w:p>
    <w:p w:rsidR="00C7555C" w:rsidRDefault="00C7555C">
      <w:pPr>
        <w:pStyle w:val="Zkladntext"/>
        <w:rPr>
          <w:b/>
        </w:rPr>
      </w:pPr>
    </w:p>
    <w:p w:rsidR="00C7555C" w:rsidRDefault="00912487">
      <w:pPr>
        <w:pStyle w:val="Zkladntext"/>
        <w:spacing w:before="129" w:line="424" w:lineRule="auto"/>
        <w:ind w:left="116" w:right="4361"/>
      </w:pPr>
      <w:r>
        <w:t xml:space="preserve">se </w:t>
      </w:r>
      <w:proofErr w:type="spellStart"/>
      <w:r>
        <w:t>sídlem</w:t>
      </w:r>
      <w:proofErr w:type="spellEnd"/>
      <w:r>
        <w:t xml:space="preserve"> U </w:t>
      </w:r>
      <w:proofErr w:type="spellStart"/>
      <w:r>
        <w:t>Pekařky</w:t>
      </w:r>
      <w:proofErr w:type="spellEnd"/>
      <w:r>
        <w:t xml:space="preserve"> 484/1A, 180 00 Praha 8 </w:t>
      </w:r>
      <w:proofErr w:type="spellStart"/>
      <w:r>
        <w:t>zastoupený</w:t>
      </w:r>
      <w:proofErr w:type="spellEnd"/>
      <w:r>
        <w:t xml:space="preserve"> Ing. </w:t>
      </w:r>
      <w:proofErr w:type="spellStart"/>
      <w:r>
        <w:t>Ondřejem</w:t>
      </w:r>
      <w:proofErr w:type="spellEnd"/>
      <w:r>
        <w:t xml:space="preserve"> </w:t>
      </w:r>
      <w:proofErr w:type="spellStart"/>
      <w:r>
        <w:t>Miffkem</w:t>
      </w:r>
      <w:proofErr w:type="spellEnd"/>
      <w:r>
        <w:t xml:space="preserve">, Ph.D., </w:t>
      </w:r>
      <w:proofErr w:type="spellStart"/>
      <w:r>
        <w:t>jednatelem</w:t>
      </w:r>
      <w:proofErr w:type="spellEnd"/>
      <w:r>
        <w:t xml:space="preserve"> IČO: 26756102</w:t>
      </w:r>
    </w:p>
    <w:p w:rsidR="00C7555C" w:rsidRDefault="00912487">
      <w:pPr>
        <w:pStyle w:val="Zkladntext"/>
        <w:ind w:left="116"/>
      </w:pPr>
      <w:r>
        <w:t>DIČ: CZ26756102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spacing w:before="9"/>
        <w:rPr>
          <w:sz w:val="28"/>
        </w:rPr>
      </w:pPr>
    </w:p>
    <w:p w:rsidR="00C7555C" w:rsidRDefault="00912487">
      <w:pPr>
        <w:pStyle w:val="Zkladntext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poskytovatel</w:t>
      </w:r>
      <w:proofErr w:type="spellEnd"/>
      <w:r>
        <w:t>“</w:t>
      </w:r>
      <w:proofErr w:type="gram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spacing w:before="2"/>
      </w:pPr>
    </w:p>
    <w:p w:rsidR="00C7555C" w:rsidRDefault="00912487">
      <w:pPr>
        <w:spacing w:before="1" w:line="300" w:lineRule="auto"/>
        <w:ind w:left="2717" w:right="150" w:hanging="2547"/>
        <w:rPr>
          <w:sz w:val="20"/>
        </w:rPr>
      </w:pPr>
      <w:proofErr w:type="spellStart"/>
      <w:r>
        <w:rPr>
          <w:sz w:val="20"/>
        </w:rPr>
        <w:t>uzavírají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projektem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CZ.06.3.33/0.0/0.0/16_059/0004660 „</w:t>
      </w:r>
      <w:proofErr w:type="spellStart"/>
      <w:r>
        <w:rPr>
          <w:b/>
          <w:sz w:val="20"/>
        </w:rPr>
        <w:t>Průhonický</w:t>
      </w:r>
      <w:proofErr w:type="spellEnd"/>
      <w:r>
        <w:rPr>
          <w:b/>
          <w:sz w:val="20"/>
        </w:rPr>
        <w:t xml:space="preserve"> park – </w:t>
      </w:r>
      <w:proofErr w:type="spellStart"/>
      <w:r>
        <w:rPr>
          <w:b/>
          <w:sz w:val="20"/>
        </w:rPr>
        <w:t>obnova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rozvoj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oživení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památky</w:t>
      </w:r>
      <w:proofErr w:type="spell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 xml:space="preserve">UNESCO“ </w:t>
      </w:r>
      <w:proofErr w:type="spellStart"/>
      <w:r>
        <w:rPr>
          <w:sz w:val="20"/>
        </w:rPr>
        <w:t>tento</w:t>
      </w:r>
      <w:proofErr w:type="spellEnd"/>
      <w:proofErr w:type="gramEnd"/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spacing w:before="9"/>
        <w:rPr>
          <w:sz w:val="23"/>
        </w:rPr>
      </w:pPr>
    </w:p>
    <w:p w:rsidR="00C7555C" w:rsidRDefault="00912487">
      <w:pPr>
        <w:ind w:left="2163" w:right="2159"/>
        <w:jc w:val="center"/>
        <w:rPr>
          <w:sz w:val="20"/>
        </w:rPr>
      </w:pPr>
      <w:proofErr w:type="spellStart"/>
      <w:r>
        <w:rPr>
          <w:b/>
          <w:sz w:val="20"/>
        </w:rPr>
        <w:t>dodatek</w:t>
      </w:r>
      <w:proofErr w:type="spellEnd"/>
      <w:r>
        <w:rPr>
          <w:b/>
          <w:sz w:val="20"/>
        </w:rPr>
        <w:t xml:space="preserve"> č. 1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BÚ 46/2017 ze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6. 3. 2017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spacing w:before="6"/>
        <w:rPr>
          <w:sz w:val="18"/>
        </w:rPr>
      </w:pPr>
    </w:p>
    <w:p w:rsidR="00C7555C" w:rsidRDefault="00912487">
      <w:pPr>
        <w:pStyle w:val="Nadpis2"/>
        <w:numPr>
          <w:ilvl w:val="0"/>
          <w:numId w:val="2"/>
        </w:numPr>
        <w:tabs>
          <w:tab w:val="left" w:pos="4193"/>
          <w:tab w:val="left" w:pos="4194"/>
        </w:tabs>
      </w:pPr>
      <w:proofErr w:type="spellStart"/>
      <w:r>
        <w:t>Předmět</w:t>
      </w:r>
      <w:proofErr w:type="spellEnd"/>
      <w:r>
        <w:rPr>
          <w:spacing w:val="-1"/>
        </w:rPr>
        <w:t xml:space="preserve"> </w:t>
      </w:r>
      <w:proofErr w:type="spellStart"/>
      <w:r>
        <w:t>dodatku</w:t>
      </w:r>
      <w:proofErr w:type="spellEnd"/>
    </w:p>
    <w:p w:rsidR="00C7555C" w:rsidRDefault="00C7555C">
      <w:pPr>
        <w:pStyle w:val="Zkladntext"/>
        <w:rPr>
          <w:b/>
          <w:sz w:val="22"/>
        </w:rPr>
      </w:pPr>
    </w:p>
    <w:p w:rsidR="00C7555C" w:rsidRDefault="00C7555C">
      <w:pPr>
        <w:pStyle w:val="Zkladntext"/>
        <w:spacing w:before="11"/>
        <w:rPr>
          <w:b/>
          <w:sz w:val="28"/>
        </w:rPr>
      </w:pPr>
    </w:p>
    <w:p w:rsidR="00C7555C" w:rsidRDefault="00912487">
      <w:pPr>
        <w:pStyle w:val="Zkladntext"/>
        <w:ind w:left="115"/>
      </w:pP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IV, </w:t>
      </w:r>
      <w:proofErr w:type="spellStart"/>
      <w:r>
        <w:t>odst</w:t>
      </w:r>
      <w:proofErr w:type="spellEnd"/>
      <w:r>
        <w:t xml:space="preserve">. 4b) </w:t>
      </w:r>
      <w:proofErr w:type="spellStart"/>
      <w:r>
        <w:t>takto</w:t>
      </w:r>
      <w:proofErr w:type="spellEnd"/>
      <w:r>
        <w:t>: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spacing w:before="11"/>
        <w:rPr>
          <w:sz w:val="28"/>
        </w:rPr>
      </w:pPr>
    </w:p>
    <w:p w:rsidR="00C7555C" w:rsidRDefault="00912487">
      <w:pPr>
        <w:pStyle w:val="Zkladntext"/>
        <w:ind w:left="115"/>
      </w:pPr>
      <w:proofErr w:type="spellStart"/>
      <w:r>
        <w:t>Původní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</w:t>
      </w:r>
    </w:p>
    <w:p w:rsidR="00C7555C" w:rsidRDefault="00912487">
      <w:pPr>
        <w:pStyle w:val="Zkladntext"/>
        <w:spacing w:before="178" w:line="297" w:lineRule="auto"/>
        <w:ind w:left="115"/>
      </w:pPr>
      <w:r>
        <w:t xml:space="preserve">b.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95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bez DPH, 114 950,- </w:t>
      </w:r>
      <w:proofErr w:type="spellStart"/>
      <w:r>
        <w:t>Kč</w:t>
      </w:r>
      <w:proofErr w:type="spellEnd"/>
      <w:r>
        <w:t xml:space="preserve"> DPH je </w:t>
      </w:r>
      <w:proofErr w:type="spellStart"/>
      <w:r>
        <w:t>splatná</w:t>
      </w:r>
      <w:proofErr w:type="spellEnd"/>
      <w:r>
        <w:t xml:space="preserve"> po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>.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spacing w:before="2"/>
        <w:rPr>
          <w:sz w:val="24"/>
        </w:rPr>
      </w:pPr>
    </w:p>
    <w:p w:rsidR="00C7555C" w:rsidRDefault="00912487">
      <w:pPr>
        <w:pStyle w:val="Zkladntext"/>
        <w:ind w:left="115"/>
      </w:pPr>
      <w:proofErr w:type="spellStart"/>
      <w:r>
        <w:t>Nové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</w:t>
      </w:r>
    </w:p>
    <w:p w:rsidR="00C7555C" w:rsidRDefault="00C7555C">
      <w:pPr>
        <w:sectPr w:rsidR="00C7555C">
          <w:type w:val="continuous"/>
          <w:pgSz w:w="11900" w:h="16840"/>
          <w:pgMar w:top="1340" w:right="1300" w:bottom="280" w:left="1300" w:header="708" w:footer="708" w:gutter="0"/>
          <w:cols w:space="708"/>
        </w:sectPr>
      </w:pPr>
    </w:p>
    <w:p w:rsidR="00C7555C" w:rsidRDefault="00912487">
      <w:pPr>
        <w:pStyle w:val="Zkladntext"/>
        <w:spacing w:before="73" w:line="300" w:lineRule="auto"/>
        <w:ind w:left="115" w:right="150"/>
      </w:pPr>
      <w:r>
        <w:lastRenderedPageBreak/>
        <w:t xml:space="preserve">b.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95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bez DPH, 114 950,-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DPH, je </w:t>
      </w:r>
      <w:proofErr w:type="spellStart"/>
      <w:r>
        <w:t>splatná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</w:t>
      </w:r>
      <w:r>
        <w:t>atku</w:t>
      </w:r>
      <w:proofErr w:type="spellEnd"/>
      <w:r>
        <w:t xml:space="preserve">. </w:t>
      </w:r>
      <w:proofErr w:type="spellStart"/>
      <w:r>
        <w:t>Dohodnutá</w:t>
      </w:r>
      <w:proofErr w:type="spellEnd"/>
      <w:r>
        <w:t xml:space="preserve">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k 31. 12. 2020.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rPr>
          <w:sz w:val="24"/>
        </w:rPr>
      </w:pPr>
    </w:p>
    <w:p w:rsidR="00C7555C" w:rsidRDefault="00912487">
      <w:pPr>
        <w:pStyle w:val="Zkladntext"/>
        <w:ind w:left="115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neupravená</w:t>
      </w:r>
      <w:proofErr w:type="spellEnd"/>
      <w:r>
        <w:t xml:space="preserve">,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rPr>
          <w:spacing w:val="-35"/>
        </w:rPr>
        <w:t xml:space="preserve"> </w:t>
      </w:r>
      <w:proofErr w:type="spellStart"/>
      <w:r>
        <w:t>změny</w:t>
      </w:r>
      <w:proofErr w:type="spellEnd"/>
      <w:r>
        <w:t>.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spacing w:before="6"/>
        <w:rPr>
          <w:sz w:val="28"/>
        </w:rPr>
      </w:pPr>
    </w:p>
    <w:p w:rsidR="00C7555C" w:rsidRDefault="00912487">
      <w:pPr>
        <w:pStyle w:val="Nadpis2"/>
        <w:numPr>
          <w:ilvl w:val="0"/>
          <w:numId w:val="2"/>
        </w:numPr>
        <w:tabs>
          <w:tab w:val="left" w:pos="4140"/>
          <w:tab w:val="left" w:pos="4141"/>
        </w:tabs>
        <w:ind w:left="4140"/>
      </w:pPr>
      <w:proofErr w:type="spellStart"/>
      <w:r>
        <w:t>Závěrečná</w:t>
      </w:r>
      <w:proofErr w:type="spellEnd"/>
      <w:r>
        <w:rPr>
          <w:spacing w:val="-12"/>
        </w:rPr>
        <w:t xml:space="preserve"> </w:t>
      </w:r>
      <w:proofErr w:type="spellStart"/>
      <w:r>
        <w:t>ustanovení</w:t>
      </w:r>
      <w:proofErr w:type="spellEnd"/>
    </w:p>
    <w:p w:rsidR="00C7555C" w:rsidRDefault="00C7555C">
      <w:pPr>
        <w:pStyle w:val="Zkladntext"/>
        <w:spacing w:before="4"/>
        <w:rPr>
          <w:b/>
          <w:sz w:val="30"/>
        </w:rPr>
      </w:pPr>
    </w:p>
    <w:p w:rsidR="00C7555C" w:rsidRDefault="00912487">
      <w:pPr>
        <w:pStyle w:val="Odstavecseseznamem"/>
        <w:numPr>
          <w:ilvl w:val="0"/>
          <w:numId w:val="1"/>
        </w:numPr>
        <w:tabs>
          <w:tab w:val="left" w:pos="400"/>
        </w:tabs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vyhotoven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jeden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stejnopis</w:t>
      </w:r>
      <w:proofErr w:type="spellEnd"/>
      <w:r>
        <w:rPr>
          <w:sz w:val="20"/>
        </w:rPr>
        <w:t>.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spacing w:before="8"/>
        <w:rPr>
          <w:sz w:val="28"/>
        </w:rPr>
      </w:pPr>
    </w:p>
    <w:p w:rsidR="00C7555C" w:rsidRDefault="00912487">
      <w:pPr>
        <w:pStyle w:val="Odstavecseseznamem"/>
        <w:numPr>
          <w:ilvl w:val="0"/>
          <w:numId w:val="1"/>
        </w:numPr>
        <w:tabs>
          <w:tab w:val="left" w:pos="400"/>
        </w:tabs>
        <w:spacing w:line="300" w:lineRule="auto"/>
        <w:ind w:right="112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okamžikem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registru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rPr>
          <w:sz w:val="24"/>
        </w:rPr>
      </w:pPr>
    </w:p>
    <w:p w:rsidR="00C7555C" w:rsidRDefault="00912487">
      <w:pPr>
        <w:pStyle w:val="Odstavecseseznamem"/>
        <w:numPr>
          <w:ilvl w:val="0"/>
          <w:numId w:val="1"/>
        </w:numPr>
        <w:tabs>
          <w:tab w:val="left" w:pos="400"/>
        </w:tabs>
        <w:spacing w:line="300" w:lineRule="auto"/>
        <w:ind w:right="108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sepsán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skutečné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svobodné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vůle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rPr>
          <w:sz w:val="22"/>
        </w:rPr>
      </w:pPr>
    </w:p>
    <w:p w:rsidR="00C7555C" w:rsidRDefault="00C7555C">
      <w:pPr>
        <w:pStyle w:val="Zkladntext"/>
        <w:rPr>
          <w:sz w:val="22"/>
        </w:rPr>
      </w:pPr>
    </w:p>
    <w:p w:rsidR="00C7555C" w:rsidRDefault="00912487">
      <w:pPr>
        <w:pStyle w:val="Zkladntext"/>
        <w:tabs>
          <w:tab w:val="left" w:pos="5155"/>
        </w:tabs>
        <w:spacing w:before="176"/>
        <w:ind w:left="115"/>
      </w:pPr>
      <w:r>
        <w:t>Za</w:t>
      </w:r>
      <w:r>
        <w:rPr>
          <w:spacing w:val="-4"/>
        </w:rPr>
        <w:t xml:space="preserve"> </w:t>
      </w:r>
      <w:proofErr w:type="spellStart"/>
      <w:r>
        <w:t>objednatele</w:t>
      </w:r>
      <w:proofErr w:type="spellEnd"/>
      <w:r>
        <w:t>:</w:t>
      </w:r>
      <w:r>
        <w:tab/>
        <w:t>Za</w:t>
      </w:r>
      <w:r>
        <w:rPr>
          <w:spacing w:val="1"/>
        </w:rPr>
        <w:t xml:space="preserve"> </w:t>
      </w:r>
      <w:proofErr w:type="spellStart"/>
      <w:r>
        <w:t>zhotovitele</w:t>
      </w:r>
      <w:proofErr w:type="spellEnd"/>
      <w:r>
        <w:t>:</w:t>
      </w:r>
    </w:p>
    <w:p w:rsidR="00C7555C" w:rsidRDefault="00C7555C">
      <w:pPr>
        <w:pStyle w:val="Zkladntext"/>
      </w:pPr>
    </w:p>
    <w:p w:rsidR="00C7555C" w:rsidRDefault="00C7555C">
      <w:pPr>
        <w:rPr>
          <w:sz w:val="23"/>
        </w:rPr>
        <w:sectPr w:rsidR="00C7555C">
          <w:pgSz w:w="11900" w:h="16840"/>
          <w:pgMar w:top="1340" w:right="1300" w:bottom="280" w:left="1300" w:header="708" w:footer="708" w:gutter="0"/>
          <w:cols w:space="708"/>
        </w:sectPr>
      </w:pPr>
    </w:p>
    <w:p w:rsidR="00C7555C" w:rsidRDefault="00C7555C">
      <w:pPr>
        <w:pStyle w:val="Zkladntext"/>
        <w:spacing w:before="7"/>
        <w:rPr>
          <w:sz w:val="4"/>
        </w:rPr>
      </w:pPr>
    </w:p>
    <w:p w:rsidR="00C7555C" w:rsidRDefault="00912487" w:rsidP="00912487">
      <w:pPr>
        <w:pStyle w:val="Zkladntext"/>
        <w:spacing w:line="20" w:lineRule="exact"/>
        <w:ind w:left="-1313"/>
        <w:rPr>
          <w:sz w:val="2"/>
        </w:rPr>
        <w:sectPr w:rsidR="00C7555C">
          <w:type w:val="continuous"/>
          <w:pgSz w:w="11900" w:h="16840"/>
          <w:pgMar w:top="1340" w:right="1300" w:bottom="280" w:left="1300" w:header="708" w:footer="708" w:gutter="0"/>
          <w:cols w:num="2" w:space="708" w:equalWidth="0">
            <w:col w:w="3653" w:space="2810"/>
            <w:col w:w="2837"/>
          </w:cols>
        </w:sectPr>
      </w:pPr>
      <w:r>
        <w:rPr>
          <w:rFonts w:ascii="Times New Roman"/>
          <w:spacing w:val="80"/>
          <w:sz w:val="2"/>
        </w:rPr>
        <w:t xml:space="preserve"> </w:t>
      </w:r>
    </w:p>
    <w:p w:rsidR="00912487" w:rsidRDefault="00912487">
      <w:pPr>
        <w:pStyle w:val="Zkladntext"/>
        <w:tabs>
          <w:tab w:val="left" w:pos="5155"/>
        </w:tabs>
        <w:spacing w:before="176"/>
        <w:ind w:left="115"/>
      </w:pPr>
    </w:p>
    <w:p w:rsidR="00912487" w:rsidRDefault="00912487">
      <w:pPr>
        <w:pStyle w:val="Zkladntext"/>
        <w:tabs>
          <w:tab w:val="left" w:pos="5155"/>
        </w:tabs>
        <w:spacing w:before="176"/>
        <w:ind w:left="115"/>
      </w:pPr>
    </w:p>
    <w:p w:rsidR="00C7555C" w:rsidRDefault="00912487">
      <w:pPr>
        <w:pStyle w:val="Zkladntext"/>
        <w:tabs>
          <w:tab w:val="left" w:pos="5155"/>
        </w:tabs>
        <w:spacing w:before="176"/>
        <w:ind w:left="115"/>
      </w:pPr>
      <w:bookmarkStart w:id="0" w:name="_GoBack"/>
      <w:bookmarkEnd w:id="0"/>
      <w:r>
        <w:t>D</w:t>
      </w:r>
      <w:r>
        <w:t>oc. Ing. Jan</w:t>
      </w:r>
      <w:r>
        <w:rPr>
          <w:spacing w:val="-8"/>
        </w:rPr>
        <w:t xml:space="preserve"> </w:t>
      </w:r>
      <w:r>
        <w:t>Wild,</w:t>
      </w:r>
      <w:r>
        <w:rPr>
          <w:spacing w:val="-2"/>
        </w:rPr>
        <w:t xml:space="preserve"> </w:t>
      </w:r>
      <w:r>
        <w:t>PhD.</w:t>
      </w:r>
      <w:r>
        <w:tab/>
        <w:t xml:space="preserve">Ing. Ondřej </w:t>
      </w:r>
      <w:proofErr w:type="spellStart"/>
      <w:r>
        <w:t>Miffek</w:t>
      </w:r>
      <w:proofErr w:type="spellEnd"/>
      <w:r>
        <w:t>,</w:t>
      </w:r>
      <w:r>
        <w:rPr>
          <w:spacing w:val="-1"/>
        </w:rPr>
        <w:t xml:space="preserve"> </w:t>
      </w:r>
      <w:r>
        <w:t>Ph.D.</w:t>
      </w:r>
    </w:p>
    <w:sectPr w:rsidR="00C7555C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84D"/>
    <w:multiLevelType w:val="hybridMultilevel"/>
    <w:tmpl w:val="37401A94"/>
    <w:lvl w:ilvl="0" w:tplc="E2547044">
      <w:start w:val="1"/>
      <w:numFmt w:val="decimal"/>
      <w:lvlText w:val="%1)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3C804508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B1B03054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85EC1058">
      <w:numFmt w:val="bullet"/>
      <w:lvlText w:val="•"/>
      <w:lvlJc w:val="left"/>
      <w:pPr>
        <w:ind w:left="3070" w:hanging="284"/>
      </w:pPr>
      <w:rPr>
        <w:rFonts w:hint="default"/>
      </w:rPr>
    </w:lvl>
    <w:lvl w:ilvl="4" w:tplc="65A28256">
      <w:numFmt w:val="bullet"/>
      <w:lvlText w:val="•"/>
      <w:lvlJc w:val="left"/>
      <w:pPr>
        <w:ind w:left="3960" w:hanging="284"/>
      </w:pPr>
      <w:rPr>
        <w:rFonts w:hint="default"/>
      </w:rPr>
    </w:lvl>
    <w:lvl w:ilvl="5" w:tplc="81C29636">
      <w:numFmt w:val="bullet"/>
      <w:lvlText w:val="•"/>
      <w:lvlJc w:val="left"/>
      <w:pPr>
        <w:ind w:left="4850" w:hanging="284"/>
      </w:pPr>
      <w:rPr>
        <w:rFonts w:hint="default"/>
      </w:rPr>
    </w:lvl>
    <w:lvl w:ilvl="6" w:tplc="3A425852">
      <w:numFmt w:val="bullet"/>
      <w:lvlText w:val="•"/>
      <w:lvlJc w:val="left"/>
      <w:pPr>
        <w:ind w:left="5740" w:hanging="284"/>
      </w:pPr>
      <w:rPr>
        <w:rFonts w:hint="default"/>
      </w:rPr>
    </w:lvl>
    <w:lvl w:ilvl="7" w:tplc="B22E072E">
      <w:numFmt w:val="bullet"/>
      <w:lvlText w:val="•"/>
      <w:lvlJc w:val="left"/>
      <w:pPr>
        <w:ind w:left="6630" w:hanging="284"/>
      </w:pPr>
      <w:rPr>
        <w:rFonts w:hint="default"/>
      </w:rPr>
    </w:lvl>
    <w:lvl w:ilvl="8" w:tplc="C9C63B50">
      <w:numFmt w:val="bullet"/>
      <w:lvlText w:val="•"/>
      <w:lvlJc w:val="left"/>
      <w:pPr>
        <w:ind w:left="7520" w:hanging="284"/>
      </w:pPr>
      <w:rPr>
        <w:rFonts w:hint="default"/>
      </w:rPr>
    </w:lvl>
  </w:abstractNum>
  <w:abstractNum w:abstractNumId="1" w15:restartNumberingAfterBreak="0">
    <w:nsid w:val="6C542FB6"/>
    <w:multiLevelType w:val="hybridMultilevel"/>
    <w:tmpl w:val="4D901E22"/>
    <w:lvl w:ilvl="0" w:tplc="75B8713A">
      <w:start w:val="1"/>
      <w:numFmt w:val="upperRoman"/>
      <w:lvlText w:val="%1."/>
      <w:lvlJc w:val="left"/>
      <w:pPr>
        <w:ind w:left="4193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1BA03C48">
      <w:numFmt w:val="bullet"/>
      <w:lvlText w:val="•"/>
      <w:lvlJc w:val="left"/>
      <w:pPr>
        <w:ind w:left="4710" w:hanging="720"/>
      </w:pPr>
      <w:rPr>
        <w:rFonts w:hint="default"/>
      </w:rPr>
    </w:lvl>
    <w:lvl w:ilvl="2" w:tplc="EFC617A6">
      <w:numFmt w:val="bullet"/>
      <w:lvlText w:val="•"/>
      <w:lvlJc w:val="left"/>
      <w:pPr>
        <w:ind w:left="5220" w:hanging="720"/>
      </w:pPr>
      <w:rPr>
        <w:rFonts w:hint="default"/>
      </w:rPr>
    </w:lvl>
    <w:lvl w:ilvl="3" w:tplc="8618B8EE">
      <w:numFmt w:val="bullet"/>
      <w:lvlText w:val="•"/>
      <w:lvlJc w:val="left"/>
      <w:pPr>
        <w:ind w:left="5730" w:hanging="720"/>
      </w:pPr>
      <w:rPr>
        <w:rFonts w:hint="default"/>
      </w:rPr>
    </w:lvl>
    <w:lvl w:ilvl="4" w:tplc="F7DAE97A">
      <w:numFmt w:val="bullet"/>
      <w:lvlText w:val="•"/>
      <w:lvlJc w:val="left"/>
      <w:pPr>
        <w:ind w:left="6240" w:hanging="720"/>
      </w:pPr>
      <w:rPr>
        <w:rFonts w:hint="default"/>
      </w:rPr>
    </w:lvl>
    <w:lvl w:ilvl="5" w:tplc="8A1CB600">
      <w:numFmt w:val="bullet"/>
      <w:lvlText w:val="•"/>
      <w:lvlJc w:val="left"/>
      <w:pPr>
        <w:ind w:left="6750" w:hanging="720"/>
      </w:pPr>
      <w:rPr>
        <w:rFonts w:hint="default"/>
      </w:rPr>
    </w:lvl>
    <w:lvl w:ilvl="6" w:tplc="D272FEFC">
      <w:numFmt w:val="bullet"/>
      <w:lvlText w:val="•"/>
      <w:lvlJc w:val="left"/>
      <w:pPr>
        <w:ind w:left="7260" w:hanging="720"/>
      </w:pPr>
      <w:rPr>
        <w:rFonts w:hint="default"/>
      </w:rPr>
    </w:lvl>
    <w:lvl w:ilvl="7" w:tplc="91A83CB8">
      <w:numFmt w:val="bullet"/>
      <w:lvlText w:val="•"/>
      <w:lvlJc w:val="left"/>
      <w:pPr>
        <w:ind w:left="7770" w:hanging="720"/>
      </w:pPr>
      <w:rPr>
        <w:rFonts w:hint="default"/>
      </w:rPr>
    </w:lvl>
    <w:lvl w:ilvl="8" w:tplc="F1EA5B98">
      <w:numFmt w:val="bullet"/>
      <w:lvlText w:val="•"/>
      <w:lvlJc w:val="left"/>
      <w:pPr>
        <w:ind w:left="828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55C"/>
    <w:rsid w:val="00912487"/>
    <w:rsid w:val="00C7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16139FC"/>
  <w15:docId w15:val="{F028A9D4-D529-4D59-A816-9173AD4D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432" w:lineRule="exact"/>
      <w:outlineLvl w:val="0"/>
    </w:pPr>
    <w:rPr>
      <w:rFonts w:ascii="Calibri" w:eastAsia="Calibri" w:hAnsi="Calibri" w:cs="Calibri"/>
      <w:sz w:val="47"/>
      <w:szCs w:val="47"/>
    </w:rPr>
  </w:style>
  <w:style w:type="paragraph" w:styleId="Nadpis2">
    <w:name w:val="heading 2"/>
    <w:basedOn w:val="Normln"/>
    <w:uiPriority w:val="9"/>
    <w:unhideWhenUsed/>
    <w:qFormat/>
    <w:pPr>
      <w:ind w:left="115" w:hanging="72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99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Návrh_park_dodatek č. 1</dc:title>
  <dc:creator>user</dc:creator>
  <cp:lastModifiedBy>Renata Audyová</cp:lastModifiedBy>
  <cp:revision>2</cp:revision>
  <dcterms:created xsi:type="dcterms:W3CDTF">2020-12-18T08:44:00Z</dcterms:created>
  <dcterms:modified xsi:type="dcterms:W3CDTF">2020-12-18T08:54:00Z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2020-12-18T00:00:00Z</vt:filetime>
  </property>
</Properties>
</file>