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BBAD5A1" w14:textId="26D674BC"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r w:rsidR="00180232">
        <w:rPr>
          <w:rFonts w:ascii="Arial" w:hAnsi="Arial" w:cs="Arial"/>
          <w:sz w:val="22"/>
          <w:szCs w:val="22"/>
        </w:rPr>
        <w:t xml:space="preserve">, </w:t>
      </w:r>
      <w:r w:rsidRPr="00D42B3D">
        <w:rPr>
          <w:rFonts w:ascii="Arial" w:hAnsi="Arial" w:cs="Arial"/>
          <w:sz w:val="22"/>
          <w:szCs w:val="22"/>
        </w:rPr>
        <w:t>112 30 Praha 1</w:t>
      </w:r>
    </w:p>
    <w:p w14:paraId="49A28A4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BA0C63F" w14:textId="77777777" w:rsidR="00D50EE3" w:rsidRDefault="00D50EE3" w:rsidP="00D421F7">
      <w:pPr>
        <w:rPr>
          <w:rFonts w:ascii="Arial" w:hAnsi="Arial" w:cs="Arial"/>
          <w:sz w:val="22"/>
          <w:szCs w:val="22"/>
        </w:rPr>
      </w:pPr>
      <w:r w:rsidRPr="00D42B3D">
        <w:rPr>
          <w:rFonts w:ascii="Arial" w:hAnsi="Arial" w:cs="Arial"/>
          <w:sz w:val="22"/>
          <w:szCs w:val="22"/>
        </w:rPr>
        <w:t>DIČ: CZ00023337</w:t>
      </w:r>
    </w:p>
    <w:p w14:paraId="4463E74E" w14:textId="05B419FD" w:rsidR="00B47772" w:rsidRPr="00D42B3D" w:rsidRDefault="00D50EE3" w:rsidP="00B47772">
      <w:pPr>
        <w:rPr>
          <w:rFonts w:ascii="Arial" w:hAnsi="Arial" w:cs="Arial"/>
          <w:sz w:val="22"/>
          <w:szCs w:val="22"/>
        </w:rPr>
      </w:pPr>
      <w:r w:rsidRPr="00D42B3D">
        <w:rPr>
          <w:rFonts w:ascii="Arial" w:hAnsi="Arial" w:cs="Arial"/>
          <w:sz w:val="22"/>
          <w:szCs w:val="22"/>
        </w:rPr>
        <w:t>zastoupené</w:t>
      </w:r>
      <w:r w:rsidR="00180232">
        <w:rPr>
          <w:rFonts w:ascii="Arial" w:hAnsi="Arial" w:cs="Arial"/>
          <w:sz w:val="22"/>
          <w:szCs w:val="22"/>
        </w:rPr>
        <w:t>:</w:t>
      </w:r>
      <w:r w:rsidRPr="00D42B3D">
        <w:rPr>
          <w:rFonts w:ascii="Arial" w:hAnsi="Arial" w:cs="Arial"/>
          <w:sz w:val="22"/>
          <w:szCs w:val="22"/>
        </w:rPr>
        <w:t xml:space="preserve"> </w:t>
      </w:r>
      <w:r w:rsidR="006E1738">
        <w:rPr>
          <w:rFonts w:ascii="Arial" w:hAnsi="Arial" w:cs="Arial"/>
          <w:sz w:val="22"/>
          <w:szCs w:val="22"/>
        </w:rPr>
        <w:t>prof</w:t>
      </w:r>
      <w:r w:rsidR="00D34BAD">
        <w:rPr>
          <w:rFonts w:ascii="Arial" w:hAnsi="Arial" w:cs="Arial"/>
          <w:sz w:val="22"/>
          <w:szCs w:val="22"/>
        </w:rPr>
        <w:t xml:space="preserve">. </w:t>
      </w:r>
      <w:proofErr w:type="spellStart"/>
      <w:r w:rsidR="00D34BAD">
        <w:rPr>
          <w:rFonts w:ascii="Arial" w:hAnsi="Arial" w:cs="Arial"/>
          <w:sz w:val="22"/>
          <w:szCs w:val="22"/>
        </w:rPr>
        <w:t>MgA</w:t>
      </w:r>
      <w:proofErr w:type="spellEnd"/>
      <w:r w:rsidR="00D34BAD">
        <w:rPr>
          <w:rFonts w:ascii="Arial" w:hAnsi="Arial" w:cs="Arial"/>
          <w:sz w:val="22"/>
          <w:szCs w:val="22"/>
        </w:rPr>
        <w:t>. Jan Burian, ředitel ND</w:t>
      </w:r>
      <w:r w:rsidR="00D34BAD" w:rsidRPr="00D42B3D">
        <w:rPr>
          <w:rFonts w:ascii="Arial" w:hAnsi="Arial" w:cs="Arial"/>
          <w:sz w:val="22"/>
          <w:szCs w:val="22"/>
        </w:rPr>
        <w:t xml:space="preserve"> </w:t>
      </w:r>
      <w:r w:rsidR="00B47772" w:rsidRPr="00D42B3D">
        <w:rPr>
          <w:rFonts w:ascii="Arial" w:hAnsi="Arial" w:cs="Arial"/>
          <w:sz w:val="22"/>
          <w:szCs w:val="22"/>
        </w:rPr>
        <w:t xml:space="preserve"> </w:t>
      </w:r>
    </w:p>
    <w:p w14:paraId="47AD86C8" w14:textId="77777777" w:rsidR="00D50EE3" w:rsidRDefault="00B47772"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671892A0" w14:textId="77777777" w:rsidR="001E158E" w:rsidRPr="00D42B3D" w:rsidRDefault="001E158E" w:rsidP="00D421F7">
      <w:pPr>
        <w:rPr>
          <w:rFonts w:ascii="Arial" w:hAnsi="Arial" w:cs="Arial"/>
          <w:sz w:val="22"/>
          <w:szCs w:val="22"/>
        </w:rPr>
      </w:pPr>
    </w:p>
    <w:p w14:paraId="34BDFA8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77777777" w:rsidR="00180232" w:rsidRDefault="00180232" w:rsidP="00D421F7">
      <w:pPr>
        <w:rPr>
          <w:rFonts w:ascii="Arial" w:hAnsi="Arial" w:cs="Arial"/>
          <w:b/>
          <w:sz w:val="22"/>
          <w:szCs w:val="22"/>
        </w:rPr>
      </w:pPr>
    </w:p>
    <w:p w14:paraId="68D1847F" w14:textId="77777777" w:rsidR="005F4FFF" w:rsidRDefault="005F4FFF" w:rsidP="005F4FFF">
      <w:pPr>
        <w:rPr>
          <w:rFonts w:ascii="Arial" w:hAnsi="Arial" w:cs="Arial"/>
          <w:b/>
          <w:kern w:val="0"/>
          <w:sz w:val="22"/>
          <w:szCs w:val="22"/>
          <w:lang w:eastAsia="cs-CZ"/>
        </w:rPr>
      </w:pPr>
      <w:r>
        <w:rPr>
          <w:rFonts w:ascii="Arial" w:hAnsi="Arial" w:cs="Arial"/>
          <w:b/>
          <w:sz w:val="22"/>
          <w:szCs w:val="22"/>
        </w:rPr>
        <w:t xml:space="preserve">DC </w:t>
      </w:r>
      <w:proofErr w:type="spellStart"/>
      <w:r>
        <w:rPr>
          <w:rFonts w:ascii="Arial" w:hAnsi="Arial" w:cs="Arial"/>
          <w:b/>
          <w:sz w:val="22"/>
          <w:szCs w:val="22"/>
        </w:rPr>
        <w:t>Computers</w:t>
      </w:r>
      <w:proofErr w:type="spellEnd"/>
      <w:r>
        <w:rPr>
          <w:rFonts w:ascii="Arial" w:hAnsi="Arial" w:cs="Arial"/>
          <w:b/>
          <w:sz w:val="22"/>
          <w:szCs w:val="22"/>
        </w:rPr>
        <w:t xml:space="preserve"> s.r.o.</w:t>
      </w:r>
    </w:p>
    <w:p w14:paraId="48D4EA35" w14:textId="77777777" w:rsidR="005F4FFF" w:rsidRDefault="005F4FFF" w:rsidP="005F4FFF">
      <w:pPr>
        <w:rPr>
          <w:rFonts w:ascii="Arial" w:hAnsi="Arial" w:cs="Arial"/>
          <w:sz w:val="22"/>
          <w:szCs w:val="22"/>
        </w:rPr>
      </w:pPr>
      <w:r>
        <w:rPr>
          <w:rFonts w:ascii="Arial" w:hAnsi="Arial" w:cs="Arial"/>
          <w:sz w:val="22"/>
          <w:szCs w:val="22"/>
        </w:rPr>
        <w:t>se sídlem Nádražní 42/82, 150 00 Praha 5</w:t>
      </w:r>
    </w:p>
    <w:p w14:paraId="2B29C693" w14:textId="77777777" w:rsidR="005F4FFF" w:rsidRDefault="005F4FFF" w:rsidP="005F4FFF">
      <w:pPr>
        <w:rPr>
          <w:rFonts w:ascii="Arial" w:hAnsi="Arial" w:cs="Arial"/>
          <w:sz w:val="22"/>
          <w:szCs w:val="22"/>
        </w:rPr>
      </w:pPr>
      <w:r>
        <w:rPr>
          <w:rFonts w:ascii="Arial" w:hAnsi="Arial" w:cs="Arial"/>
          <w:sz w:val="22"/>
          <w:szCs w:val="22"/>
        </w:rPr>
        <w:t xml:space="preserve">IČ: 25680781 </w:t>
      </w:r>
    </w:p>
    <w:p w14:paraId="7CB3CEA3" w14:textId="77777777" w:rsidR="005F4FFF" w:rsidRDefault="005F4FFF" w:rsidP="005F4FFF">
      <w:pPr>
        <w:jc w:val="both"/>
        <w:rPr>
          <w:rFonts w:ascii="Arial" w:hAnsi="Arial" w:cs="Arial"/>
          <w:sz w:val="22"/>
          <w:szCs w:val="22"/>
        </w:rPr>
      </w:pPr>
      <w:r>
        <w:rPr>
          <w:rFonts w:ascii="Arial" w:hAnsi="Arial" w:cs="Arial"/>
          <w:sz w:val="22"/>
          <w:szCs w:val="22"/>
        </w:rPr>
        <w:t>DIČ: CZ25680781</w:t>
      </w:r>
    </w:p>
    <w:p w14:paraId="6211BB94" w14:textId="77777777" w:rsidR="005F4FFF" w:rsidRPr="004067A5" w:rsidRDefault="005F4FFF" w:rsidP="005F4FFF">
      <w:pPr>
        <w:rPr>
          <w:rFonts w:ascii="Arial" w:hAnsi="Arial" w:cs="Arial"/>
          <w:b/>
          <w:sz w:val="22"/>
          <w:szCs w:val="22"/>
        </w:rPr>
      </w:pPr>
      <w:r>
        <w:rPr>
          <w:rFonts w:ascii="Arial" w:hAnsi="Arial" w:cs="Arial"/>
          <w:sz w:val="22"/>
          <w:szCs w:val="22"/>
        </w:rPr>
        <w:t xml:space="preserve">zastoupená: Ing. Petrem </w:t>
      </w:r>
      <w:proofErr w:type="spellStart"/>
      <w:r>
        <w:rPr>
          <w:rFonts w:ascii="Arial" w:hAnsi="Arial" w:cs="Arial"/>
          <w:sz w:val="22"/>
          <w:szCs w:val="22"/>
        </w:rPr>
        <w:t>Bořánkem</w:t>
      </w:r>
      <w:proofErr w:type="spellEnd"/>
      <w:r>
        <w:rPr>
          <w:rFonts w:ascii="Arial" w:hAnsi="Arial" w:cs="Arial"/>
          <w:sz w:val="22"/>
          <w:szCs w:val="22"/>
        </w:rPr>
        <w:t>, jednatelem</w:t>
      </w:r>
    </w:p>
    <w:p w14:paraId="5D55F5EE" w14:textId="77777777" w:rsidR="005F4FFF" w:rsidRPr="00D42B3D" w:rsidRDefault="005F4FFF" w:rsidP="005F4FFF">
      <w:pPr>
        <w:rPr>
          <w:rFonts w:ascii="Arial" w:hAnsi="Arial" w:cs="Arial"/>
          <w:sz w:val="22"/>
          <w:szCs w:val="22"/>
        </w:rPr>
      </w:pPr>
      <w:r w:rsidRPr="00D8503D">
        <w:rPr>
          <w:rFonts w:ascii="Arial" w:hAnsi="Arial" w:cs="Arial"/>
          <w:sz w:val="22"/>
          <w:szCs w:val="22"/>
        </w:rPr>
        <w:t>(</w:t>
      </w:r>
      <w:r w:rsidRPr="00D8503D">
        <w:rPr>
          <w:rFonts w:ascii="Arial" w:hAnsi="Arial" w:cs="Arial"/>
          <w:bCs/>
          <w:sz w:val="22"/>
          <w:szCs w:val="22"/>
        </w:rPr>
        <w:t xml:space="preserve">dále jen </w:t>
      </w:r>
      <w:r w:rsidRPr="00D8503D">
        <w:rPr>
          <w:rFonts w:ascii="Arial" w:hAnsi="Arial" w:cs="Arial"/>
          <w:b/>
          <w:bCs/>
          <w:sz w:val="22"/>
          <w:szCs w:val="22"/>
        </w:rPr>
        <w:t>„prodávající“</w:t>
      </w:r>
      <w:r w:rsidRPr="00D8503D">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7237ECE2" w:rsidR="00180232" w:rsidRPr="005F4FFF" w:rsidRDefault="00180232" w:rsidP="00D421F7">
      <w:pPr>
        <w:jc w:val="center"/>
        <w:rPr>
          <w:rFonts w:ascii="Arial" w:hAnsi="Arial" w:cs="Arial"/>
          <w:b/>
          <w:sz w:val="22"/>
          <w:szCs w:val="22"/>
        </w:rPr>
      </w:pPr>
      <w:r w:rsidRPr="005F4FFF">
        <w:rPr>
          <w:rFonts w:ascii="Arial" w:hAnsi="Arial" w:cs="Arial"/>
          <w:b/>
          <w:sz w:val="22"/>
          <w:szCs w:val="22"/>
        </w:rPr>
        <w:t>(</w:t>
      </w:r>
      <w:r w:rsidRPr="00D855A2">
        <w:rPr>
          <w:rFonts w:ascii="Arial" w:hAnsi="Arial" w:cs="Arial"/>
          <w:b/>
          <w:sz w:val="22"/>
          <w:szCs w:val="22"/>
        </w:rPr>
        <w:t>ET:</w:t>
      </w:r>
      <w:r w:rsidRPr="005F4FFF">
        <w:rPr>
          <w:rFonts w:ascii="Arial" w:hAnsi="Arial" w:cs="Arial"/>
          <w:b/>
          <w:sz w:val="22"/>
          <w:szCs w:val="22"/>
        </w:rPr>
        <w:t xml:space="preserve"> </w:t>
      </w:r>
      <w:r w:rsidR="005F4FFF" w:rsidRPr="00D855A2">
        <w:rPr>
          <w:rFonts w:ascii="Arial" w:hAnsi="Arial" w:cs="Arial"/>
          <w:b/>
          <w:sz w:val="22"/>
          <w:szCs w:val="22"/>
        </w:rPr>
        <w:t>N006/20/V00031642</w:t>
      </w:r>
      <w:r w:rsidRPr="005F4FF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77777777" w:rsidR="00D421F7" w:rsidRPr="00D42B3D"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0B600558" w:rsidR="00D50EE3" w:rsidRPr="00D42B3D" w:rsidRDefault="00D50EE3" w:rsidP="00C34CD3">
      <w:pPr>
        <w:jc w:val="both"/>
        <w:rPr>
          <w:rFonts w:ascii="Arial" w:hAnsi="Arial" w:cs="Arial"/>
          <w:sz w:val="22"/>
          <w:szCs w:val="22"/>
        </w:rPr>
      </w:pPr>
      <w:r w:rsidRPr="00C81C00">
        <w:rPr>
          <w:rFonts w:ascii="Arial" w:hAnsi="Arial" w:cs="Arial"/>
          <w:sz w:val="22"/>
          <w:szCs w:val="22"/>
        </w:rPr>
        <w:t xml:space="preserve">Prodávající se zavazuje </w:t>
      </w:r>
      <w:r w:rsidR="006C4F2B" w:rsidRPr="00C81C00">
        <w:rPr>
          <w:rFonts w:ascii="Arial" w:hAnsi="Arial" w:cs="Arial"/>
          <w:sz w:val="22"/>
          <w:szCs w:val="22"/>
        </w:rPr>
        <w:t xml:space="preserve">dodat kupujícímu </w:t>
      </w:r>
      <w:bookmarkStart w:id="0" w:name="_GoBack"/>
      <w:r w:rsidR="001D0D8A">
        <w:rPr>
          <w:rFonts w:ascii="Arial" w:hAnsi="Arial" w:cs="Arial"/>
          <w:sz w:val="22"/>
          <w:szCs w:val="22"/>
        </w:rPr>
        <w:t xml:space="preserve">komponenty ke </w:t>
      </w:r>
      <w:r w:rsidR="00162ED1">
        <w:rPr>
          <w:rFonts w:ascii="Arial" w:hAnsi="Arial" w:cs="Arial"/>
          <w:sz w:val="22"/>
          <w:szCs w:val="22"/>
        </w:rPr>
        <w:t xml:space="preserve"> </w:t>
      </w:r>
      <w:r w:rsidR="001D0D8A">
        <w:rPr>
          <w:rFonts w:ascii="Arial" w:hAnsi="Arial" w:cs="Arial"/>
          <w:sz w:val="22"/>
          <w:szCs w:val="22"/>
        </w:rPr>
        <w:t>stávajícímu poli Fujitsu DX100 S5</w:t>
      </w:r>
      <w:r w:rsidR="00162ED1">
        <w:rPr>
          <w:rFonts w:ascii="Arial" w:hAnsi="Arial" w:cs="Arial"/>
          <w:sz w:val="22"/>
          <w:szCs w:val="22"/>
        </w:rPr>
        <w:t xml:space="preserve"> </w:t>
      </w:r>
      <w:r w:rsidR="001D0D8A">
        <w:rPr>
          <w:rFonts w:ascii="Arial" w:hAnsi="Arial" w:cs="Arial"/>
          <w:sz w:val="22"/>
          <w:szCs w:val="22"/>
        </w:rPr>
        <w:t xml:space="preserve">a </w:t>
      </w:r>
      <w:r w:rsidR="00162ED1">
        <w:rPr>
          <w:rFonts w:ascii="Arial" w:hAnsi="Arial" w:cs="Arial"/>
          <w:sz w:val="22"/>
          <w:szCs w:val="22"/>
        </w:rPr>
        <w:t xml:space="preserve">1 kus </w:t>
      </w:r>
      <w:r w:rsidR="001B7F4E">
        <w:rPr>
          <w:rFonts w:ascii="Arial" w:hAnsi="Arial" w:cs="Arial"/>
          <w:sz w:val="22"/>
          <w:szCs w:val="22"/>
        </w:rPr>
        <w:t xml:space="preserve"> nového </w:t>
      </w:r>
      <w:r w:rsidR="00162ED1">
        <w:rPr>
          <w:rFonts w:ascii="Arial" w:hAnsi="Arial" w:cs="Arial"/>
          <w:sz w:val="22"/>
          <w:szCs w:val="22"/>
        </w:rPr>
        <w:t>záložního pole</w:t>
      </w:r>
      <w:bookmarkEnd w:id="0"/>
      <w:r w:rsidR="001D0D8A">
        <w:rPr>
          <w:rFonts w:ascii="Arial" w:hAnsi="Arial" w:cs="Arial"/>
          <w:sz w:val="22"/>
          <w:szCs w:val="22"/>
        </w:rPr>
        <w:t xml:space="preserve"> </w:t>
      </w:r>
      <w:r w:rsidR="006C4F2B">
        <w:rPr>
          <w:rFonts w:ascii="Arial" w:hAnsi="Arial" w:cs="Arial"/>
          <w:sz w:val="22"/>
          <w:szCs w:val="22"/>
        </w:rPr>
        <w:t>(vč. z</w:t>
      </w:r>
      <w:r w:rsidR="00391C11">
        <w:rPr>
          <w:rFonts w:ascii="Arial" w:hAnsi="Arial" w:cs="Arial"/>
          <w:sz w:val="22"/>
          <w:szCs w:val="22"/>
        </w:rPr>
        <w:t>prostředkování podpory a poskytnutí licencí</w:t>
      </w:r>
      <w:r w:rsidR="000A32D9">
        <w:rPr>
          <w:rFonts w:ascii="Arial" w:hAnsi="Arial" w:cs="Arial"/>
          <w:sz w:val="22"/>
          <w:szCs w:val="22"/>
        </w:rPr>
        <w:t xml:space="preserve"> </w:t>
      </w:r>
      <w:r w:rsidR="006853A4">
        <w:rPr>
          <w:rFonts w:ascii="Arial" w:hAnsi="Arial" w:cs="Arial"/>
          <w:sz w:val="22"/>
          <w:szCs w:val="22"/>
        </w:rPr>
        <w:t>k užití tohoto zboží</w:t>
      </w:r>
      <w:r w:rsidR="006C4F2B">
        <w:rPr>
          <w:rFonts w:ascii="Arial" w:hAnsi="Arial" w:cs="Arial"/>
          <w:sz w:val="22"/>
          <w:szCs w:val="22"/>
        </w:rPr>
        <w:t>)</w:t>
      </w:r>
      <w:r w:rsidR="006853A4">
        <w:rPr>
          <w:rFonts w:ascii="Arial" w:hAnsi="Arial" w:cs="Arial"/>
          <w:sz w:val="22"/>
          <w:szCs w:val="22"/>
        </w:rPr>
        <w:t xml:space="preserve"> dle níže uvedené specifikace </w:t>
      </w:r>
      <w:r w:rsidRPr="00D42B3D">
        <w:rPr>
          <w:rFonts w:ascii="Arial" w:hAnsi="Arial" w:cs="Arial"/>
          <w:sz w:val="22"/>
          <w:szCs w:val="22"/>
        </w:rPr>
        <w:t>(dále jen předmět koupě či zboží)</w:t>
      </w:r>
      <w:r w:rsidR="006853A4">
        <w:rPr>
          <w:rFonts w:ascii="Arial" w:hAnsi="Arial" w:cs="Arial"/>
          <w:sz w:val="22"/>
          <w:szCs w:val="22"/>
        </w:rPr>
        <w:t>,</w:t>
      </w:r>
      <w:r w:rsidRPr="00D42B3D">
        <w:rPr>
          <w:rFonts w:ascii="Arial" w:hAnsi="Arial" w:cs="Arial"/>
          <w:sz w:val="22"/>
          <w:szCs w:val="22"/>
        </w:rPr>
        <w:t xml:space="preserve"> převést na kupujícího vlastnické právo k předmětu koupě</w:t>
      </w:r>
      <w:r w:rsidR="000A32D9">
        <w:rPr>
          <w:rFonts w:ascii="Arial" w:hAnsi="Arial" w:cs="Arial"/>
          <w:sz w:val="22"/>
          <w:szCs w:val="22"/>
        </w:rPr>
        <w:t xml:space="preserve"> </w:t>
      </w:r>
      <w:r w:rsidR="00502397" w:rsidRPr="00A933E2">
        <w:rPr>
          <w:rFonts w:ascii="Arial" w:hAnsi="Arial" w:cs="Arial"/>
          <w:sz w:val="22"/>
          <w:szCs w:val="22"/>
        </w:rPr>
        <w:t>a provést instalaci předmětu koupě</w:t>
      </w:r>
      <w:r w:rsidR="001D0D8A">
        <w:rPr>
          <w:rFonts w:ascii="Arial" w:hAnsi="Arial" w:cs="Arial"/>
          <w:sz w:val="22"/>
          <w:szCs w:val="22"/>
        </w:rPr>
        <w:t xml:space="preserve"> včetně zprovoznění</w:t>
      </w:r>
      <w:r w:rsidR="005023ED">
        <w:rPr>
          <w:rFonts w:ascii="Arial" w:hAnsi="Arial" w:cs="Arial"/>
          <w:sz w:val="22"/>
          <w:szCs w:val="22"/>
        </w:rPr>
        <w:t>,</w:t>
      </w:r>
      <w:r w:rsidR="008473AC">
        <w:rPr>
          <w:rFonts w:ascii="Arial" w:hAnsi="Arial" w:cs="Arial"/>
          <w:sz w:val="22"/>
          <w:szCs w:val="22"/>
        </w:rPr>
        <w:t xml:space="preserve"> tak aby plnilo funkci centrálního sítového datového uložiště</w:t>
      </w:r>
      <w:r w:rsidR="00D57EA8">
        <w:rPr>
          <w:rFonts w:ascii="Arial" w:hAnsi="Arial" w:cs="Arial"/>
          <w:sz w:val="22"/>
          <w:szCs w:val="22"/>
        </w:rPr>
        <w:t xml:space="preserve">. </w:t>
      </w:r>
      <w:r w:rsidRPr="00D42B3D">
        <w:rPr>
          <w:rFonts w:ascii="Arial" w:hAnsi="Arial" w:cs="Arial"/>
          <w:sz w:val="22"/>
          <w:szCs w:val="22"/>
        </w:rPr>
        <w:t xml:space="preserve">Kupující se zavazuje </w:t>
      </w:r>
      <w:r w:rsidR="00CD0655">
        <w:rPr>
          <w:rFonts w:ascii="Arial" w:hAnsi="Arial" w:cs="Arial"/>
          <w:sz w:val="22"/>
          <w:szCs w:val="22"/>
        </w:rPr>
        <w:t xml:space="preserve">převzít výše uvedené zařízení a </w:t>
      </w:r>
      <w:r w:rsidRPr="00D42B3D">
        <w:rPr>
          <w:rFonts w:ascii="Arial" w:hAnsi="Arial" w:cs="Arial"/>
          <w:sz w:val="22"/>
          <w:szCs w:val="22"/>
        </w:rPr>
        <w:t>uhradit prodávajícímu za předmět koupě sjednanou cenu.</w:t>
      </w:r>
    </w:p>
    <w:p w14:paraId="29DD26AE" w14:textId="77777777" w:rsidR="00D50EE3" w:rsidRDefault="00D50EE3" w:rsidP="00D421F7">
      <w:pPr>
        <w:jc w:val="both"/>
        <w:rPr>
          <w:rFonts w:ascii="Arial" w:hAnsi="Arial" w:cs="Arial"/>
          <w:sz w:val="22"/>
          <w:szCs w:val="22"/>
        </w:rPr>
      </w:pPr>
    </w:p>
    <w:p w14:paraId="2421AD31" w14:textId="77777777" w:rsidR="006853A4" w:rsidRDefault="006853A4" w:rsidP="006853A4">
      <w:pPr>
        <w:spacing w:after="120"/>
        <w:rPr>
          <w:rFonts w:ascii="Arial" w:hAnsi="Arial" w:cs="Arial"/>
          <w:b/>
          <w:sz w:val="22"/>
        </w:rPr>
      </w:pPr>
      <w:r w:rsidRPr="00A933E2">
        <w:rPr>
          <w:rFonts w:ascii="Arial" w:hAnsi="Arial" w:cs="Arial"/>
          <w:sz w:val="22"/>
          <w:szCs w:val="22"/>
        </w:rPr>
        <w:t>Specifikace předmětu koupě:</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825"/>
        <w:gridCol w:w="850"/>
        <w:gridCol w:w="851"/>
        <w:gridCol w:w="1134"/>
        <w:gridCol w:w="1134"/>
        <w:gridCol w:w="1275"/>
      </w:tblGrid>
      <w:tr w:rsidR="0069256F" w14:paraId="169991B3" w14:textId="77777777" w:rsidTr="00D855A2">
        <w:trPr>
          <w:trHeight w:val="251"/>
          <w:jc w:val="center"/>
        </w:trPr>
        <w:tc>
          <w:tcPr>
            <w:tcW w:w="3825"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850"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851"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4"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275"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69256F" w:rsidRPr="006E137A" w14:paraId="4E145887" w14:textId="77777777" w:rsidTr="00D855A2">
        <w:trPr>
          <w:trHeight w:val="251"/>
          <w:jc w:val="center"/>
        </w:trPr>
        <w:tc>
          <w:tcPr>
            <w:tcW w:w="3825" w:type="dxa"/>
            <w:shd w:val="clear" w:color="auto" w:fill="auto"/>
            <w:vAlign w:val="bottom"/>
          </w:tcPr>
          <w:p w14:paraId="1C774F01" w14:textId="668787CB" w:rsidR="0069256F" w:rsidRPr="006E137A" w:rsidRDefault="0069256F" w:rsidP="0069256F">
            <w:pPr>
              <w:autoSpaceDE w:val="0"/>
              <w:autoSpaceDN w:val="0"/>
              <w:adjustRightInd w:val="0"/>
              <w:rPr>
                <w:rFonts w:ascii="Arial" w:hAnsi="Arial" w:cs="Arial"/>
                <w:bCs/>
                <w:sz w:val="20"/>
                <w:szCs w:val="20"/>
              </w:rPr>
            </w:pPr>
            <w:r w:rsidRPr="006E137A">
              <w:rPr>
                <w:rFonts w:ascii="Calibri" w:hAnsi="Calibri" w:cs="Calibri"/>
                <w:sz w:val="22"/>
                <w:szCs w:val="22"/>
              </w:rPr>
              <w:t>Komponenty do diskového pole DX100 S5 (doplnění)</w:t>
            </w:r>
          </w:p>
        </w:tc>
        <w:tc>
          <w:tcPr>
            <w:tcW w:w="850" w:type="dxa"/>
            <w:shd w:val="clear" w:color="auto" w:fill="auto"/>
            <w:vAlign w:val="bottom"/>
          </w:tcPr>
          <w:p w14:paraId="281E9E13" w14:textId="440E7365" w:rsidR="0069256F" w:rsidRPr="006E137A" w:rsidRDefault="0069256F" w:rsidP="0069256F">
            <w:pPr>
              <w:autoSpaceDE w:val="0"/>
              <w:autoSpaceDN w:val="0"/>
              <w:adjustRightInd w:val="0"/>
              <w:jc w:val="center"/>
              <w:rPr>
                <w:rFonts w:ascii="Arial" w:hAnsi="Arial" w:cs="Arial"/>
                <w:bCs/>
                <w:sz w:val="20"/>
                <w:szCs w:val="20"/>
              </w:rPr>
            </w:pPr>
            <w:r>
              <w:rPr>
                <w:rFonts w:ascii="Calibri" w:hAnsi="Calibri" w:cs="Calibri"/>
                <w:sz w:val="22"/>
                <w:szCs w:val="22"/>
              </w:rPr>
              <w:t>3 roky</w:t>
            </w:r>
          </w:p>
        </w:tc>
        <w:tc>
          <w:tcPr>
            <w:tcW w:w="851" w:type="dxa"/>
            <w:shd w:val="clear" w:color="auto" w:fill="auto"/>
            <w:vAlign w:val="bottom"/>
          </w:tcPr>
          <w:p w14:paraId="39A30808" w14:textId="7820663C" w:rsidR="0069256F" w:rsidRPr="006E137A" w:rsidRDefault="0069256F" w:rsidP="0069256F">
            <w:pPr>
              <w:autoSpaceDE w:val="0"/>
              <w:autoSpaceDN w:val="0"/>
              <w:adjustRightInd w:val="0"/>
              <w:jc w:val="center"/>
              <w:rPr>
                <w:rFonts w:ascii="Arial" w:hAnsi="Arial" w:cs="Arial"/>
                <w:bCs/>
                <w:sz w:val="20"/>
                <w:szCs w:val="20"/>
              </w:rPr>
            </w:pPr>
            <w:r w:rsidRPr="006E137A">
              <w:rPr>
                <w:rFonts w:ascii="Calibri" w:hAnsi="Calibri" w:cs="Calibri"/>
                <w:sz w:val="22"/>
                <w:szCs w:val="22"/>
              </w:rPr>
              <w:t>1</w:t>
            </w:r>
          </w:p>
        </w:tc>
        <w:tc>
          <w:tcPr>
            <w:tcW w:w="1134" w:type="dxa"/>
            <w:shd w:val="clear" w:color="auto" w:fill="auto"/>
            <w:vAlign w:val="bottom"/>
          </w:tcPr>
          <w:p w14:paraId="3E77FF89" w14:textId="0DFEFE11" w:rsidR="0069256F" w:rsidRPr="006E137A" w:rsidRDefault="0069256F" w:rsidP="0069256F">
            <w:pPr>
              <w:autoSpaceDE w:val="0"/>
              <w:autoSpaceDN w:val="0"/>
              <w:adjustRightInd w:val="0"/>
              <w:jc w:val="right"/>
              <w:rPr>
                <w:rFonts w:ascii="Arial" w:hAnsi="Arial" w:cs="Arial"/>
                <w:bCs/>
                <w:sz w:val="20"/>
                <w:szCs w:val="20"/>
              </w:rPr>
            </w:pPr>
            <w:r w:rsidRPr="006E137A">
              <w:rPr>
                <w:rFonts w:ascii="Calibri" w:hAnsi="Calibri" w:cs="Calibri"/>
                <w:sz w:val="22"/>
                <w:szCs w:val="22"/>
              </w:rPr>
              <w:t>223 600,00</w:t>
            </w:r>
          </w:p>
        </w:tc>
        <w:tc>
          <w:tcPr>
            <w:tcW w:w="1134" w:type="dxa"/>
            <w:shd w:val="clear" w:color="auto" w:fill="auto"/>
            <w:vAlign w:val="bottom"/>
          </w:tcPr>
          <w:p w14:paraId="1C930270" w14:textId="0A6585CE" w:rsidR="0069256F" w:rsidRPr="006E137A" w:rsidRDefault="0069256F" w:rsidP="0069256F">
            <w:pPr>
              <w:autoSpaceDE w:val="0"/>
              <w:autoSpaceDN w:val="0"/>
              <w:adjustRightInd w:val="0"/>
              <w:jc w:val="right"/>
              <w:rPr>
                <w:rFonts w:ascii="Arial" w:hAnsi="Arial" w:cs="Arial"/>
                <w:bCs/>
                <w:sz w:val="20"/>
                <w:szCs w:val="20"/>
              </w:rPr>
            </w:pPr>
            <w:r w:rsidRPr="006E137A">
              <w:rPr>
                <w:rFonts w:ascii="Calibri" w:hAnsi="Calibri" w:cs="Calibri"/>
                <w:sz w:val="22"/>
                <w:szCs w:val="22"/>
              </w:rPr>
              <w:t>46 956,00</w:t>
            </w:r>
          </w:p>
        </w:tc>
        <w:tc>
          <w:tcPr>
            <w:tcW w:w="1275" w:type="dxa"/>
            <w:shd w:val="clear" w:color="auto" w:fill="auto"/>
            <w:vAlign w:val="bottom"/>
          </w:tcPr>
          <w:p w14:paraId="4ED14A18" w14:textId="73CAE914" w:rsidR="0069256F" w:rsidRPr="006E137A" w:rsidRDefault="0069256F" w:rsidP="0069256F">
            <w:pPr>
              <w:autoSpaceDE w:val="0"/>
              <w:autoSpaceDN w:val="0"/>
              <w:adjustRightInd w:val="0"/>
              <w:jc w:val="right"/>
              <w:rPr>
                <w:rFonts w:ascii="Arial" w:hAnsi="Arial" w:cs="Arial"/>
                <w:bCs/>
                <w:sz w:val="20"/>
                <w:szCs w:val="20"/>
              </w:rPr>
            </w:pPr>
            <w:r w:rsidRPr="006E137A">
              <w:rPr>
                <w:rFonts w:ascii="Calibri" w:hAnsi="Calibri" w:cs="Calibri"/>
                <w:sz w:val="22"/>
                <w:szCs w:val="22"/>
              </w:rPr>
              <w:t>270 556,00</w:t>
            </w:r>
          </w:p>
        </w:tc>
      </w:tr>
      <w:tr w:rsidR="0069256F" w:rsidRPr="006E137A" w14:paraId="21365D46" w14:textId="77777777" w:rsidTr="00D855A2">
        <w:trPr>
          <w:trHeight w:val="251"/>
          <w:jc w:val="center"/>
        </w:trPr>
        <w:tc>
          <w:tcPr>
            <w:tcW w:w="3825" w:type="dxa"/>
            <w:shd w:val="clear" w:color="auto" w:fill="auto"/>
            <w:vAlign w:val="bottom"/>
          </w:tcPr>
          <w:p w14:paraId="0799B2F6" w14:textId="1166407D" w:rsidR="0069256F" w:rsidRPr="006E137A" w:rsidRDefault="0069256F" w:rsidP="0069256F">
            <w:pPr>
              <w:autoSpaceDE w:val="0"/>
              <w:autoSpaceDN w:val="0"/>
              <w:adjustRightInd w:val="0"/>
              <w:rPr>
                <w:rFonts w:ascii="Arial" w:hAnsi="Arial" w:cs="Arial"/>
                <w:bCs/>
                <w:sz w:val="20"/>
                <w:szCs w:val="20"/>
              </w:rPr>
            </w:pPr>
            <w:r w:rsidRPr="006E137A">
              <w:rPr>
                <w:rFonts w:ascii="Calibri" w:hAnsi="Calibri" w:cs="Calibri"/>
                <w:sz w:val="22"/>
                <w:szCs w:val="22"/>
              </w:rPr>
              <w:t>Záložní diskové pole Typ 1 (DX60 S5)</w:t>
            </w:r>
          </w:p>
        </w:tc>
        <w:tc>
          <w:tcPr>
            <w:tcW w:w="850" w:type="dxa"/>
            <w:shd w:val="clear" w:color="auto" w:fill="auto"/>
            <w:vAlign w:val="bottom"/>
          </w:tcPr>
          <w:p w14:paraId="2E7341D0" w14:textId="5838A921" w:rsidR="0069256F" w:rsidRPr="006E137A" w:rsidRDefault="0069256F" w:rsidP="0069256F">
            <w:pPr>
              <w:autoSpaceDE w:val="0"/>
              <w:autoSpaceDN w:val="0"/>
              <w:adjustRightInd w:val="0"/>
              <w:jc w:val="center"/>
              <w:rPr>
                <w:rFonts w:ascii="Arial" w:hAnsi="Arial" w:cs="Arial"/>
                <w:bCs/>
                <w:sz w:val="20"/>
                <w:szCs w:val="20"/>
              </w:rPr>
            </w:pPr>
            <w:r>
              <w:rPr>
                <w:rFonts w:ascii="Calibri" w:hAnsi="Calibri" w:cs="Calibri"/>
                <w:sz w:val="22"/>
                <w:szCs w:val="22"/>
              </w:rPr>
              <w:t>3 roky</w:t>
            </w:r>
          </w:p>
        </w:tc>
        <w:tc>
          <w:tcPr>
            <w:tcW w:w="851" w:type="dxa"/>
            <w:shd w:val="clear" w:color="auto" w:fill="auto"/>
            <w:vAlign w:val="bottom"/>
          </w:tcPr>
          <w:p w14:paraId="16B0961E" w14:textId="4A5C9BC7" w:rsidR="0069256F" w:rsidRPr="006E137A" w:rsidRDefault="0069256F" w:rsidP="0069256F">
            <w:pPr>
              <w:autoSpaceDE w:val="0"/>
              <w:autoSpaceDN w:val="0"/>
              <w:adjustRightInd w:val="0"/>
              <w:jc w:val="center"/>
              <w:rPr>
                <w:rFonts w:ascii="Arial" w:hAnsi="Arial" w:cs="Arial"/>
                <w:bCs/>
                <w:sz w:val="20"/>
                <w:szCs w:val="20"/>
              </w:rPr>
            </w:pPr>
            <w:r w:rsidRPr="006E137A">
              <w:rPr>
                <w:rFonts w:ascii="Calibri" w:hAnsi="Calibri" w:cs="Calibri"/>
                <w:sz w:val="22"/>
                <w:szCs w:val="22"/>
              </w:rPr>
              <w:t>1</w:t>
            </w:r>
          </w:p>
        </w:tc>
        <w:tc>
          <w:tcPr>
            <w:tcW w:w="1134" w:type="dxa"/>
            <w:shd w:val="clear" w:color="auto" w:fill="auto"/>
            <w:vAlign w:val="bottom"/>
          </w:tcPr>
          <w:p w14:paraId="0F7BB04D" w14:textId="5DD0F057" w:rsidR="0069256F" w:rsidRPr="006E137A" w:rsidRDefault="0069256F" w:rsidP="0069256F">
            <w:pPr>
              <w:autoSpaceDE w:val="0"/>
              <w:autoSpaceDN w:val="0"/>
              <w:adjustRightInd w:val="0"/>
              <w:jc w:val="right"/>
              <w:rPr>
                <w:rFonts w:ascii="Arial" w:hAnsi="Arial" w:cs="Arial"/>
                <w:bCs/>
                <w:sz w:val="20"/>
                <w:szCs w:val="20"/>
              </w:rPr>
            </w:pPr>
            <w:r w:rsidRPr="006E137A">
              <w:rPr>
                <w:rFonts w:ascii="Calibri" w:hAnsi="Calibri" w:cs="Calibri"/>
                <w:sz w:val="22"/>
                <w:szCs w:val="22"/>
              </w:rPr>
              <w:t>269 300,00</w:t>
            </w:r>
          </w:p>
        </w:tc>
        <w:tc>
          <w:tcPr>
            <w:tcW w:w="1134" w:type="dxa"/>
            <w:shd w:val="clear" w:color="auto" w:fill="auto"/>
            <w:vAlign w:val="bottom"/>
          </w:tcPr>
          <w:p w14:paraId="172744AE" w14:textId="33A12BA6" w:rsidR="0069256F" w:rsidRPr="006E137A" w:rsidRDefault="0069256F" w:rsidP="0069256F">
            <w:pPr>
              <w:autoSpaceDE w:val="0"/>
              <w:autoSpaceDN w:val="0"/>
              <w:adjustRightInd w:val="0"/>
              <w:jc w:val="right"/>
              <w:rPr>
                <w:rFonts w:ascii="Arial" w:hAnsi="Arial" w:cs="Arial"/>
                <w:bCs/>
                <w:sz w:val="20"/>
                <w:szCs w:val="20"/>
              </w:rPr>
            </w:pPr>
            <w:r w:rsidRPr="006E137A">
              <w:rPr>
                <w:rFonts w:ascii="Calibri" w:hAnsi="Calibri" w:cs="Calibri"/>
                <w:sz w:val="22"/>
                <w:szCs w:val="22"/>
              </w:rPr>
              <w:t>56 553,00</w:t>
            </w:r>
          </w:p>
        </w:tc>
        <w:tc>
          <w:tcPr>
            <w:tcW w:w="1275" w:type="dxa"/>
            <w:shd w:val="clear" w:color="auto" w:fill="auto"/>
            <w:vAlign w:val="bottom"/>
          </w:tcPr>
          <w:p w14:paraId="58827E5B" w14:textId="49144450" w:rsidR="0069256F" w:rsidRPr="006E137A" w:rsidRDefault="0069256F" w:rsidP="0069256F">
            <w:pPr>
              <w:autoSpaceDE w:val="0"/>
              <w:autoSpaceDN w:val="0"/>
              <w:adjustRightInd w:val="0"/>
              <w:jc w:val="right"/>
              <w:rPr>
                <w:rFonts w:ascii="Arial" w:hAnsi="Arial" w:cs="Arial"/>
                <w:bCs/>
                <w:sz w:val="20"/>
                <w:szCs w:val="20"/>
              </w:rPr>
            </w:pPr>
            <w:r w:rsidRPr="006E137A">
              <w:rPr>
                <w:rFonts w:ascii="Calibri" w:hAnsi="Calibri" w:cs="Calibri"/>
                <w:sz w:val="22"/>
                <w:szCs w:val="22"/>
              </w:rPr>
              <w:t>325 853,00</w:t>
            </w:r>
          </w:p>
        </w:tc>
      </w:tr>
      <w:tr w:rsidR="0069256F" w14:paraId="4DB3B9CC" w14:textId="77777777" w:rsidTr="00D855A2">
        <w:trPr>
          <w:trHeight w:val="251"/>
          <w:jc w:val="center"/>
        </w:trPr>
        <w:tc>
          <w:tcPr>
            <w:tcW w:w="3825" w:type="dxa"/>
            <w:shd w:val="clear" w:color="auto" w:fill="auto"/>
            <w:vAlign w:val="bottom"/>
          </w:tcPr>
          <w:p w14:paraId="7D951CC3" w14:textId="6F476850" w:rsidR="0069256F" w:rsidRPr="00D855A2" w:rsidRDefault="0069256F" w:rsidP="00D855A2">
            <w:pPr>
              <w:suppressAutoHyphens w:val="0"/>
              <w:rPr>
                <w:rFonts w:ascii="Calibri" w:hAnsi="Calibri" w:cs="Calibri"/>
                <w:kern w:val="0"/>
                <w:sz w:val="22"/>
                <w:szCs w:val="22"/>
                <w:lang w:eastAsia="cs-CZ"/>
              </w:rPr>
            </w:pPr>
            <w:r w:rsidRPr="006E137A">
              <w:rPr>
                <w:rFonts w:ascii="Calibri" w:hAnsi="Calibri" w:cs="Calibri"/>
                <w:sz w:val="22"/>
                <w:szCs w:val="22"/>
              </w:rPr>
              <w:t>Instalace včetně zprovoznění centrálního síťového datového úložiště</w:t>
            </w:r>
          </w:p>
        </w:tc>
        <w:tc>
          <w:tcPr>
            <w:tcW w:w="850" w:type="dxa"/>
            <w:shd w:val="clear" w:color="auto" w:fill="auto"/>
            <w:vAlign w:val="bottom"/>
          </w:tcPr>
          <w:p w14:paraId="5C7D705B" w14:textId="10BD3135" w:rsidR="0069256F" w:rsidRPr="006E137A" w:rsidRDefault="0069256F" w:rsidP="0069256F">
            <w:pPr>
              <w:autoSpaceDE w:val="0"/>
              <w:autoSpaceDN w:val="0"/>
              <w:adjustRightInd w:val="0"/>
              <w:jc w:val="center"/>
              <w:rPr>
                <w:rFonts w:ascii="Arial" w:hAnsi="Arial" w:cs="Arial"/>
                <w:sz w:val="20"/>
                <w:szCs w:val="20"/>
              </w:rPr>
            </w:pPr>
          </w:p>
        </w:tc>
        <w:tc>
          <w:tcPr>
            <w:tcW w:w="851" w:type="dxa"/>
            <w:shd w:val="clear" w:color="auto" w:fill="auto"/>
            <w:vAlign w:val="bottom"/>
          </w:tcPr>
          <w:p w14:paraId="534C354A" w14:textId="298D9611" w:rsidR="0069256F" w:rsidRPr="006E137A" w:rsidRDefault="0069256F" w:rsidP="0069256F">
            <w:pPr>
              <w:autoSpaceDE w:val="0"/>
              <w:autoSpaceDN w:val="0"/>
              <w:adjustRightInd w:val="0"/>
              <w:jc w:val="center"/>
              <w:rPr>
                <w:rFonts w:ascii="Arial" w:hAnsi="Arial" w:cs="Arial"/>
                <w:sz w:val="20"/>
                <w:szCs w:val="20"/>
              </w:rPr>
            </w:pPr>
            <w:r w:rsidRPr="006E137A">
              <w:rPr>
                <w:rFonts w:ascii="Calibri" w:hAnsi="Calibri" w:cs="Calibri"/>
                <w:sz w:val="22"/>
                <w:szCs w:val="22"/>
              </w:rPr>
              <w:t>1</w:t>
            </w:r>
          </w:p>
        </w:tc>
        <w:tc>
          <w:tcPr>
            <w:tcW w:w="1134" w:type="dxa"/>
            <w:shd w:val="clear" w:color="auto" w:fill="auto"/>
            <w:vAlign w:val="bottom"/>
          </w:tcPr>
          <w:p w14:paraId="2DA536BE" w14:textId="37C2DE52" w:rsidR="0069256F" w:rsidRPr="006E137A" w:rsidRDefault="0069256F" w:rsidP="0069256F">
            <w:pPr>
              <w:autoSpaceDE w:val="0"/>
              <w:autoSpaceDN w:val="0"/>
              <w:adjustRightInd w:val="0"/>
              <w:jc w:val="right"/>
              <w:rPr>
                <w:rFonts w:ascii="Arial" w:hAnsi="Arial" w:cs="Arial"/>
                <w:sz w:val="20"/>
                <w:szCs w:val="20"/>
              </w:rPr>
            </w:pPr>
            <w:r w:rsidRPr="006E137A">
              <w:rPr>
                <w:rFonts w:ascii="Calibri" w:hAnsi="Calibri" w:cs="Calibri"/>
                <w:sz w:val="22"/>
                <w:szCs w:val="22"/>
              </w:rPr>
              <w:t>30 600,00</w:t>
            </w:r>
          </w:p>
        </w:tc>
        <w:tc>
          <w:tcPr>
            <w:tcW w:w="1134" w:type="dxa"/>
            <w:shd w:val="clear" w:color="auto" w:fill="auto"/>
            <w:vAlign w:val="bottom"/>
          </w:tcPr>
          <w:p w14:paraId="3631EF37" w14:textId="49D7C8F4" w:rsidR="0069256F" w:rsidRPr="006E137A" w:rsidRDefault="0069256F" w:rsidP="0069256F">
            <w:pPr>
              <w:autoSpaceDE w:val="0"/>
              <w:autoSpaceDN w:val="0"/>
              <w:adjustRightInd w:val="0"/>
              <w:jc w:val="right"/>
              <w:rPr>
                <w:rFonts w:ascii="Arial" w:hAnsi="Arial" w:cs="Arial"/>
                <w:sz w:val="20"/>
                <w:szCs w:val="20"/>
              </w:rPr>
            </w:pPr>
            <w:r w:rsidRPr="006E137A">
              <w:rPr>
                <w:rFonts w:ascii="Calibri" w:hAnsi="Calibri" w:cs="Calibri"/>
                <w:sz w:val="22"/>
                <w:szCs w:val="22"/>
              </w:rPr>
              <w:t>6 426,00</w:t>
            </w:r>
          </w:p>
        </w:tc>
        <w:tc>
          <w:tcPr>
            <w:tcW w:w="1275" w:type="dxa"/>
            <w:shd w:val="clear" w:color="auto" w:fill="auto"/>
            <w:vAlign w:val="bottom"/>
          </w:tcPr>
          <w:p w14:paraId="34B2E2CE" w14:textId="76451852" w:rsidR="0069256F" w:rsidRPr="00BC323B" w:rsidRDefault="0069256F" w:rsidP="0069256F">
            <w:pPr>
              <w:autoSpaceDE w:val="0"/>
              <w:autoSpaceDN w:val="0"/>
              <w:adjustRightInd w:val="0"/>
              <w:jc w:val="right"/>
              <w:rPr>
                <w:rFonts w:ascii="Arial" w:hAnsi="Arial" w:cs="Arial"/>
                <w:sz w:val="20"/>
                <w:szCs w:val="20"/>
              </w:rPr>
            </w:pPr>
            <w:r w:rsidRPr="006E137A">
              <w:rPr>
                <w:rFonts w:ascii="Calibri" w:hAnsi="Calibri" w:cs="Calibri"/>
                <w:sz w:val="22"/>
                <w:szCs w:val="22"/>
              </w:rPr>
              <w:t>37 026,00</w:t>
            </w:r>
          </w:p>
        </w:tc>
      </w:tr>
      <w:tr w:rsidR="0069256F" w14:paraId="4E271FD1" w14:textId="77777777" w:rsidTr="00D855A2">
        <w:trPr>
          <w:trHeight w:val="251"/>
          <w:jc w:val="center"/>
        </w:trPr>
        <w:tc>
          <w:tcPr>
            <w:tcW w:w="3825" w:type="dxa"/>
          </w:tcPr>
          <w:p w14:paraId="4BE2ED76" w14:textId="77777777" w:rsidR="0069256F" w:rsidRPr="00AC6211" w:rsidRDefault="0069256F" w:rsidP="0069256F">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850" w:type="dxa"/>
          </w:tcPr>
          <w:p w14:paraId="5BBCB88F" w14:textId="77777777" w:rsidR="0069256F" w:rsidRDefault="0069256F" w:rsidP="0069256F">
            <w:pPr>
              <w:autoSpaceDE w:val="0"/>
              <w:autoSpaceDN w:val="0"/>
              <w:adjustRightInd w:val="0"/>
              <w:jc w:val="center"/>
              <w:rPr>
                <w:rFonts w:ascii="Arial" w:hAnsi="Arial" w:cs="Arial"/>
                <w:b/>
                <w:color w:val="000000"/>
                <w:sz w:val="20"/>
                <w:szCs w:val="20"/>
              </w:rPr>
            </w:pPr>
          </w:p>
        </w:tc>
        <w:tc>
          <w:tcPr>
            <w:tcW w:w="851" w:type="dxa"/>
            <w:vAlign w:val="bottom"/>
          </w:tcPr>
          <w:p w14:paraId="720126FB" w14:textId="77777777" w:rsidR="0069256F" w:rsidRDefault="0069256F" w:rsidP="0069256F">
            <w:pPr>
              <w:autoSpaceDE w:val="0"/>
              <w:autoSpaceDN w:val="0"/>
              <w:adjustRightInd w:val="0"/>
              <w:jc w:val="center"/>
              <w:rPr>
                <w:rFonts w:ascii="Arial" w:hAnsi="Arial" w:cs="Arial"/>
                <w:b/>
                <w:color w:val="000000"/>
                <w:sz w:val="20"/>
                <w:szCs w:val="20"/>
              </w:rPr>
            </w:pPr>
          </w:p>
        </w:tc>
        <w:tc>
          <w:tcPr>
            <w:tcW w:w="1134" w:type="dxa"/>
            <w:vAlign w:val="bottom"/>
          </w:tcPr>
          <w:p w14:paraId="31414DA4" w14:textId="53C30044" w:rsidR="0069256F" w:rsidRPr="00245137" w:rsidRDefault="0069256F" w:rsidP="0069256F">
            <w:pPr>
              <w:autoSpaceDE w:val="0"/>
              <w:autoSpaceDN w:val="0"/>
              <w:adjustRightInd w:val="0"/>
              <w:jc w:val="right"/>
              <w:rPr>
                <w:rFonts w:ascii="Arial" w:hAnsi="Arial" w:cs="Arial"/>
                <w:b/>
                <w:color w:val="000000"/>
                <w:sz w:val="20"/>
                <w:szCs w:val="20"/>
              </w:rPr>
            </w:pPr>
            <w:r>
              <w:rPr>
                <w:rFonts w:ascii="Calibri" w:hAnsi="Calibri" w:cs="Calibri"/>
                <w:b/>
                <w:bCs/>
                <w:color w:val="000000"/>
                <w:sz w:val="22"/>
                <w:szCs w:val="22"/>
              </w:rPr>
              <w:t>523 500,00</w:t>
            </w:r>
          </w:p>
        </w:tc>
        <w:tc>
          <w:tcPr>
            <w:tcW w:w="1134" w:type="dxa"/>
            <w:vAlign w:val="bottom"/>
          </w:tcPr>
          <w:p w14:paraId="314C5A21" w14:textId="7AEE21EB" w:rsidR="0069256F" w:rsidRPr="00606458" w:rsidRDefault="0069256F" w:rsidP="0069256F">
            <w:pPr>
              <w:autoSpaceDE w:val="0"/>
              <w:autoSpaceDN w:val="0"/>
              <w:adjustRightInd w:val="0"/>
              <w:jc w:val="right"/>
              <w:rPr>
                <w:rFonts w:ascii="Arial" w:hAnsi="Arial" w:cs="Arial"/>
                <w:b/>
                <w:color w:val="000000"/>
                <w:sz w:val="20"/>
                <w:szCs w:val="20"/>
              </w:rPr>
            </w:pPr>
            <w:r>
              <w:rPr>
                <w:rFonts w:ascii="Calibri" w:hAnsi="Calibri" w:cs="Calibri"/>
                <w:b/>
                <w:bCs/>
                <w:color w:val="000000"/>
                <w:sz w:val="22"/>
                <w:szCs w:val="22"/>
              </w:rPr>
              <w:t>109 935,00</w:t>
            </w:r>
          </w:p>
        </w:tc>
        <w:tc>
          <w:tcPr>
            <w:tcW w:w="1275" w:type="dxa"/>
            <w:vAlign w:val="bottom"/>
          </w:tcPr>
          <w:p w14:paraId="592A7DC0" w14:textId="1C981FD2" w:rsidR="0069256F" w:rsidRPr="007F03D3" w:rsidRDefault="0069256F" w:rsidP="0069256F">
            <w:pPr>
              <w:autoSpaceDE w:val="0"/>
              <w:autoSpaceDN w:val="0"/>
              <w:adjustRightInd w:val="0"/>
              <w:jc w:val="right"/>
              <w:rPr>
                <w:rFonts w:ascii="Arial" w:hAnsi="Arial" w:cs="Arial"/>
                <w:b/>
                <w:color w:val="000000"/>
                <w:sz w:val="20"/>
                <w:szCs w:val="20"/>
              </w:rPr>
            </w:pPr>
            <w:r>
              <w:rPr>
                <w:rFonts w:ascii="Calibri" w:hAnsi="Calibri" w:cs="Calibri"/>
                <w:b/>
                <w:bCs/>
                <w:color w:val="000000"/>
                <w:sz w:val="22"/>
                <w:szCs w:val="22"/>
              </w:rPr>
              <w:t>633 435,00</w:t>
            </w:r>
          </w:p>
        </w:tc>
      </w:tr>
    </w:tbl>
    <w:p w14:paraId="0399AD6A" w14:textId="77777777" w:rsidR="003122CB" w:rsidRDefault="003122CB" w:rsidP="00C34CD3">
      <w:pPr>
        <w:spacing w:after="120"/>
        <w:jc w:val="both"/>
        <w:rPr>
          <w:rFonts w:ascii="Arial" w:hAnsi="Arial" w:cs="Arial"/>
          <w:sz w:val="22"/>
        </w:rPr>
      </w:pP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w:t>
      </w:r>
      <w:r>
        <w:rPr>
          <w:rFonts w:ascii="Arial" w:hAnsi="Arial" w:cs="Arial"/>
          <w:sz w:val="22"/>
        </w:rPr>
        <w:lastRenderedPageBreak/>
        <w:t>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4E1AE3D3" w:rsidR="00D12006" w:rsidRPr="00D855A2" w:rsidRDefault="00D12006" w:rsidP="00225523">
      <w:pPr>
        <w:ind w:left="142" w:firstLine="567"/>
        <w:jc w:val="both"/>
        <w:rPr>
          <w:rFonts w:ascii="Arial" w:hAnsi="Arial" w:cs="Arial"/>
          <w:b/>
          <w:sz w:val="22"/>
          <w:szCs w:val="22"/>
        </w:rPr>
      </w:pPr>
      <w:r w:rsidRPr="00D855A2">
        <w:rPr>
          <w:rFonts w:ascii="Arial" w:hAnsi="Arial" w:cs="Arial"/>
          <w:b/>
          <w:sz w:val="22"/>
        </w:rPr>
        <w:t>Celkem bez DPH</w:t>
      </w:r>
      <w:r w:rsidRPr="00D855A2">
        <w:rPr>
          <w:rFonts w:ascii="Arial" w:hAnsi="Arial" w:cs="Arial"/>
          <w:b/>
          <w:sz w:val="22"/>
        </w:rPr>
        <w:tab/>
      </w:r>
      <w:r w:rsidRPr="00D855A2">
        <w:rPr>
          <w:rFonts w:ascii="Arial" w:hAnsi="Arial" w:cs="Arial"/>
          <w:b/>
          <w:sz w:val="22"/>
        </w:rPr>
        <w:tab/>
      </w:r>
      <w:r w:rsidRPr="00D855A2">
        <w:rPr>
          <w:rFonts w:ascii="Arial" w:hAnsi="Arial" w:cs="Arial"/>
          <w:b/>
          <w:sz w:val="22"/>
        </w:rPr>
        <w:tab/>
        <w:t xml:space="preserve">    </w:t>
      </w:r>
      <w:r w:rsidR="006E137A" w:rsidRPr="00D855A2">
        <w:rPr>
          <w:rFonts w:ascii="Arial" w:hAnsi="Arial" w:cs="Arial"/>
          <w:b/>
          <w:sz w:val="22"/>
        </w:rPr>
        <w:t>523.500</w:t>
      </w:r>
      <w:r w:rsidRPr="00D855A2">
        <w:rPr>
          <w:rFonts w:ascii="Arial" w:hAnsi="Arial" w:cs="Arial"/>
          <w:b/>
          <w:sz w:val="22"/>
        </w:rPr>
        <w:t xml:space="preserve">,00 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77777777" w:rsidR="00D421F7" w:rsidRDefault="00D421F7"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5392043D"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D12006">
        <w:rPr>
          <w:rFonts w:ascii="Arial" w:hAnsi="Arial" w:cs="Arial"/>
          <w:color w:val="000000"/>
          <w:sz w:val="22"/>
          <w:szCs w:val="22"/>
        </w:rPr>
        <w:t>30</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4CF17178"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p. Roman Struk, nebo p. Jiří Kalendovský,.</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77777777"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77777777"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77777777"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77777777"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58B2031B" w14:textId="5436190B" w:rsidR="00B72CB0" w:rsidRDefault="00B72CB0"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Default="00B72CB0" w:rsidP="00220255">
            <w:pPr>
              <w:ind w:right="-70"/>
              <w:jc w:val="center"/>
              <w:rPr>
                <w:rFonts w:ascii="Arial" w:hAnsi="Arial" w:cs="Arial"/>
                <w:sz w:val="22"/>
                <w:szCs w:val="22"/>
              </w:rPr>
            </w:pPr>
            <w:r>
              <w:rPr>
                <w:rFonts w:ascii="Arial" w:hAnsi="Arial" w:cs="Arial"/>
                <w:sz w:val="22"/>
                <w:szCs w:val="22"/>
              </w:rPr>
              <w:t>………………………………….</w:t>
            </w:r>
          </w:p>
          <w:p w14:paraId="78137D19" w14:textId="77777777" w:rsidR="005F4FFF" w:rsidRDefault="005F4FFF" w:rsidP="005F4FFF">
            <w:pPr>
              <w:ind w:right="-70"/>
              <w:jc w:val="center"/>
              <w:rPr>
                <w:rFonts w:ascii="Arial" w:hAnsi="Arial" w:cs="Arial"/>
                <w:kern w:val="0"/>
                <w:sz w:val="22"/>
                <w:szCs w:val="22"/>
                <w:lang w:eastAsia="cs-CZ"/>
              </w:rPr>
            </w:pPr>
            <w:r>
              <w:rPr>
                <w:rFonts w:ascii="Arial" w:hAnsi="Arial" w:cs="Arial"/>
                <w:sz w:val="22"/>
                <w:szCs w:val="22"/>
              </w:rPr>
              <w:t xml:space="preserve">DC </w:t>
            </w:r>
            <w:proofErr w:type="spellStart"/>
            <w:r>
              <w:rPr>
                <w:rFonts w:ascii="Arial" w:hAnsi="Arial" w:cs="Arial"/>
                <w:sz w:val="22"/>
                <w:szCs w:val="22"/>
              </w:rPr>
              <w:t>Computers</w:t>
            </w:r>
            <w:proofErr w:type="spellEnd"/>
            <w:r>
              <w:rPr>
                <w:rFonts w:ascii="Arial" w:hAnsi="Arial" w:cs="Arial"/>
                <w:sz w:val="22"/>
                <w:szCs w:val="22"/>
              </w:rPr>
              <w:t xml:space="preserve"> s.r.o.</w:t>
            </w:r>
          </w:p>
          <w:p w14:paraId="1EB31C99" w14:textId="77777777" w:rsidR="005F4FFF" w:rsidRDefault="005F4FFF" w:rsidP="005F4FFF">
            <w:pPr>
              <w:ind w:right="-70"/>
              <w:jc w:val="center"/>
              <w:rPr>
                <w:rFonts w:ascii="Arial" w:hAnsi="Arial" w:cs="Arial"/>
                <w:sz w:val="22"/>
                <w:szCs w:val="22"/>
              </w:rPr>
            </w:pPr>
            <w:r>
              <w:rPr>
                <w:rFonts w:ascii="Arial" w:hAnsi="Arial" w:cs="Arial"/>
                <w:sz w:val="22"/>
                <w:szCs w:val="22"/>
              </w:rPr>
              <w:lastRenderedPageBreak/>
              <w:t xml:space="preserve">Ing. Petr </w:t>
            </w:r>
            <w:proofErr w:type="spellStart"/>
            <w:r>
              <w:rPr>
                <w:rFonts w:ascii="Arial" w:hAnsi="Arial" w:cs="Arial"/>
                <w:sz w:val="22"/>
                <w:szCs w:val="22"/>
              </w:rPr>
              <w:t>Bořánek</w:t>
            </w:r>
            <w:proofErr w:type="spellEnd"/>
          </w:p>
          <w:p w14:paraId="1FBDD427" w14:textId="0F1D5D42" w:rsidR="00B72CB0" w:rsidRDefault="005F4FFF" w:rsidP="00220255">
            <w:pPr>
              <w:ind w:right="-70"/>
              <w:jc w:val="center"/>
              <w:rPr>
                <w:rFonts w:ascii="Arial" w:hAnsi="Arial" w:cs="Arial"/>
                <w:sz w:val="22"/>
                <w:szCs w:val="22"/>
              </w:rPr>
            </w:pPr>
            <w:r>
              <w:rPr>
                <w:rFonts w:ascii="Arial" w:hAnsi="Arial" w:cs="Arial"/>
                <w:sz w:val="22"/>
                <w:szCs w:val="22"/>
              </w:rPr>
              <w:t>jednatel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lastRenderedPageBreak/>
              <w:t>………………………………….</w:t>
            </w:r>
          </w:p>
          <w:p w14:paraId="7357CD77" w14:textId="77777777" w:rsidR="00B72CB0" w:rsidRDefault="00B72CB0" w:rsidP="00220255">
            <w:pPr>
              <w:ind w:right="-70"/>
              <w:jc w:val="center"/>
              <w:rPr>
                <w:rFonts w:ascii="Arial" w:hAnsi="Arial" w:cs="Arial"/>
                <w:sz w:val="22"/>
                <w:szCs w:val="22"/>
              </w:rPr>
            </w:pPr>
            <w:r w:rsidRPr="00B72CB0">
              <w:rPr>
                <w:rFonts w:ascii="Arial" w:hAnsi="Arial" w:cs="Arial"/>
                <w:sz w:val="22"/>
                <w:szCs w:val="22"/>
              </w:rPr>
              <w:t xml:space="preserve"> </w:t>
            </w:r>
            <w:r>
              <w:rPr>
                <w:rFonts w:ascii="Arial" w:hAnsi="Arial" w:cs="Arial"/>
                <w:sz w:val="22"/>
                <w:szCs w:val="22"/>
              </w:rPr>
              <w:t>Národní divadlo</w:t>
            </w:r>
          </w:p>
          <w:p w14:paraId="0A7254E1" w14:textId="23B97500" w:rsidR="00B72CB0" w:rsidRDefault="006E1738" w:rsidP="00220255">
            <w:pPr>
              <w:ind w:right="-70"/>
              <w:jc w:val="center"/>
              <w:rPr>
                <w:rFonts w:ascii="Arial" w:hAnsi="Arial" w:cs="Arial"/>
                <w:sz w:val="22"/>
                <w:szCs w:val="22"/>
              </w:rPr>
            </w:pPr>
            <w:r>
              <w:rPr>
                <w:rFonts w:ascii="Arial" w:hAnsi="Arial" w:cs="Arial"/>
                <w:sz w:val="22"/>
                <w:szCs w:val="22"/>
              </w:rPr>
              <w:lastRenderedPageBreak/>
              <w:t>prof</w:t>
            </w:r>
            <w:r w:rsidR="00B72CB0">
              <w:rPr>
                <w:rFonts w:ascii="Arial" w:hAnsi="Arial" w:cs="Arial"/>
                <w:sz w:val="22"/>
                <w:szCs w:val="22"/>
              </w:rPr>
              <w:t xml:space="preserve">. </w:t>
            </w:r>
            <w:proofErr w:type="spellStart"/>
            <w:r w:rsidR="00B72CB0">
              <w:rPr>
                <w:rFonts w:ascii="Arial" w:hAnsi="Arial" w:cs="Arial"/>
                <w:sz w:val="22"/>
                <w:szCs w:val="22"/>
              </w:rPr>
              <w:t>MgA</w:t>
            </w:r>
            <w:proofErr w:type="spellEnd"/>
            <w:r w:rsidR="00B72CB0">
              <w:rPr>
                <w:rFonts w:ascii="Arial" w:hAnsi="Arial" w:cs="Arial"/>
                <w:sz w:val="22"/>
                <w:szCs w:val="22"/>
              </w:rPr>
              <w:t>. Jan Burian</w:t>
            </w:r>
          </w:p>
          <w:p w14:paraId="5F2EFEF3" w14:textId="77777777" w:rsidR="00B72CB0" w:rsidRDefault="00B72CB0" w:rsidP="00B72CB0">
            <w:pPr>
              <w:ind w:right="-70"/>
              <w:jc w:val="center"/>
              <w:rPr>
                <w:rFonts w:ascii="Arial" w:hAnsi="Arial" w:cs="Arial"/>
                <w:sz w:val="22"/>
                <w:szCs w:val="22"/>
              </w:rPr>
            </w:pPr>
            <w:r>
              <w:rPr>
                <w:rFonts w:ascii="Arial" w:hAnsi="Arial" w:cs="Arial"/>
                <w:sz w:val="22"/>
                <w:szCs w:val="22"/>
              </w:rPr>
              <w:t>ředitel ND</w:t>
            </w:r>
          </w:p>
        </w:tc>
      </w:tr>
    </w:tbl>
    <w:p w14:paraId="57B99DBB" w14:textId="77777777" w:rsidR="008F7C79" w:rsidRPr="00D42B3D" w:rsidRDefault="008F7C79" w:rsidP="00076553">
      <w:pPr>
        <w:rPr>
          <w:rFonts w:ascii="Arial" w:hAnsi="Arial" w:cs="Arial"/>
          <w:sz w:val="22"/>
          <w:szCs w:val="22"/>
        </w:rPr>
      </w:pPr>
    </w:p>
    <w:sectPr w:rsidR="008F7C79" w:rsidRPr="00D42B3D" w:rsidSect="00502397">
      <w:footerReference w:type="default" r:id="rId9"/>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CA23" w14:textId="77777777" w:rsidR="00AC5B46" w:rsidRDefault="00AC5B46" w:rsidP="005B1606">
      <w:r>
        <w:separator/>
      </w:r>
    </w:p>
  </w:endnote>
  <w:endnote w:type="continuationSeparator" w:id="0">
    <w:p w14:paraId="0100A110" w14:textId="77777777" w:rsidR="00AC5B46" w:rsidRDefault="00AC5B46"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40470139"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EF6D62">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114E" w14:textId="77777777" w:rsidR="00AC5B46" w:rsidRDefault="00AC5B46" w:rsidP="005B1606">
      <w:r>
        <w:separator/>
      </w:r>
    </w:p>
  </w:footnote>
  <w:footnote w:type="continuationSeparator" w:id="0">
    <w:p w14:paraId="67A87F1F" w14:textId="77777777" w:rsidR="00AC5B46" w:rsidRDefault="00AC5B46"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179FA"/>
    <w:rsid w:val="000219B7"/>
    <w:rsid w:val="00026472"/>
    <w:rsid w:val="000352E0"/>
    <w:rsid w:val="00061AC5"/>
    <w:rsid w:val="000646BF"/>
    <w:rsid w:val="00076553"/>
    <w:rsid w:val="0008264C"/>
    <w:rsid w:val="000973C7"/>
    <w:rsid w:val="000A32D9"/>
    <w:rsid w:val="000A47FC"/>
    <w:rsid w:val="000B3014"/>
    <w:rsid w:val="000E227A"/>
    <w:rsid w:val="001077B0"/>
    <w:rsid w:val="001163C6"/>
    <w:rsid w:val="00140F47"/>
    <w:rsid w:val="00154ABD"/>
    <w:rsid w:val="00156E64"/>
    <w:rsid w:val="00162ED1"/>
    <w:rsid w:val="001731F3"/>
    <w:rsid w:val="00173B24"/>
    <w:rsid w:val="00176AC9"/>
    <w:rsid w:val="00180232"/>
    <w:rsid w:val="001B1252"/>
    <w:rsid w:val="001B1BD2"/>
    <w:rsid w:val="001B7F4E"/>
    <w:rsid w:val="001D0D8A"/>
    <w:rsid w:val="001D2958"/>
    <w:rsid w:val="001D5DDA"/>
    <w:rsid w:val="001D78C0"/>
    <w:rsid w:val="001E158E"/>
    <w:rsid w:val="00225523"/>
    <w:rsid w:val="00230D2B"/>
    <w:rsid w:val="0025579E"/>
    <w:rsid w:val="00265EE3"/>
    <w:rsid w:val="00276787"/>
    <w:rsid w:val="00280227"/>
    <w:rsid w:val="00283945"/>
    <w:rsid w:val="00293253"/>
    <w:rsid w:val="002E0DA7"/>
    <w:rsid w:val="002E6FA1"/>
    <w:rsid w:val="00303793"/>
    <w:rsid w:val="00306D81"/>
    <w:rsid w:val="0031190D"/>
    <w:rsid w:val="003122CB"/>
    <w:rsid w:val="00313BBF"/>
    <w:rsid w:val="00322F60"/>
    <w:rsid w:val="00332623"/>
    <w:rsid w:val="00366D43"/>
    <w:rsid w:val="00382DA2"/>
    <w:rsid w:val="00391C11"/>
    <w:rsid w:val="003A6A00"/>
    <w:rsid w:val="003B3634"/>
    <w:rsid w:val="003B4835"/>
    <w:rsid w:val="003C7561"/>
    <w:rsid w:val="004042D0"/>
    <w:rsid w:val="0041189B"/>
    <w:rsid w:val="0044748D"/>
    <w:rsid w:val="00452A92"/>
    <w:rsid w:val="00473F2E"/>
    <w:rsid w:val="00475662"/>
    <w:rsid w:val="0047796E"/>
    <w:rsid w:val="004B45E9"/>
    <w:rsid w:val="004B4B11"/>
    <w:rsid w:val="004B7CB2"/>
    <w:rsid w:val="004D72E3"/>
    <w:rsid w:val="00502397"/>
    <w:rsid w:val="005023ED"/>
    <w:rsid w:val="005204AE"/>
    <w:rsid w:val="00530C05"/>
    <w:rsid w:val="005544B4"/>
    <w:rsid w:val="005670A2"/>
    <w:rsid w:val="00591D54"/>
    <w:rsid w:val="00591F8C"/>
    <w:rsid w:val="00595F2B"/>
    <w:rsid w:val="005B1606"/>
    <w:rsid w:val="005B4713"/>
    <w:rsid w:val="005B55F3"/>
    <w:rsid w:val="005F285F"/>
    <w:rsid w:val="005F4FFF"/>
    <w:rsid w:val="00606458"/>
    <w:rsid w:val="006358B7"/>
    <w:rsid w:val="00647240"/>
    <w:rsid w:val="0065034B"/>
    <w:rsid w:val="00662D1D"/>
    <w:rsid w:val="00671C26"/>
    <w:rsid w:val="00673340"/>
    <w:rsid w:val="0067698A"/>
    <w:rsid w:val="006853A4"/>
    <w:rsid w:val="0069256F"/>
    <w:rsid w:val="006B1600"/>
    <w:rsid w:val="006B629D"/>
    <w:rsid w:val="006C16A7"/>
    <w:rsid w:val="006C26BF"/>
    <w:rsid w:val="006C4F2B"/>
    <w:rsid w:val="006D146A"/>
    <w:rsid w:val="006E137A"/>
    <w:rsid w:val="006E1738"/>
    <w:rsid w:val="006E264E"/>
    <w:rsid w:val="00714CEF"/>
    <w:rsid w:val="0072008A"/>
    <w:rsid w:val="00757845"/>
    <w:rsid w:val="007620E1"/>
    <w:rsid w:val="00766976"/>
    <w:rsid w:val="00783E7B"/>
    <w:rsid w:val="007A200A"/>
    <w:rsid w:val="007C1E4F"/>
    <w:rsid w:val="007D3BC0"/>
    <w:rsid w:val="007E09DC"/>
    <w:rsid w:val="00820F74"/>
    <w:rsid w:val="008473AC"/>
    <w:rsid w:val="00854EF8"/>
    <w:rsid w:val="00864A46"/>
    <w:rsid w:val="00866A70"/>
    <w:rsid w:val="00895FC1"/>
    <w:rsid w:val="008A77B5"/>
    <w:rsid w:val="008B076C"/>
    <w:rsid w:val="008C4D53"/>
    <w:rsid w:val="008D02A7"/>
    <w:rsid w:val="008D62CA"/>
    <w:rsid w:val="008F22D4"/>
    <w:rsid w:val="008F7C79"/>
    <w:rsid w:val="00921A21"/>
    <w:rsid w:val="00933BCE"/>
    <w:rsid w:val="00936221"/>
    <w:rsid w:val="00940BFD"/>
    <w:rsid w:val="00945B10"/>
    <w:rsid w:val="009808B8"/>
    <w:rsid w:val="009A3ECC"/>
    <w:rsid w:val="009E2233"/>
    <w:rsid w:val="009F02DF"/>
    <w:rsid w:val="00A02403"/>
    <w:rsid w:val="00A26AF6"/>
    <w:rsid w:val="00A36E7B"/>
    <w:rsid w:val="00A40B40"/>
    <w:rsid w:val="00A44B26"/>
    <w:rsid w:val="00A73F4E"/>
    <w:rsid w:val="00A75050"/>
    <w:rsid w:val="00A82DBD"/>
    <w:rsid w:val="00A87F06"/>
    <w:rsid w:val="00A933E2"/>
    <w:rsid w:val="00A97CB8"/>
    <w:rsid w:val="00AA2E98"/>
    <w:rsid w:val="00AA5CCC"/>
    <w:rsid w:val="00AA63A7"/>
    <w:rsid w:val="00AB03AD"/>
    <w:rsid w:val="00AB725B"/>
    <w:rsid w:val="00AC5B46"/>
    <w:rsid w:val="00AD52B0"/>
    <w:rsid w:val="00AD7DE5"/>
    <w:rsid w:val="00AE2F68"/>
    <w:rsid w:val="00B03A08"/>
    <w:rsid w:val="00B263D9"/>
    <w:rsid w:val="00B3039C"/>
    <w:rsid w:val="00B32A9B"/>
    <w:rsid w:val="00B43535"/>
    <w:rsid w:val="00B47772"/>
    <w:rsid w:val="00B72CB0"/>
    <w:rsid w:val="00B7543F"/>
    <w:rsid w:val="00B80249"/>
    <w:rsid w:val="00B819D2"/>
    <w:rsid w:val="00B914D6"/>
    <w:rsid w:val="00B95FFB"/>
    <w:rsid w:val="00BA1659"/>
    <w:rsid w:val="00BC323B"/>
    <w:rsid w:val="00BD4E39"/>
    <w:rsid w:val="00BF1878"/>
    <w:rsid w:val="00BF75E7"/>
    <w:rsid w:val="00C15929"/>
    <w:rsid w:val="00C2257C"/>
    <w:rsid w:val="00C23D55"/>
    <w:rsid w:val="00C251E2"/>
    <w:rsid w:val="00C34CD3"/>
    <w:rsid w:val="00C36E77"/>
    <w:rsid w:val="00C62D60"/>
    <w:rsid w:val="00C638CA"/>
    <w:rsid w:val="00C81C00"/>
    <w:rsid w:val="00C862B9"/>
    <w:rsid w:val="00C91120"/>
    <w:rsid w:val="00C97D5C"/>
    <w:rsid w:val="00CA0C32"/>
    <w:rsid w:val="00CD0655"/>
    <w:rsid w:val="00CD78AB"/>
    <w:rsid w:val="00CF0F88"/>
    <w:rsid w:val="00D10286"/>
    <w:rsid w:val="00D1107E"/>
    <w:rsid w:val="00D12006"/>
    <w:rsid w:val="00D23E13"/>
    <w:rsid w:val="00D3210F"/>
    <w:rsid w:val="00D34BAD"/>
    <w:rsid w:val="00D40A90"/>
    <w:rsid w:val="00D421F7"/>
    <w:rsid w:val="00D42B3D"/>
    <w:rsid w:val="00D50EE3"/>
    <w:rsid w:val="00D57EA8"/>
    <w:rsid w:val="00D62E70"/>
    <w:rsid w:val="00D76CE7"/>
    <w:rsid w:val="00D77646"/>
    <w:rsid w:val="00D8145C"/>
    <w:rsid w:val="00D855A2"/>
    <w:rsid w:val="00D92267"/>
    <w:rsid w:val="00D94C78"/>
    <w:rsid w:val="00DA42E2"/>
    <w:rsid w:val="00DA5618"/>
    <w:rsid w:val="00DF46CF"/>
    <w:rsid w:val="00E112EC"/>
    <w:rsid w:val="00E338D5"/>
    <w:rsid w:val="00E401F7"/>
    <w:rsid w:val="00E45DAD"/>
    <w:rsid w:val="00E505C8"/>
    <w:rsid w:val="00E5592C"/>
    <w:rsid w:val="00E85A45"/>
    <w:rsid w:val="00E91ADA"/>
    <w:rsid w:val="00EF229E"/>
    <w:rsid w:val="00EF6D62"/>
    <w:rsid w:val="00F04967"/>
    <w:rsid w:val="00F422A6"/>
    <w:rsid w:val="00F457A7"/>
    <w:rsid w:val="00F5147F"/>
    <w:rsid w:val="00F60595"/>
    <w:rsid w:val="00F61F22"/>
    <w:rsid w:val="00F75F6D"/>
    <w:rsid w:val="00FB69A9"/>
    <w:rsid w:val="00FB6ACE"/>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090200384">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9EDB-B1E2-4A77-A2D0-7B59C890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Words>
  <Characters>6701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2020-12-17T09:49:00Z</dcterms:created>
  <dcterms:modified xsi:type="dcterms:W3CDTF">2020-12-17T10:32:00Z</dcterms:modified>
</cp:coreProperties>
</file>