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KUPNÍ SMLOUVA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ust. § 2079 a násl. občanského zákoníku, uzavřená mezi</w:t>
      </w:r>
    </w:p>
    <w:tbl>
      <w:tblPr>
        <w:tblOverlap w:val="never"/>
        <w:jc w:val="left"/>
        <w:tblLayout w:type="fixed"/>
      </w:tblPr>
      <w:tblGrid>
        <w:gridCol w:w="2755"/>
        <w:gridCol w:w="5323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Jméno/název: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Kamenice 798/1d,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MUDr. Hana Albrechtová, ředitelka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5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5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​..........................</w:t>
            </w:r>
            <w:r>
              <w:rPr>
                <w:color w:val="000000"/>
                <w:spacing w:val="1"/>
                <w:w w:val="100"/>
                <w:position w:val="0"/>
                <w:u w:val="single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0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11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CZ00346292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Krajský soud v Brně sp. zn. Pr 1245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15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8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  <w:r>
              <w:rPr>
                <w:color w:val="000000"/>
                <w:spacing w:val="19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kupujícím 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 a</w:t>
      </w:r>
    </w:p>
    <w:tbl>
      <w:tblPr>
        <w:tblOverlap w:val="never"/>
        <w:jc w:val="left"/>
        <w:tblLayout w:type="fixed"/>
      </w:tblPr>
      <w:tblGrid>
        <w:gridCol w:w="2755"/>
        <w:gridCol w:w="5318"/>
      </w:tblGrid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Jméno/název: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BW General s.r.o.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Budečská 1010/18, 120 00 Praha 2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Dr. Radim Dvořák, Ph.D.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24811921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CZ24811921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Městský soud v Praze spisová značka C 176509/MSPH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8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9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</w:t>
            </w: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.................</w:t>
            </w:r>
          </w:p>
        </w:tc>
      </w:tr>
    </w:tbl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jako prodávajícím 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widowControl w:val="0"/>
        <w:spacing w:after="13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</w:tabs>
        <w:bidi w:val="0"/>
        <w:spacing w:before="0" w:after="24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Prodávající je oprávněn na základě svého vlastnického práva nakládat s tímto zbožím: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respirátory FFP2 bez výdechového filtru,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jejichž bližší specifikace je uvedena v příloze č. 1 této kupní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</w:tabs>
        <w:bidi w:val="0"/>
        <w:spacing w:before="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prodává zboží podle čl. 1 této smlouvy kupujícímu, a kupující kupuje toto zboží do vlastnictví Jihomoravského kraje, jako jeho zřizovatele, za kupní cenu podle čl. 5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</w:tabs>
        <w:bidi w:val="0"/>
        <w:spacing w:before="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zavazuje splnit svůj závazek k dodání zboží podle čl. 1 této smlouvy nejpozději do 30. 12. 2020. Závazek prodávajícího k dodání zboží podle čl. 1 této smlouvy se pak považuje za splněný dnem předání a převzetí tohoto zboží v místě plnění formou písemného předávacího protokolu (dodacího listu) podepsaného oběma stranami. Místem plnění se přitom pro účely této smlouvy rozumí sídlo kupujícího dle záhlaví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6" w:val="left"/>
        </w:tabs>
        <w:bidi w:val="0"/>
        <w:spacing w:before="0" w:after="340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Nebezpečí škody na převáděném zboží a vlastnické právo k tomuto zboží přechází z prodávajícího na kupujícího dnem splnění závazku prodávajícího k dodání tohoto zboží způsobem podle čl. 3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Kupující se zavazuje zaplatit prodávajícímu za předmět koupě a prodeje podle čl. 1 této smlouvy kupní cenu ve výši: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138 000,-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bez DPH, tzn.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167 000,-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DPH. Součástí této ceny jsou veškeré náklady prodávajícího na splnění jeho závazku k dodání zboží podle této smlouvy. Změna ceny je možná pouze v případě zákonné změny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cena podle čl. 5 této smlouvy je splatná na účet prodávajícího po splnění závazku prodávajícího k dodání zboží podle čl. 1 této smlouvy na základě jejího písemného vyúčtování formou tří samostatných faktur (daňových dokladů) dle přílohy č. 1 této smlouvy. Na daňových dokladech/fakturách musí být mimo jiné vždy uvedeno toto číslo veřejné zakázky, ke které se faktura vztahuje: </w:t>
      </w:r>
      <w:r>
        <w:rPr>
          <w:rFonts w:ascii="Tahoma" w:eastAsia="Tahoma" w:hAnsi="Tahoma" w:cs="Tahoma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P20V00002701.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Nebudou-li faktury splňovat veškeré náležitosti daňového dokladu podle zákona a další náležitosti podle této smlouvy, je kupující oprávněn vrátit takové faktury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převodem zboží podle čl. 1 této smlouvy je spojena záruka za jeho jakost v trvání 24 měsíců. V rámci této záruky se prodávající zavazuje bezplatně odstraňovat vady na zboží podle čl. 1 této smlouvy, a to ve lhůtě do 3 dnů </w:t>
      </w:r>
      <w:r>
        <w:rPr>
          <w:color w:val="00000A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doručení příslušné reklamace písemné kupujícího. Písemná forma reklamace se považuje za dodrženou i v případě jejího odeslání elektronickou formou. Vzhledem k povaze zboží podle čl. 1 této smlouvy lze odstranit reklamované vady zboží jen jeho výměnou za jiné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prodávajícího se splněním jeho závazku k odstranění vady ve lhůtě podle čl. 7 této smlouvy o víc, než 10 dnů, je kupující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se splněním jeho závazku k dodání zboží ve lhůtě podle čl. 3 této smlouvy a pro případ jeho prodlení s odstraněním vady ve lhůtě podle čl. 7 této smlouvy se prodávající zavazuje platit kupujícímu smluvní pokutu ve výši 0,1 % z kupní ceny podle čl. 5 této smlouvy za každý započatý den tohoto prodlení.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prodlení kupujícího se zaplacením kupní ceny nebo její části ve lhůtě podle čl. 6 této smlouvy o víc než 10 dnů,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Není-li touto smlouvou ujednáno jinak, řídí se vzájemný právní vztah mezi kupujícím a prodávajícím při realizaci této smlouvy ust. § 2079 a násl.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40" w:right="0" w:hanging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17 této smlouvy. Kupující přitom předem vylučuje přijetí tohoto návrhu s dodatkem nebo odchylkou ve smyslu ust. § 1740 odst. 3 občanského zákoníku.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6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bere na vědomí a souhlasí s tím, aby kupující uveřejnil tuto smlouvu v registru smluv v souladu s ustanoveními zákona č. 340/2015 Sb., o registru smluv,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Tuto smlouvu lze změnit nebo zrušit pouze jinou písemnou dohodou obou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/>
        <w:ind w:left="96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jejího uzavření a účinnosti dnem jejího uveřejnění ve smyslu čl. 14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46" w:val="left"/>
        </w:tabs>
        <w:bidi w:val="0"/>
        <w:spacing w:before="0" w:after="780"/>
        <w:ind w:left="960" w:right="0" w:hanging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Dáno ve dvou originálních písemných vyhotoveních, z nichž každá ze smluvních stran obdrží po jednom.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12700</wp:posOffset>
                </wp:positionV>
                <wp:extent cx="1240790" cy="1587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079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89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Brně dne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350000000000009pt;margin-top:1.pt;width:97.700000000000003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8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Brně dne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 17.12.2020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01625" distB="350520" distL="0" distR="0" simplePos="0" relativeHeight="125829380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301625</wp:posOffset>
                </wp:positionV>
                <wp:extent cx="1380490" cy="3384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049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</w:t>
                            </w:r>
                            <w:r>
                              <w:rPr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550000000000004pt;margin-top:23.75pt;width:108.7pt;height:26.650000000000002pt;z-index:-125829373;mso-wrap-distance-left:0;mso-wrap-distance-top:23.75pt;mso-wrap-distance-right:0;mso-wrap-distance-bottom:27.6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</w:t>
                      </w:r>
                      <w:r>
                        <w:rPr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11150" distB="340995" distL="0" distR="0" simplePos="0" relativeHeight="125829382" behindDoc="0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311150</wp:posOffset>
                </wp:positionV>
                <wp:extent cx="1383665" cy="33845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67.45000000000002pt;margin-top:24.5pt;width:108.95pt;height:26.650000000000002pt;z-index:-125829371;mso-wrap-distance-left:0;mso-wrap-distance-top:24.5pt;mso-wrap-distance-right:0;mso-wrap-distance-bottom:26.850000000000001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609600" distL="0" distR="0" simplePos="0" relativeHeight="125829384" behindDoc="0" locked="0" layoutInCell="1" allowOverlap="1">
                <wp:simplePos x="0" y="0"/>
                <wp:positionH relativeFrom="page">
                  <wp:posOffset>4540885</wp:posOffset>
                </wp:positionH>
                <wp:positionV relativeFrom="paragraph">
                  <wp:posOffset>0</wp:posOffset>
                </wp:positionV>
                <wp:extent cx="460375" cy="3810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0375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7.55000000000001pt;margin-top:0;width:36.25pt;height:30.pt;z-index:-125829369;mso-wrap-distance-left:0;mso-wrap-distance-right:0;mso-wrap-distance-bottom:48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415" distB="609600" distL="0" distR="0" simplePos="0" relativeHeight="125829386" behindDoc="0" locked="0" layoutInCell="1" allowOverlap="1">
                <wp:simplePos x="0" y="0"/>
                <wp:positionH relativeFrom="page">
                  <wp:posOffset>5193030</wp:posOffset>
                </wp:positionH>
                <wp:positionV relativeFrom="paragraph">
                  <wp:posOffset>18415</wp:posOffset>
                </wp:positionV>
                <wp:extent cx="582295" cy="36258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</w:p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​..................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​...............​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8.90000000000003pt;margin-top:1.45pt;width:45.850000000000001pt;height:28.550000000000001pt;z-index:-125829367;mso-wrap-distance-left:0;mso-wrap-distance-top:1.45pt;mso-wrap-distance-right:0;mso-wrap-distance-bottom:48.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</w:p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​..................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​...............​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2145" distB="0" distL="0" distR="0" simplePos="0" relativeHeight="125829388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652145</wp:posOffset>
                </wp:positionV>
                <wp:extent cx="1405255" cy="33845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5255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5.850000000000001pt;margin-top:51.350000000000001pt;width:110.65000000000001pt;height:26.650000000000002pt;z-index:-125829365;mso-wrap-distance-left:0;mso-wrap-distance-top:51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2145" distB="3175" distL="0" distR="0" simplePos="0" relativeHeight="125829390" behindDoc="0" locked="0" layoutInCell="1" allowOverlap="1">
                <wp:simplePos x="0" y="0"/>
                <wp:positionH relativeFrom="page">
                  <wp:posOffset>2129790</wp:posOffset>
                </wp:positionH>
                <wp:positionV relativeFrom="paragraph">
                  <wp:posOffset>652145</wp:posOffset>
                </wp:positionV>
                <wp:extent cx="1045210" cy="3352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5210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7.70000000000002pt;margin-top:51.350000000000001pt;width:82.299999999999997pt;height:26.400000000000002pt;z-index:-125829363;mso-wrap-distance-left:0;mso-wrap-distance-top:51.350000000000001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1960" distB="216535" distL="0" distR="0" simplePos="0" relativeHeight="125829392" behindDoc="0" locked="0" layoutInCell="1" allowOverlap="1">
                <wp:simplePos x="0" y="0"/>
                <wp:positionH relativeFrom="page">
                  <wp:posOffset>4543425</wp:posOffset>
                </wp:positionH>
                <wp:positionV relativeFrom="paragraph">
                  <wp:posOffset>441960</wp:posOffset>
                </wp:positionV>
                <wp:extent cx="1225550" cy="33210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5550" cy="332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9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6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4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</w:t>
                            </w:r>
                            <w:r>
                              <w:rPr>
                                <w:color w:val="000000"/>
                                <w:spacing w:val="5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7.75pt;margin-top:34.800000000000004pt;width:96.5pt;height:26.150000000000002pt;z-index:-125829361;mso-wrap-distance-left:0;mso-wrap-distance-top:34.800000000000004pt;mso-wrap-distance-right:0;mso-wrap-distance-bottom:17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9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6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4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</w:t>
                      </w:r>
                      <w:r>
                        <w:rPr>
                          <w:color w:val="000000"/>
                          <w:spacing w:val="5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14300" distB="0" distL="0" distR="0" simplePos="0" relativeHeight="125829394" behindDoc="0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114300</wp:posOffset>
                </wp:positionV>
                <wp:extent cx="1435735" cy="51498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514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4.799999999999997pt;margin-top:9.pt;width:113.05pt;height:40.550000000000004pt;z-index:-125829359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15240" distL="0" distR="0" simplePos="0" relativeHeight="125829396" behindDoc="0" locked="0" layoutInCell="1" allowOverlap="1">
                <wp:simplePos x="0" y="0"/>
                <wp:positionH relativeFrom="page">
                  <wp:posOffset>4336415</wp:posOffset>
                </wp:positionH>
                <wp:positionV relativeFrom="paragraph">
                  <wp:posOffset>114300</wp:posOffset>
                </wp:positionV>
                <wp:extent cx="1435735" cy="49974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Dr. Radim Dvořák, Ph.D.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jednatel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41.44999999999999pt;margin-top:9.pt;width:113.05pt;height:39.350000000000001pt;z-index:-125829357;mso-wrap-distance-left:0;mso-wrap-distance-top:9.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Dr. Radim Dvořák, Ph.D.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Specifikace, cenová nabídka</w:t>
      </w:r>
    </w:p>
    <w:p>
      <w:pPr>
        <w:pStyle w:val="Style7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Respirátor FFP2 bez výdechového filtru</w:t>
      </w:r>
      <w:bookmarkEnd w:id="5"/>
    </w:p>
    <w:tbl>
      <w:tblPr>
        <w:tblOverlap w:val="never"/>
        <w:jc w:val="center"/>
        <w:tblLayout w:type="fixed"/>
      </w:tblPr>
      <w:tblGrid>
        <w:gridCol w:w="5395"/>
        <w:gridCol w:w="3835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Technické parametry požadované zadavatelem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Technické parametry nabízené dodavatelem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Skládaný jednorázový respirátor typ FFP2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Shoda s nařízením EU (EU) 2016/425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Shoda s normami EN149:2001 + A1:2009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Označení 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 (na obalu)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Bez výdechového filtru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Upevnění: elastické úchyty za uši, snadné nasazení a sejmutí, dostatečně odolné upevnění, umožňující pevné udržení polohy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Velikost: univerzální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7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22222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Individuálně balený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ANO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výrobce a obchodní název výrobku: neurčeno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EV KN95</w:t>
            </w:r>
          </w:p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Shenzen Meili Medical</w:t>
            </w:r>
          </w:p>
        </w:tc>
      </w:tr>
    </w:tbl>
    <w:p>
      <w:pPr>
        <w:widowControl w:val="0"/>
        <w:spacing w:after="719" w:line="1" w:lineRule="exact"/>
      </w:pPr>
    </w:p>
    <w:p>
      <w:pPr>
        <w:widowControl w:val="0"/>
        <w:spacing w:line="1" w:lineRule="exact"/>
      </w:pPr>
    </w:p>
    <w:p>
      <w:pPr>
        <w:pStyle w:val="Style6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CENOVÁ NABÍDKA</w:t>
      </w:r>
    </w:p>
    <w:tbl>
      <w:tblPr>
        <w:tblOverlap w:val="never"/>
        <w:jc w:val="center"/>
        <w:tblLayout w:type="fixed"/>
      </w:tblPr>
      <w:tblGrid>
        <w:gridCol w:w="1776"/>
        <w:gridCol w:w="2016"/>
        <w:gridCol w:w="1349"/>
        <w:gridCol w:w="1987"/>
        <w:gridCol w:w="2174"/>
      </w:tblGrid>
      <w:tr>
        <w:trPr>
          <w:trHeight w:val="7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bez DPH za jednotku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vč. DPH za jednotku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bez DPH celkem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vč. DPH celkem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8,35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138 000,-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167 000,- Kč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411" w:right="1293" w:bottom="1612" w:left="1117" w:header="983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9841865</wp:posOffset>
              </wp:positionV>
              <wp:extent cx="45720" cy="8255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1.90000000000003pt;margin-top:774.95000000000005pt;width:3.6000000000000001pt;height:6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10234930</wp:posOffset>
              </wp:positionV>
              <wp:extent cx="2667000" cy="10668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6700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Veřejná zakázka 83-20: FFP2 bez výdechového filtru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67.75pt;margin-top:805.89999999999998pt;width:210.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Veřejná zakázka 83-20: FFP2 bez výdechového filtru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Základní text (4)_"/>
    <w:basedOn w:val="DefaultParagraphFont"/>
    <w:link w:val="Style1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Základní text (3)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0">
    <w:name w:val="Nadpis #2_"/>
    <w:basedOn w:val="DefaultParagraphFont"/>
    <w:link w:val="Style3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2">
    <w:name w:val="Záhlaví nebo zápatí (2)_"/>
    <w:basedOn w:val="DefaultParagraphFont"/>
    <w:link w:val="Styl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6">
    <w:name w:val="Jiné_"/>
    <w:basedOn w:val="DefaultParagraphFont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7">
    <w:name w:val="Titulek tabulky_"/>
    <w:basedOn w:val="DefaultParagraphFont"/>
    <w:link w:val="Style6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3">
    <w:name w:val="Nadpis #3_"/>
    <w:basedOn w:val="DefaultParagraphFont"/>
    <w:link w:val="Style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4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outlineLvl w:val="0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Základní text (3)"/>
    <w:basedOn w:val="Normal"/>
    <w:link w:val="CharStyle25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39">
    <w:name w:val="Nadpis #2"/>
    <w:basedOn w:val="Normal"/>
    <w:link w:val="CharStyle40"/>
    <w:pPr>
      <w:widowControl w:val="0"/>
      <w:shd w:val="clear" w:color="auto" w:fill="auto"/>
      <w:spacing w:after="24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1">
    <w:name w:val="Záhlaví nebo zápatí (2)"/>
    <w:basedOn w:val="Normal"/>
    <w:link w:val="CharStyle4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5">
    <w:name w:val="Jiné"/>
    <w:basedOn w:val="Normal"/>
    <w:link w:val="CharStyle46"/>
    <w:pPr>
      <w:widowControl w:val="0"/>
      <w:shd w:val="clear" w:color="auto" w:fill="auto"/>
      <w:spacing w:after="4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6">
    <w:name w:val="Titulek tabulky"/>
    <w:basedOn w:val="Normal"/>
    <w:link w:val="CharStyle6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2">
    <w:name w:val="Nadpis #3"/>
    <w:basedOn w:val="Normal"/>
    <w:link w:val="CharStyle73"/>
    <w:pPr>
      <w:widowControl w:val="0"/>
      <w:shd w:val="clear" w:color="auto" w:fill="auto"/>
      <w:spacing w:after="48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Kupní smlouva (002).doc</dc:title>
  <dc:subject/>
  <dc:creator>maba</dc:creator>
  <cp:keywords/>
</cp:coreProperties>
</file>