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93" w:rsidRDefault="00351293" w:rsidP="00B64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 Bold" w:eastAsia="ヒラギノ角ゴ Pro W3" w:hAnsi="Times New Roman Bold"/>
          <w:b/>
        </w:rPr>
      </w:pPr>
    </w:p>
    <w:p w:rsidR="00E26371" w:rsidRDefault="00E26371" w:rsidP="00B64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 Bold" w:eastAsia="ヒラギノ角ゴ Pro W3" w:hAnsi="Times New Roman Bold"/>
          <w:b/>
        </w:rPr>
      </w:pPr>
    </w:p>
    <w:p w:rsidR="0004480C" w:rsidRDefault="0004480C" w:rsidP="00B64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 Bold" w:eastAsia="ヒラギノ角ゴ Pro W3" w:hAnsi="Times New Roman Bold"/>
          <w:b/>
        </w:rPr>
      </w:pPr>
    </w:p>
    <w:p w:rsidR="0004480C" w:rsidRDefault="0004480C" w:rsidP="00B64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 Bold" w:eastAsia="ヒラギノ角ゴ Pro W3" w:hAnsi="Times New Roman Bold"/>
          <w:b/>
        </w:rPr>
      </w:pPr>
    </w:p>
    <w:p w:rsidR="00BC61DE" w:rsidRPr="000F355C" w:rsidRDefault="00BC61DE" w:rsidP="00BC6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ヒラギノ角ゴ Pro W3"/>
          <w:b/>
          <w:color w:val="000000"/>
        </w:rPr>
      </w:pPr>
      <w:r w:rsidRPr="000F355C">
        <w:rPr>
          <w:rFonts w:ascii="Times New Roman Bold" w:eastAsia="ヒラギノ角ゴ Pro W3" w:hAnsi="Times New Roman Bold"/>
          <w:b/>
        </w:rPr>
        <w:t>Rytířský řád Křižovníků s červenou hvězdou</w:t>
      </w:r>
      <w:r>
        <w:rPr>
          <w:rFonts w:ascii="Times New Roman Bold" w:eastAsia="ヒラギノ角ゴ Pro W3" w:hAnsi="Times New Roman Bold"/>
          <w:b/>
        </w:rPr>
        <w:t>,</w:t>
      </w:r>
    </w:p>
    <w:p w:rsidR="00BC61DE" w:rsidRDefault="00BC61DE" w:rsidP="00BC6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ヒラギノ角ゴ Pro W3"/>
        </w:rPr>
      </w:pPr>
      <w:r>
        <w:rPr>
          <w:rFonts w:eastAsia="ヒラギノ角ゴ Pro W3"/>
        </w:rPr>
        <w:t xml:space="preserve">se sídlem v Praze 1, Staré Město, Platnéřská 191/4, PSČ 110 00, IČ: 00408026, </w:t>
      </w:r>
    </w:p>
    <w:p w:rsidR="00BC61DE" w:rsidRDefault="00BC61DE" w:rsidP="00BC6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ヒラギノ角ゴ Pro W3"/>
          <w:color w:val="000000"/>
        </w:rPr>
      </w:pPr>
      <w:r>
        <w:rPr>
          <w:rFonts w:eastAsia="ヒラギノ角ゴ Pro W3"/>
        </w:rPr>
        <w:t xml:space="preserve">církevní právnická osoba zapsaná v Rejstříku evidovaných právnických osob vedeného Ministerstvem kultury ČR, ev. č. 8/2-14/1994, </w:t>
      </w:r>
    </w:p>
    <w:p w:rsidR="00BC61DE" w:rsidRDefault="00BC61DE" w:rsidP="00BC6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ヒラギノ角ゴ Pro W3"/>
          <w:color w:val="000000"/>
        </w:rPr>
      </w:pPr>
      <w:r>
        <w:rPr>
          <w:rFonts w:eastAsia="ヒラギノ角ゴ Pro W3"/>
        </w:rPr>
        <w:t xml:space="preserve">číslo účtu: </w:t>
      </w:r>
      <w:r w:rsidR="00D87BAB">
        <w:rPr>
          <w:rFonts w:eastAsia="ヒラギノ角ゴ Pro W3"/>
        </w:rPr>
        <w:t>xxxxxxxxxxxxxxxx</w:t>
      </w:r>
      <w:r>
        <w:rPr>
          <w:rFonts w:eastAsia="ヒラギノ角ゴ Pro W3"/>
        </w:rPr>
        <w:t xml:space="preserve">, </w:t>
      </w:r>
      <w:r w:rsidR="00D87BAB">
        <w:rPr>
          <w:rFonts w:eastAsia="ヒラギノ角ゴ Pro W3"/>
        </w:rPr>
        <w:t>xxxxxxxxxxxxxxxxxxxxx</w:t>
      </w:r>
    </w:p>
    <w:p w:rsidR="00BC61DE" w:rsidRDefault="00BC61DE" w:rsidP="00BC6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ヒラギノ角ゴ Pro W3"/>
          <w:color w:val="000000"/>
        </w:rPr>
      </w:pPr>
      <w:r>
        <w:rPr>
          <w:rFonts w:eastAsia="ヒラギノ角ゴ Pro W3"/>
        </w:rPr>
        <w:t xml:space="preserve">který zastupuje jako statutární orgán velmistr, </w:t>
      </w:r>
      <w:r w:rsidR="00D87BAB">
        <w:rPr>
          <w:rFonts w:eastAsia="ヒラギノ角ゴ Pro W3"/>
        </w:rPr>
        <w:t>xxxxxxxxxxxxxxxxxxxxxxxxxxxxxx</w:t>
      </w:r>
      <w:r>
        <w:rPr>
          <w:rFonts w:eastAsia="ヒラギノ角ゴ Pro W3"/>
        </w:rPr>
        <w:t xml:space="preserve"> </w:t>
      </w:r>
    </w:p>
    <w:p w:rsidR="00C55712" w:rsidRDefault="00DE48B9" w:rsidP="00BC61DE">
      <w:pPr>
        <w:jc w:val="both"/>
      </w:pPr>
      <w:r>
        <w:t>(dále jen „Řád</w:t>
      </w:r>
      <w:r w:rsidR="00B6492E">
        <w:t>“</w:t>
      </w:r>
      <w:r w:rsidR="00C55712">
        <w:t xml:space="preserve"> nebo „smluvní strana“</w:t>
      </w:r>
      <w:r w:rsidR="00B6492E">
        <w:t>)</w:t>
      </w:r>
    </w:p>
    <w:p w:rsidR="00647E6B" w:rsidRPr="00412B67" w:rsidRDefault="00647E6B" w:rsidP="00412B67">
      <w:pPr>
        <w:jc w:val="both"/>
      </w:pPr>
    </w:p>
    <w:p w:rsidR="00BF3136" w:rsidRDefault="00647E6B" w:rsidP="00412B67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647E6B" w:rsidRPr="00412B67" w:rsidRDefault="00647E6B" w:rsidP="00412B67">
      <w:pPr>
        <w:spacing w:before="120" w:after="120"/>
        <w:jc w:val="both"/>
        <w:rPr>
          <w:sz w:val="22"/>
          <w:szCs w:val="22"/>
        </w:rPr>
      </w:pPr>
    </w:p>
    <w:p w:rsidR="00D15496" w:rsidRDefault="00C57528" w:rsidP="0057240B">
      <w:pPr>
        <w:jc w:val="both"/>
      </w:pPr>
      <w:r>
        <w:rPr>
          <w:b/>
        </w:rPr>
        <w:t>Česká republika – Ministerstvo zemědělství České republiky</w:t>
      </w:r>
    </w:p>
    <w:p w:rsidR="00D15496" w:rsidRDefault="0048014A" w:rsidP="0057240B">
      <w:pPr>
        <w:jc w:val="both"/>
      </w:pPr>
      <w:r>
        <w:t xml:space="preserve">se sídlem </w:t>
      </w:r>
      <w:r w:rsidR="00146BC3" w:rsidRPr="00146BC3">
        <w:t xml:space="preserve">v Praze 1, </w:t>
      </w:r>
      <w:r w:rsidR="00C57528">
        <w:t>Nové Město</w:t>
      </w:r>
      <w:r w:rsidR="00146BC3" w:rsidRPr="00146BC3">
        <w:t xml:space="preserve">, </w:t>
      </w:r>
      <w:r w:rsidR="00C57528">
        <w:t>Těšnov 65/17</w:t>
      </w:r>
      <w:r w:rsidR="00D15496">
        <w:t xml:space="preserve">, </w:t>
      </w:r>
      <w:r w:rsidR="008F636C">
        <w:rPr>
          <w:rFonts w:eastAsia="ヒラギノ角ゴ Pro W3"/>
        </w:rPr>
        <w:t xml:space="preserve">PSČ 110 00, </w:t>
      </w:r>
      <w:r w:rsidR="00D15496">
        <w:t xml:space="preserve">IČ: </w:t>
      </w:r>
      <w:r w:rsidR="00C57528">
        <w:t>00020478</w:t>
      </w:r>
      <w:r w:rsidR="0022492F">
        <w:t xml:space="preserve">, </w:t>
      </w:r>
    </w:p>
    <w:p w:rsidR="00D15496" w:rsidRPr="00C57528" w:rsidRDefault="00D15496" w:rsidP="00D15496">
      <w:pPr>
        <w:pStyle w:val="adresa"/>
        <w:rPr>
          <w:bCs/>
          <w:iCs/>
          <w:szCs w:val="24"/>
        </w:rPr>
      </w:pPr>
      <w:r>
        <w:rPr>
          <w:bCs/>
          <w:iCs/>
          <w:szCs w:val="24"/>
        </w:rPr>
        <w:t xml:space="preserve">kterou </w:t>
      </w:r>
      <w:r w:rsidR="00A20DF8">
        <w:rPr>
          <w:bCs/>
          <w:iCs/>
          <w:szCs w:val="24"/>
        </w:rPr>
        <w:t xml:space="preserve">zastupuje </w:t>
      </w:r>
      <w:r w:rsidR="004552F9">
        <w:rPr>
          <w:bCs/>
          <w:iCs/>
          <w:szCs w:val="24"/>
        </w:rPr>
        <w:t>Mgr. Jan Sixta, státní tajemník</w:t>
      </w:r>
    </w:p>
    <w:p w:rsidR="00E44BE5" w:rsidRDefault="004730D8" w:rsidP="00351293">
      <w:pPr>
        <w:jc w:val="both"/>
      </w:pPr>
      <w:r>
        <w:t>(dále jen „</w:t>
      </w:r>
      <w:r w:rsidR="00C57528">
        <w:t>MZe</w:t>
      </w:r>
      <w:r w:rsidR="00B6492E" w:rsidRPr="004730D8">
        <w:t>“</w:t>
      </w:r>
      <w:r w:rsidR="00C55712" w:rsidRPr="004730D8">
        <w:t xml:space="preserve"> nebo „smluvní strana“</w:t>
      </w:r>
      <w:r w:rsidR="00B6492E" w:rsidRPr="004730D8">
        <w:t>)</w:t>
      </w:r>
    </w:p>
    <w:p w:rsidR="00C57528" w:rsidRDefault="00C57528" w:rsidP="00351293">
      <w:pPr>
        <w:jc w:val="both"/>
      </w:pPr>
    </w:p>
    <w:p w:rsidR="00C57528" w:rsidRDefault="00C57528" w:rsidP="00351293">
      <w:pPr>
        <w:jc w:val="both"/>
      </w:pPr>
      <w:r>
        <w:t>(společně též jako „strany“ či „smluvní strany“)</w:t>
      </w:r>
    </w:p>
    <w:p w:rsidR="00351293" w:rsidRDefault="00351293" w:rsidP="00351293">
      <w:pPr>
        <w:jc w:val="both"/>
      </w:pPr>
    </w:p>
    <w:p w:rsidR="00E26371" w:rsidRDefault="00E26371" w:rsidP="00351293">
      <w:pPr>
        <w:jc w:val="both"/>
      </w:pPr>
    </w:p>
    <w:p w:rsidR="00E26371" w:rsidRDefault="00E26371" w:rsidP="00351293">
      <w:pPr>
        <w:jc w:val="both"/>
      </w:pPr>
    </w:p>
    <w:p w:rsidR="00647E6B" w:rsidRDefault="00B6492E" w:rsidP="00351293">
      <w:pPr>
        <w:pStyle w:val="Zkladntext"/>
        <w:spacing w:before="24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uzavírají níže uvedeného dne</w:t>
      </w:r>
      <w:r w:rsidR="00906D61">
        <w:rPr>
          <w:rFonts w:ascii="Times New Roman" w:hAnsi="Times New Roman"/>
          <w:sz w:val="24"/>
        </w:rPr>
        <w:t>,</w:t>
      </w:r>
      <w:r w:rsidR="00621A87">
        <w:rPr>
          <w:rFonts w:ascii="Times New Roman" w:hAnsi="Times New Roman"/>
          <w:sz w:val="24"/>
        </w:rPr>
        <w:t xml:space="preserve"> měsíce a roku v souladu s §</w:t>
      </w:r>
      <w:r w:rsidR="00DE48B9">
        <w:rPr>
          <w:rFonts w:ascii="Times New Roman" w:hAnsi="Times New Roman"/>
          <w:sz w:val="24"/>
        </w:rPr>
        <w:t xml:space="preserve"> </w:t>
      </w:r>
      <w:r w:rsidR="00906D61">
        <w:rPr>
          <w:rFonts w:ascii="Times New Roman" w:hAnsi="Times New Roman"/>
          <w:sz w:val="24"/>
        </w:rPr>
        <w:t>1</w:t>
      </w:r>
      <w:r w:rsidR="00DE48B9">
        <w:rPr>
          <w:rFonts w:ascii="Times New Roman" w:hAnsi="Times New Roman"/>
          <w:sz w:val="24"/>
        </w:rPr>
        <w:t>903</w:t>
      </w:r>
      <w:r>
        <w:rPr>
          <w:rFonts w:ascii="Times New Roman" w:hAnsi="Times New Roman"/>
          <w:sz w:val="24"/>
        </w:rPr>
        <w:t xml:space="preserve"> </w:t>
      </w:r>
      <w:r w:rsidR="00906D61">
        <w:rPr>
          <w:rFonts w:ascii="Times New Roman" w:hAnsi="Times New Roman"/>
          <w:sz w:val="24"/>
        </w:rPr>
        <w:t xml:space="preserve">a násl. </w:t>
      </w:r>
      <w:r w:rsidR="00906D61">
        <w:rPr>
          <w:rFonts w:ascii="Times New Roman" w:hAnsi="Times New Roman"/>
          <w:sz w:val="24"/>
        </w:rPr>
        <w:br/>
        <w:t xml:space="preserve">zákona č. 89/2012 Sb., občanský zákoník, </w:t>
      </w:r>
      <w:r w:rsidR="007A4C20">
        <w:rPr>
          <w:rFonts w:ascii="Times New Roman" w:hAnsi="Times New Roman"/>
          <w:sz w:val="24"/>
        </w:rPr>
        <w:t xml:space="preserve">ve znění pozdějších předpisů </w:t>
      </w:r>
      <w:r w:rsidR="00906D61">
        <w:rPr>
          <w:rFonts w:ascii="Times New Roman" w:hAnsi="Times New Roman"/>
          <w:sz w:val="24"/>
        </w:rPr>
        <w:t>(dále jen „o</w:t>
      </w:r>
      <w:r>
        <w:rPr>
          <w:rFonts w:ascii="Times New Roman" w:hAnsi="Times New Roman"/>
          <w:sz w:val="24"/>
        </w:rPr>
        <w:t xml:space="preserve">bčanský zákoník“) </w:t>
      </w:r>
    </w:p>
    <w:p w:rsidR="00351293" w:rsidRDefault="00351293" w:rsidP="00351293">
      <w:pPr>
        <w:pStyle w:val="Zkladntext"/>
        <w:spacing w:before="240"/>
        <w:contextualSpacing/>
        <w:rPr>
          <w:rFonts w:ascii="Times New Roman" w:hAnsi="Times New Roman"/>
          <w:sz w:val="24"/>
        </w:rPr>
      </w:pPr>
    </w:p>
    <w:p w:rsidR="00B6492E" w:rsidRDefault="00B6492E" w:rsidP="00906D61">
      <w:pPr>
        <w:pStyle w:val="Zkladntext"/>
        <w:spacing w:before="24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tuto</w:t>
      </w:r>
    </w:p>
    <w:p w:rsidR="00E44BE5" w:rsidRDefault="00DE48B9" w:rsidP="00E44BE5">
      <w:pPr>
        <w:pStyle w:val="para"/>
        <w:spacing w:before="600"/>
        <w:outlineLvl w:val="0"/>
        <w:rPr>
          <w:b w:val="0"/>
          <w:spacing w:val="60"/>
          <w:sz w:val="32"/>
          <w:szCs w:val="32"/>
        </w:rPr>
      </w:pPr>
      <w:r>
        <w:rPr>
          <w:b w:val="0"/>
          <w:spacing w:val="60"/>
          <w:sz w:val="32"/>
          <w:szCs w:val="32"/>
        </w:rPr>
        <w:t>DOHODU O NAROVNÁNÍ</w:t>
      </w:r>
      <w:r w:rsidR="00C003AC">
        <w:rPr>
          <w:b w:val="0"/>
          <w:spacing w:val="60"/>
          <w:sz w:val="32"/>
          <w:szCs w:val="32"/>
        </w:rPr>
        <w:t xml:space="preserve"> </w:t>
      </w:r>
    </w:p>
    <w:p w:rsidR="00BE7BC9" w:rsidRDefault="008403AE" w:rsidP="008403AE">
      <w:pPr>
        <w:pStyle w:val="para"/>
        <w:tabs>
          <w:tab w:val="center" w:pos="4536"/>
          <w:tab w:val="left" w:pos="5222"/>
        </w:tabs>
        <w:spacing w:before="360"/>
        <w:contextualSpacing/>
        <w:rPr>
          <w:b w:val="0"/>
          <w:szCs w:val="24"/>
        </w:rPr>
      </w:pPr>
      <w:r>
        <w:rPr>
          <w:b w:val="0"/>
          <w:szCs w:val="24"/>
        </w:rPr>
        <w:t>(číslo smlouvy dle evidence M</w:t>
      </w:r>
      <w:r w:rsidR="00911344">
        <w:rPr>
          <w:b w:val="0"/>
          <w:szCs w:val="24"/>
        </w:rPr>
        <w:t>Z</w:t>
      </w:r>
      <w:r>
        <w:rPr>
          <w:b w:val="0"/>
          <w:szCs w:val="24"/>
        </w:rPr>
        <w:t xml:space="preserve">e: </w:t>
      </w:r>
      <w:bookmarkStart w:id="0" w:name="_GoBack"/>
      <w:r w:rsidR="00DE541A">
        <w:rPr>
          <w:b w:val="0"/>
          <w:szCs w:val="24"/>
        </w:rPr>
        <w:t>1588</w:t>
      </w:r>
      <w:r w:rsidR="00776558">
        <w:rPr>
          <w:b w:val="0"/>
          <w:szCs w:val="24"/>
        </w:rPr>
        <w:t>-2020-11181</w:t>
      </w:r>
      <w:bookmarkEnd w:id="0"/>
      <w:r>
        <w:rPr>
          <w:b w:val="0"/>
          <w:szCs w:val="24"/>
        </w:rPr>
        <w:t>)</w:t>
      </w:r>
    </w:p>
    <w:p w:rsidR="008403AE" w:rsidRDefault="008403AE" w:rsidP="00351293">
      <w:pPr>
        <w:pStyle w:val="para"/>
        <w:tabs>
          <w:tab w:val="center" w:pos="4536"/>
          <w:tab w:val="left" w:pos="5222"/>
        </w:tabs>
        <w:spacing w:before="360"/>
        <w:contextualSpacing/>
        <w:jc w:val="left"/>
        <w:rPr>
          <w:b w:val="0"/>
          <w:szCs w:val="24"/>
        </w:rPr>
      </w:pPr>
    </w:p>
    <w:p w:rsidR="00B6492E" w:rsidRDefault="00B6492E" w:rsidP="00351293">
      <w:pPr>
        <w:pStyle w:val="para"/>
        <w:tabs>
          <w:tab w:val="center" w:pos="4536"/>
          <w:tab w:val="left" w:pos="5222"/>
        </w:tabs>
        <w:spacing w:before="360"/>
        <w:contextualSpacing/>
        <w:rPr>
          <w:b w:val="0"/>
          <w:szCs w:val="24"/>
        </w:rPr>
      </w:pPr>
      <w:r>
        <w:rPr>
          <w:b w:val="0"/>
          <w:szCs w:val="24"/>
        </w:rPr>
        <w:t>takto:</w:t>
      </w:r>
    </w:p>
    <w:p w:rsidR="001B6207" w:rsidRDefault="001B6207" w:rsidP="001B6207">
      <w:pPr>
        <w:pStyle w:val="para"/>
        <w:tabs>
          <w:tab w:val="center" w:pos="4536"/>
          <w:tab w:val="left" w:pos="5222"/>
        </w:tabs>
        <w:spacing w:before="360"/>
        <w:contextualSpacing/>
        <w:jc w:val="left"/>
        <w:rPr>
          <w:b w:val="0"/>
          <w:szCs w:val="24"/>
        </w:rPr>
      </w:pPr>
    </w:p>
    <w:p w:rsidR="00B6492E" w:rsidRPr="00BE5356" w:rsidRDefault="00B6492E" w:rsidP="00B6492E">
      <w:pPr>
        <w:pStyle w:val="para"/>
        <w:tabs>
          <w:tab w:val="center" w:pos="4536"/>
          <w:tab w:val="left" w:pos="5222"/>
        </w:tabs>
        <w:spacing w:before="360"/>
        <w:contextualSpacing/>
        <w:rPr>
          <w:i/>
          <w:szCs w:val="24"/>
        </w:rPr>
      </w:pPr>
      <w:r w:rsidRPr="00BE5356">
        <w:rPr>
          <w:i/>
          <w:szCs w:val="24"/>
        </w:rPr>
        <w:t>Článek I.</w:t>
      </w:r>
    </w:p>
    <w:p w:rsidR="00E44BE5" w:rsidRPr="00BE5356" w:rsidRDefault="00876C82" w:rsidP="00351293">
      <w:pPr>
        <w:pStyle w:val="para"/>
        <w:tabs>
          <w:tab w:val="center" w:pos="4536"/>
          <w:tab w:val="left" w:pos="5222"/>
        </w:tabs>
        <w:spacing w:before="360"/>
        <w:contextualSpacing/>
        <w:rPr>
          <w:szCs w:val="24"/>
        </w:rPr>
      </w:pPr>
      <w:r>
        <w:rPr>
          <w:szCs w:val="24"/>
        </w:rPr>
        <w:t>Sporné skutečnosti</w:t>
      </w:r>
    </w:p>
    <w:p w:rsidR="0039236D" w:rsidRDefault="00B6492E" w:rsidP="0039236D">
      <w:pPr>
        <w:pStyle w:val="Zkladntext"/>
        <w:widowControl w:val="0"/>
        <w:autoSpaceDE/>
        <w:spacing w:before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I.1.</w:t>
      </w:r>
      <w:r w:rsidR="00EA2FA9">
        <w:rPr>
          <w:rFonts w:ascii="Times New Roman" w:hAnsi="Times New Roman"/>
          <w:color w:val="000000"/>
          <w:sz w:val="24"/>
        </w:rPr>
        <w:t xml:space="preserve"> </w:t>
      </w:r>
      <w:r w:rsidR="00876C82">
        <w:rPr>
          <w:rFonts w:ascii="Times New Roman" w:hAnsi="Times New Roman"/>
          <w:color w:val="000000"/>
          <w:sz w:val="24"/>
        </w:rPr>
        <w:t xml:space="preserve">Smluvní strany prohlašují, že Státní pozemkový úřad, Krajský pozemkový úřad pro Středočeský kraj, se sídlem náměstí Winstona Churchilla 1800/2, Žižkov, 130 00 Praha 3 vydal následující rozhodnutí dle. § 9 zákona 428/2012 Sb., </w:t>
      </w:r>
      <w:r w:rsidR="00876C82" w:rsidRPr="00876C82">
        <w:rPr>
          <w:rFonts w:ascii="Times New Roman" w:hAnsi="Times New Roman"/>
          <w:color w:val="000000"/>
          <w:sz w:val="24"/>
        </w:rPr>
        <w:t>o majetkovém vyrovnání s církvemi a náboženskými společnostmi</w:t>
      </w:r>
      <w:r w:rsidR="00876C82">
        <w:rPr>
          <w:rFonts w:ascii="Times New Roman" w:hAnsi="Times New Roman"/>
          <w:color w:val="000000"/>
          <w:sz w:val="24"/>
        </w:rPr>
        <w:t xml:space="preserve"> (dále jen „ZMV“):</w:t>
      </w:r>
    </w:p>
    <w:p w:rsidR="00876C82" w:rsidRDefault="00876C82" w:rsidP="00876C82">
      <w:pPr>
        <w:pStyle w:val="Zkladntext"/>
        <w:widowControl w:val="0"/>
        <w:numPr>
          <w:ilvl w:val="0"/>
          <w:numId w:val="23"/>
        </w:numPr>
        <w:autoSpaceDE/>
        <w:spacing w:before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dne 27.2.2015 č.j. </w:t>
      </w:r>
      <w:r w:rsidRPr="00876C82">
        <w:rPr>
          <w:rFonts w:ascii="Times New Roman" w:hAnsi="Times New Roman"/>
          <w:color w:val="000000"/>
          <w:sz w:val="24"/>
        </w:rPr>
        <w:t>SPU 102287/2015</w:t>
      </w:r>
      <w:r>
        <w:rPr>
          <w:rFonts w:ascii="Times New Roman" w:hAnsi="Times New Roman"/>
          <w:color w:val="000000"/>
          <w:sz w:val="24"/>
        </w:rPr>
        <w:t>, které měl vydat nejpozději dne 22.7.2014, resp. 22. 1. 2015</w:t>
      </w:r>
      <w:r w:rsidR="00BC6507">
        <w:rPr>
          <w:rFonts w:ascii="Times New Roman" w:hAnsi="Times New Roman"/>
          <w:color w:val="000000"/>
          <w:sz w:val="24"/>
        </w:rPr>
        <w:t>,</w:t>
      </w:r>
    </w:p>
    <w:p w:rsidR="00BC6507" w:rsidRDefault="00BC6507" w:rsidP="00BC6507">
      <w:pPr>
        <w:pStyle w:val="Zkladntext"/>
        <w:widowControl w:val="0"/>
        <w:numPr>
          <w:ilvl w:val="0"/>
          <w:numId w:val="23"/>
        </w:numPr>
        <w:autoSpaceDE/>
        <w:spacing w:before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dne 27.2.2015 č.j. SPU 102256</w:t>
      </w:r>
      <w:r w:rsidRPr="00876C82">
        <w:rPr>
          <w:rFonts w:ascii="Times New Roman" w:hAnsi="Times New Roman"/>
          <w:color w:val="000000"/>
          <w:sz w:val="24"/>
        </w:rPr>
        <w:t>/2015</w:t>
      </w:r>
      <w:r>
        <w:rPr>
          <w:rFonts w:ascii="Times New Roman" w:hAnsi="Times New Roman"/>
          <w:color w:val="000000"/>
          <w:sz w:val="24"/>
        </w:rPr>
        <w:t>, které měl vydat nejpozději dne 22.7.2014, resp. 22. 1. 2015,</w:t>
      </w:r>
    </w:p>
    <w:p w:rsidR="00BC6507" w:rsidRDefault="00BC6507" w:rsidP="00BC6507">
      <w:pPr>
        <w:pStyle w:val="Zkladntext"/>
        <w:widowControl w:val="0"/>
        <w:numPr>
          <w:ilvl w:val="0"/>
          <w:numId w:val="23"/>
        </w:numPr>
        <w:autoSpaceDE/>
        <w:spacing w:before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dne 29.5.2015 č.j. </w:t>
      </w:r>
      <w:r w:rsidRPr="00876C82">
        <w:rPr>
          <w:rFonts w:ascii="Times New Roman" w:hAnsi="Times New Roman"/>
          <w:color w:val="000000"/>
          <w:sz w:val="24"/>
        </w:rPr>
        <w:t xml:space="preserve">SPU </w:t>
      </w:r>
      <w:r>
        <w:rPr>
          <w:rFonts w:ascii="Times New Roman" w:hAnsi="Times New Roman"/>
          <w:color w:val="000000"/>
          <w:sz w:val="24"/>
        </w:rPr>
        <w:t>284650</w:t>
      </w:r>
      <w:r w:rsidRPr="00876C82">
        <w:rPr>
          <w:rFonts w:ascii="Times New Roman" w:hAnsi="Times New Roman"/>
          <w:color w:val="000000"/>
          <w:sz w:val="24"/>
        </w:rPr>
        <w:t>/2015</w:t>
      </w:r>
      <w:r>
        <w:rPr>
          <w:rFonts w:ascii="Times New Roman" w:hAnsi="Times New Roman"/>
          <w:color w:val="000000"/>
          <w:sz w:val="24"/>
        </w:rPr>
        <w:t xml:space="preserve">, které měl vydat nejpozději dne 3.8.2014, resp. 3. 2. 2015, kdy o nárok na náhradu škody vzniklou Řádu tímto prodlením se vede soudní </w:t>
      </w:r>
      <w:r>
        <w:rPr>
          <w:rFonts w:ascii="Times New Roman" w:hAnsi="Times New Roman"/>
          <w:color w:val="000000"/>
          <w:sz w:val="24"/>
        </w:rPr>
        <w:lastRenderedPageBreak/>
        <w:t xml:space="preserve">spor před Obvodním soudem pro Prahu 1 </w:t>
      </w:r>
      <w:r w:rsidR="00911344">
        <w:rPr>
          <w:rFonts w:ascii="Times New Roman" w:hAnsi="Times New Roman"/>
          <w:color w:val="000000"/>
          <w:sz w:val="24"/>
        </w:rPr>
        <w:t xml:space="preserve">pod </w:t>
      </w:r>
      <w:r>
        <w:rPr>
          <w:rFonts w:ascii="Times New Roman" w:hAnsi="Times New Roman"/>
          <w:color w:val="000000"/>
          <w:sz w:val="24"/>
        </w:rPr>
        <w:t>sp. zn. 13 C 219/2018</w:t>
      </w:r>
      <w:r w:rsidR="00624751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BC6507" w:rsidRDefault="00BC6507" w:rsidP="00BC6507">
      <w:pPr>
        <w:pStyle w:val="Zkladntext"/>
        <w:widowControl w:val="0"/>
        <w:numPr>
          <w:ilvl w:val="0"/>
          <w:numId w:val="23"/>
        </w:numPr>
        <w:autoSpaceDE/>
        <w:spacing w:before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dne 13.7.2015 č.j. </w:t>
      </w:r>
      <w:r w:rsidRPr="00876C82">
        <w:rPr>
          <w:rFonts w:ascii="Times New Roman" w:hAnsi="Times New Roman"/>
          <w:color w:val="000000"/>
          <w:sz w:val="24"/>
        </w:rPr>
        <w:t xml:space="preserve">SPU </w:t>
      </w:r>
      <w:r>
        <w:rPr>
          <w:rFonts w:ascii="Times New Roman" w:hAnsi="Times New Roman"/>
          <w:color w:val="000000"/>
          <w:sz w:val="24"/>
        </w:rPr>
        <w:t>365976</w:t>
      </w:r>
      <w:r w:rsidRPr="00876C82">
        <w:rPr>
          <w:rFonts w:ascii="Times New Roman" w:hAnsi="Times New Roman"/>
          <w:color w:val="000000"/>
          <w:sz w:val="24"/>
        </w:rPr>
        <w:t>/2015</w:t>
      </w:r>
      <w:r>
        <w:rPr>
          <w:rFonts w:ascii="Times New Roman" w:hAnsi="Times New Roman"/>
          <w:color w:val="000000"/>
          <w:sz w:val="24"/>
        </w:rPr>
        <w:t>/01/Jeh, které měl vydat nejpozději dne 22.7.2014, resp. 22. 1. 2015,</w:t>
      </w:r>
      <w:r w:rsidRPr="00BC6507">
        <w:t xml:space="preserve"> </w:t>
      </w:r>
      <w:r w:rsidRPr="00BC6507">
        <w:rPr>
          <w:rFonts w:ascii="Times New Roman" w:hAnsi="Times New Roman"/>
          <w:color w:val="000000"/>
          <w:sz w:val="24"/>
        </w:rPr>
        <w:t xml:space="preserve">kdy o nárok na náhradu škody vzniklou Řádu tímto prodlením se vede soudní spor před Obvodním soudem pro Prahu 1 </w:t>
      </w:r>
      <w:r w:rsidR="00911344">
        <w:rPr>
          <w:rFonts w:ascii="Times New Roman" w:hAnsi="Times New Roman"/>
          <w:color w:val="000000"/>
          <w:sz w:val="24"/>
        </w:rPr>
        <w:t xml:space="preserve">pod </w:t>
      </w:r>
      <w:r w:rsidRPr="00BC6507">
        <w:rPr>
          <w:rFonts w:ascii="Times New Roman" w:hAnsi="Times New Roman"/>
          <w:color w:val="000000"/>
          <w:sz w:val="24"/>
        </w:rPr>
        <w:t xml:space="preserve">sp. zn. </w:t>
      </w:r>
      <w:r>
        <w:rPr>
          <w:rFonts w:ascii="Times New Roman" w:hAnsi="Times New Roman"/>
          <w:color w:val="000000"/>
          <w:sz w:val="24"/>
        </w:rPr>
        <w:t>65 C 166</w:t>
      </w:r>
      <w:r w:rsidRPr="00BC6507">
        <w:rPr>
          <w:rFonts w:ascii="Times New Roman" w:hAnsi="Times New Roman"/>
          <w:color w:val="000000"/>
          <w:sz w:val="24"/>
        </w:rPr>
        <w:t>/2018</w:t>
      </w:r>
      <w:r w:rsidR="000E578F">
        <w:rPr>
          <w:rFonts w:ascii="Times New Roman" w:hAnsi="Times New Roman"/>
          <w:color w:val="000000"/>
          <w:sz w:val="24"/>
        </w:rPr>
        <w:t>,</w:t>
      </w:r>
    </w:p>
    <w:p w:rsidR="00BC6507" w:rsidRDefault="0025164C" w:rsidP="000E578F">
      <w:pPr>
        <w:pStyle w:val="Zkladntext"/>
        <w:widowControl w:val="0"/>
        <w:numPr>
          <w:ilvl w:val="0"/>
          <w:numId w:val="23"/>
        </w:numPr>
        <w:autoSpaceDE/>
        <w:spacing w:before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dne 10.9</w:t>
      </w:r>
      <w:r w:rsidR="00BC6507">
        <w:rPr>
          <w:rFonts w:ascii="Times New Roman" w:hAnsi="Times New Roman"/>
          <w:color w:val="000000"/>
          <w:sz w:val="24"/>
        </w:rPr>
        <w:t xml:space="preserve">.2015 č.j. </w:t>
      </w:r>
      <w:r>
        <w:rPr>
          <w:rFonts w:ascii="Times New Roman" w:hAnsi="Times New Roman"/>
          <w:color w:val="000000"/>
          <w:sz w:val="24"/>
        </w:rPr>
        <w:t>SPU 4635</w:t>
      </w:r>
      <w:r w:rsidR="000E578F">
        <w:rPr>
          <w:rFonts w:ascii="Times New Roman" w:hAnsi="Times New Roman"/>
          <w:color w:val="000000"/>
          <w:sz w:val="24"/>
        </w:rPr>
        <w:t>85</w:t>
      </w:r>
      <w:r w:rsidR="00BC6507" w:rsidRPr="00876C82">
        <w:rPr>
          <w:rFonts w:ascii="Times New Roman" w:hAnsi="Times New Roman"/>
          <w:color w:val="000000"/>
          <w:sz w:val="24"/>
        </w:rPr>
        <w:t>/2015</w:t>
      </w:r>
      <w:r w:rsidR="000E578F">
        <w:rPr>
          <w:rFonts w:ascii="Times New Roman" w:hAnsi="Times New Roman"/>
          <w:color w:val="000000"/>
          <w:sz w:val="24"/>
        </w:rPr>
        <w:t>/01/Jeh</w:t>
      </w:r>
      <w:r w:rsidR="00BC6507">
        <w:rPr>
          <w:rFonts w:ascii="Times New Roman" w:hAnsi="Times New Roman"/>
          <w:color w:val="000000"/>
          <w:sz w:val="24"/>
        </w:rPr>
        <w:t>, které měl vydat nejpozději dne 22.7.2014, resp. 22. 1. 2015,</w:t>
      </w:r>
      <w:r w:rsidR="000E578F" w:rsidRPr="000E578F">
        <w:t xml:space="preserve"> </w:t>
      </w:r>
      <w:r w:rsidR="000E578F" w:rsidRPr="000E578F">
        <w:rPr>
          <w:rFonts w:ascii="Times New Roman" w:hAnsi="Times New Roman"/>
          <w:color w:val="000000"/>
          <w:sz w:val="24"/>
        </w:rPr>
        <w:t xml:space="preserve">kdy o nárok na náhradu škody vzniklou Řádu tímto prodlením se vede soudní spor před Obvodním soudem pro Prahu 1 </w:t>
      </w:r>
      <w:r w:rsidR="00911344">
        <w:rPr>
          <w:rFonts w:ascii="Times New Roman" w:hAnsi="Times New Roman"/>
          <w:color w:val="000000"/>
          <w:sz w:val="24"/>
        </w:rPr>
        <w:t xml:space="preserve">pod </w:t>
      </w:r>
      <w:r w:rsidR="000E578F" w:rsidRPr="000E578F">
        <w:rPr>
          <w:rFonts w:ascii="Times New Roman" w:hAnsi="Times New Roman"/>
          <w:color w:val="000000"/>
          <w:sz w:val="24"/>
        </w:rPr>
        <w:t xml:space="preserve">sp. zn. </w:t>
      </w:r>
      <w:r w:rsidR="000E578F">
        <w:rPr>
          <w:rFonts w:ascii="Times New Roman" w:hAnsi="Times New Roman"/>
          <w:color w:val="000000"/>
          <w:sz w:val="24"/>
        </w:rPr>
        <w:t>28 C 10/2019,</w:t>
      </w:r>
      <w:r w:rsidR="000E578F" w:rsidRPr="000E578F">
        <w:t xml:space="preserve"> </w:t>
      </w:r>
    </w:p>
    <w:p w:rsidR="00BC6507" w:rsidRPr="00C70E2F" w:rsidRDefault="000E578F" w:rsidP="000C3238">
      <w:pPr>
        <w:pStyle w:val="Zkladntext"/>
        <w:widowControl w:val="0"/>
        <w:numPr>
          <w:ilvl w:val="0"/>
          <w:numId w:val="23"/>
        </w:numPr>
        <w:autoSpaceDE/>
        <w:spacing w:before="120"/>
        <w:rPr>
          <w:rFonts w:ascii="Times New Roman" w:hAnsi="Times New Roman"/>
          <w:color w:val="000000"/>
          <w:sz w:val="24"/>
        </w:rPr>
      </w:pPr>
      <w:r w:rsidRPr="00C70E2F">
        <w:rPr>
          <w:rFonts w:ascii="Times New Roman" w:hAnsi="Times New Roman"/>
          <w:color w:val="000000"/>
          <w:sz w:val="24"/>
        </w:rPr>
        <w:t>d</w:t>
      </w:r>
      <w:r w:rsidR="00522BDF">
        <w:rPr>
          <w:rFonts w:ascii="Times New Roman" w:hAnsi="Times New Roman"/>
          <w:color w:val="000000"/>
          <w:sz w:val="24"/>
        </w:rPr>
        <w:t>ne 4.12.2015 č.j. SPU 631491/2015/37/Ši, které měl vydat nejpozději dne 8.1.2015, resp. 8. 7. 2015,</w:t>
      </w:r>
      <w:r w:rsidR="00522BDF">
        <w:t xml:space="preserve"> </w:t>
      </w:r>
      <w:r w:rsidR="00522BDF">
        <w:rPr>
          <w:rFonts w:ascii="Times New Roman" w:hAnsi="Times New Roman"/>
          <w:color w:val="000000"/>
          <w:sz w:val="24"/>
        </w:rPr>
        <w:t>kdy o nárok na náhradu škody vzniklou Řádu tímto prodlením se vede soudní spor před Obvodním soudem pro Prahu 1 pod sp. zn. 65 C 86/2019,</w:t>
      </w:r>
    </w:p>
    <w:p w:rsidR="000C3238" w:rsidRPr="00C70E2F" w:rsidRDefault="00522BDF" w:rsidP="000C3238">
      <w:pPr>
        <w:pStyle w:val="Zkladntext"/>
        <w:widowControl w:val="0"/>
        <w:numPr>
          <w:ilvl w:val="0"/>
          <w:numId w:val="23"/>
        </w:numPr>
        <w:autoSpaceDE/>
        <w:spacing w:before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dne 4.12.2015 č.j. SPU 629738/2015, které měl vydat nejpozději dne 8.1.2015, resp. 8. 7. 2015,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kdy o nárok na náhradu škody vzniklou Řádu tímto prodlením se vede soudní spor před Obvodním soudem pro Prahu 1 pod sp. zn. 65 C 86/2019,</w:t>
      </w:r>
    </w:p>
    <w:p w:rsidR="00BC6507" w:rsidRDefault="000C3238" w:rsidP="000C3238">
      <w:pPr>
        <w:pStyle w:val="Zkladntext"/>
        <w:widowControl w:val="0"/>
        <w:numPr>
          <w:ilvl w:val="0"/>
          <w:numId w:val="23"/>
        </w:numPr>
        <w:autoSpaceDE/>
        <w:spacing w:before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dne 14</w:t>
      </w:r>
      <w:r w:rsidR="00BC6507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BC6507">
        <w:rPr>
          <w:rFonts w:ascii="Times New Roman" w:hAnsi="Times New Roman"/>
          <w:color w:val="000000"/>
          <w:sz w:val="24"/>
        </w:rPr>
        <w:t xml:space="preserve">2.2015 č.j. </w:t>
      </w:r>
      <w:r>
        <w:rPr>
          <w:rFonts w:ascii="Times New Roman" w:hAnsi="Times New Roman"/>
          <w:color w:val="000000"/>
          <w:sz w:val="24"/>
        </w:rPr>
        <w:t>SPU 640524</w:t>
      </w:r>
      <w:r w:rsidR="00BC6507" w:rsidRPr="00876C82">
        <w:rPr>
          <w:rFonts w:ascii="Times New Roman" w:hAnsi="Times New Roman"/>
          <w:color w:val="000000"/>
          <w:sz w:val="24"/>
        </w:rPr>
        <w:t>/2015</w:t>
      </w:r>
      <w:r w:rsidR="00BC6507">
        <w:rPr>
          <w:rFonts w:ascii="Times New Roman" w:hAnsi="Times New Roman"/>
          <w:color w:val="000000"/>
          <w:sz w:val="24"/>
        </w:rPr>
        <w:t>, k</w:t>
      </w:r>
      <w:r>
        <w:rPr>
          <w:rFonts w:ascii="Times New Roman" w:hAnsi="Times New Roman"/>
          <w:color w:val="000000"/>
          <w:sz w:val="24"/>
        </w:rPr>
        <w:t>teré měl vydat nejpozději dne 4.8.2014, resp. 4. 2</w:t>
      </w:r>
      <w:r w:rsidR="00BC6507">
        <w:rPr>
          <w:rFonts w:ascii="Times New Roman" w:hAnsi="Times New Roman"/>
          <w:color w:val="000000"/>
          <w:sz w:val="24"/>
        </w:rPr>
        <w:t>. 2015,</w:t>
      </w:r>
      <w:r w:rsidRPr="000C3238">
        <w:t xml:space="preserve"> </w:t>
      </w:r>
      <w:r w:rsidRPr="000C3238">
        <w:rPr>
          <w:rFonts w:ascii="Times New Roman" w:hAnsi="Times New Roman"/>
          <w:color w:val="000000"/>
          <w:sz w:val="24"/>
        </w:rPr>
        <w:t xml:space="preserve">kdy o nárok na náhradu škody vzniklou Řádu tímto prodlením se vede soudní spor před Obvodním soudem pro Prahu 1 </w:t>
      </w:r>
      <w:r w:rsidR="00911344">
        <w:rPr>
          <w:rFonts w:ascii="Times New Roman" w:hAnsi="Times New Roman"/>
          <w:color w:val="000000"/>
          <w:sz w:val="24"/>
        </w:rPr>
        <w:t xml:space="preserve">pod </w:t>
      </w:r>
      <w:r w:rsidRPr="000C3238">
        <w:rPr>
          <w:rFonts w:ascii="Times New Roman" w:hAnsi="Times New Roman"/>
          <w:color w:val="000000"/>
          <w:sz w:val="24"/>
        </w:rPr>
        <w:t xml:space="preserve">sp. zn. </w:t>
      </w:r>
      <w:r>
        <w:rPr>
          <w:rFonts w:ascii="Times New Roman" w:hAnsi="Times New Roman"/>
          <w:color w:val="000000"/>
          <w:sz w:val="24"/>
        </w:rPr>
        <w:t>26 C 102</w:t>
      </w:r>
      <w:r w:rsidRPr="000C3238">
        <w:rPr>
          <w:rFonts w:ascii="Times New Roman" w:hAnsi="Times New Roman"/>
          <w:color w:val="000000"/>
          <w:sz w:val="24"/>
        </w:rPr>
        <w:t>/2019,</w:t>
      </w:r>
    </w:p>
    <w:p w:rsidR="006C06C4" w:rsidRDefault="000C3238" w:rsidP="006C06C4">
      <w:pPr>
        <w:pStyle w:val="Odstavecseseznamem"/>
        <w:numPr>
          <w:ilvl w:val="0"/>
          <w:numId w:val="23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 5.2.2016 č.j. SPU 049455/2016</w:t>
      </w:r>
      <w:r w:rsidRPr="000C3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které měl vydat nejpozději dne 4.8.2014, resp. 4. 2. 2015, kdy o nárok na náhradu škody vzniklou Řádu tímto prodlením se vede soudní spor před Obvodním soudem pro Prahu 1 </w:t>
      </w:r>
      <w:r w:rsidR="00911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 </w:t>
      </w:r>
      <w:r w:rsidRPr="000C3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sp. zn.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C 1</w:t>
      </w:r>
      <w:r w:rsidRPr="000C323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0C3238">
        <w:rPr>
          <w:rFonts w:ascii="Times New Roman" w:eastAsia="Times New Roman" w:hAnsi="Times New Roman" w:cs="Times New Roman"/>
          <w:color w:val="000000"/>
          <w:sz w:val="24"/>
          <w:szCs w:val="24"/>
        </w:rPr>
        <w:t>/2019,</w:t>
      </w:r>
    </w:p>
    <w:p w:rsidR="0028458F" w:rsidRDefault="0028458F" w:rsidP="0028458F">
      <w:pPr>
        <w:pStyle w:val="Odstavecseseznamem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238" w:rsidRPr="006C06C4" w:rsidRDefault="000C3238" w:rsidP="006C06C4">
      <w:pPr>
        <w:pStyle w:val="Odstavecseseznamem"/>
        <w:numPr>
          <w:ilvl w:val="0"/>
          <w:numId w:val="23"/>
        </w:num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dne 24.8.2016 č.j. SPU 419525/2016/37/Ši, které měl vydat nejpozději dne 22.7.2014, resp. 22. 1. 2015, </w:t>
      </w:r>
    </w:p>
    <w:p w:rsidR="000C3238" w:rsidRDefault="000C3238" w:rsidP="006C06C4">
      <w:pPr>
        <w:pStyle w:val="Zkladntext"/>
        <w:widowControl w:val="0"/>
        <w:numPr>
          <w:ilvl w:val="0"/>
          <w:numId w:val="23"/>
        </w:numPr>
        <w:autoSpaceDE/>
        <w:spacing w:before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dne 13.4.2016 č.j. SPU </w:t>
      </w:r>
      <w:r w:rsidR="00F21480">
        <w:rPr>
          <w:rFonts w:ascii="Times New Roman" w:hAnsi="Times New Roman"/>
          <w:color w:val="000000"/>
          <w:sz w:val="24"/>
        </w:rPr>
        <w:t>137593/2016</w:t>
      </w:r>
      <w:r>
        <w:rPr>
          <w:rFonts w:ascii="Times New Roman" w:hAnsi="Times New Roman"/>
          <w:color w:val="000000"/>
          <w:sz w:val="24"/>
        </w:rPr>
        <w:t>, k</w:t>
      </w:r>
      <w:r w:rsidR="00F21480">
        <w:rPr>
          <w:rFonts w:ascii="Times New Roman" w:hAnsi="Times New Roman"/>
          <w:color w:val="000000"/>
          <w:sz w:val="24"/>
        </w:rPr>
        <w:t>teré měl vydat nejpozději dne 4.8.2014, resp. 4. 2</w:t>
      </w:r>
      <w:r>
        <w:rPr>
          <w:rFonts w:ascii="Times New Roman" w:hAnsi="Times New Roman"/>
          <w:color w:val="000000"/>
          <w:sz w:val="24"/>
        </w:rPr>
        <w:t>. 2015,</w:t>
      </w:r>
      <w:r w:rsidRPr="000E578F">
        <w:t xml:space="preserve"> </w:t>
      </w:r>
      <w:r w:rsidRPr="000E578F">
        <w:rPr>
          <w:rFonts w:ascii="Times New Roman" w:hAnsi="Times New Roman"/>
          <w:color w:val="000000"/>
          <w:sz w:val="24"/>
        </w:rPr>
        <w:t xml:space="preserve">kdy o nárok na náhradu škody vzniklou Řádu tímto prodlením se vede soudní spor před Obvodním soudem pro Prahu 1 </w:t>
      </w:r>
      <w:r w:rsidR="00911344">
        <w:rPr>
          <w:rFonts w:ascii="Times New Roman" w:hAnsi="Times New Roman"/>
          <w:color w:val="000000"/>
          <w:sz w:val="24"/>
        </w:rPr>
        <w:t xml:space="preserve">pod </w:t>
      </w:r>
      <w:r w:rsidRPr="000E578F">
        <w:rPr>
          <w:rFonts w:ascii="Times New Roman" w:hAnsi="Times New Roman"/>
          <w:color w:val="000000"/>
          <w:sz w:val="24"/>
        </w:rPr>
        <w:t xml:space="preserve">sp. zn. </w:t>
      </w:r>
      <w:r w:rsidR="00F21480">
        <w:rPr>
          <w:rFonts w:ascii="Times New Roman" w:hAnsi="Times New Roman"/>
          <w:color w:val="000000"/>
          <w:sz w:val="24"/>
        </w:rPr>
        <w:t>24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F21480">
        <w:rPr>
          <w:rFonts w:ascii="Times New Roman" w:hAnsi="Times New Roman"/>
          <w:color w:val="000000"/>
          <w:sz w:val="24"/>
        </w:rPr>
        <w:t>C 219</w:t>
      </w:r>
      <w:r>
        <w:rPr>
          <w:rFonts w:ascii="Times New Roman" w:hAnsi="Times New Roman"/>
          <w:color w:val="000000"/>
          <w:sz w:val="24"/>
        </w:rPr>
        <w:t>/2019,</w:t>
      </w:r>
      <w:r w:rsidRPr="000E578F">
        <w:t xml:space="preserve"> </w:t>
      </w:r>
    </w:p>
    <w:p w:rsidR="006C06C4" w:rsidRDefault="006C06C4" w:rsidP="006C06C4">
      <w:pPr>
        <w:pStyle w:val="Zkladntext"/>
        <w:widowControl w:val="0"/>
        <w:numPr>
          <w:ilvl w:val="0"/>
          <w:numId w:val="23"/>
        </w:numPr>
        <w:autoSpaceDE/>
        <w:spacing w:before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dne 22.12.2016 č.j. SPU 635002/2016, které měl vydat nejpozději dne 22.7.2014, resp. 22. 1. 2015,</w:t>
      </w:r>
      <w:r w:rsidRPr="000E578F">
        <w:t xml:space="preserve"> </w:t>
      </w:r>
      <w:r w:rsidRPr="000E578F">
        <w:rPr>
          <w:rFonts w:ascii="Times New Roman" w:hAnsi="Times New Roman"/>
          <w:color w:val="000000"/>
          <w:sz w:val="24"/>
        </w:rPr>
        <w:t xml:space="preserve">kdy o nárok na náhradu škody vzniklou Řádu tímto prodlením se vede soudní spor před Obvodním soudem pro Prahu 1 </w:t>
      </w:r>
      <w:r w:rsidR="00911344">
        <w:rPr>
          <w:rFonts w:ascii="Times New Roman" w:hAnsi="Times New Roman"/>
          <w:color w:val="000000"/>
          <w:sz w:val="24"/>
        </w:rPr>
        <w:t xml:space="preserve">pod </w:t>
      </w:r>
      <w:r w:rsidRPr="000E578F">
        <w:rPr>
          <w:rFonts w:ascii="Times New Roman" w:hAnsi="Times New Roman"/>
          <w:color w:val="000000"/>
          <w:sz w:val="24"/>
        </w:rPr>
        <w:t xml:space="preserve">sp. zn. </w:t>
      </w:r>
      <w:r>
        <w:rPr>
          <w:rFonts w:ascii="Times New Roman" w:hAnsi="Times New Roman"/>
          <w:color w:val="000000"/>
          <w:sz w:val="24"/>
        </w:rPr>
        <w:t>22 C 147/2020,</w:t>
      </w:r>
      <w:r w:rsidRPr="000E578F">
        <w:t xml:space="preserve"> </w:t>
      </w:r>
    </w:p>
    <w:p w:rsidR="006C06C4" w:rsidRDefault="006C06C4" w:rsidP="006C06C4">
      <w:pPr>
        <w:pStyle w:val="Zkladntext"/>
        <w:widowControl w:val="0"/>
        <w:numPr>
          <w:ilvl w:val="0"/>
          <w:numId w:val="23"/>
        </w:numPr>
        <w:autoSpaceDE/>
        <w:spacing w:before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dne 24.11.2016 č.j. SPU 594361/2016, které měl vydat nejpozději dne 17.7.2014, resp. 17. 1. 2015,</w:t>
      </w:r>
      <w:r w:rsidRPr="000E578F">
        <w:t xml:space="preserve"> </w:t>
      </w:r>
      <w:r w:rsidRPr="000E578F">
        <w:rPr>
          <w:rFonts w:ascii="Times New Roman" w:hAnsi="Times New Roman"/>
          <w:color w:val="000000"/>
          <w:sz w:val="24"/>
        </w:rPr>
        <w:t xml:space="preserve">kdy o nárok na náhradu škody vzniklou Řádu tímto prodlením se vede soudní spor před Obvodním soudem pro Prahu 1 </w:t>
      </w:r>
      <w:r w:rsidR="00911344">
        <w:rPr>
          <w:rFonts w:ascii="Times New Roman" w:hAnsi="Times New Roman"/>
          <w:color w:val="000000"/>
          <w:sz w:val="24"/>
        </w:rPr>
        <w:t xml:space="preserve">pod </w:t>
      </w:r>
      <w:r w:rsidRPr="000E578F">
        <w:rPr>
          <w:rFonts w:ascii="Times New Roman" w:hAnsi="Times New Roman"/>
          <w:color w:val="000000"/>
          <w:sz w:val="24"/>
        </w:rPr>
        <w:t xml:space="preserve">sp. zn. </w:t>
      </w:r>
      <w:r>
        <w:rPr>
          <w:rFonts w:ascii="Times New Roman" w:hAnsi="Times New Roman"/>
          <w:color w:val="000000"/>
          <w:sz w:val="24"/>
        </w:rPr>
        <w:t>21 C 72/2020,</w:t>
      </w:r>
      <w:r w:rsidRPr="000E578F">
        <w:t xml:space="preserve"> </w:t>
      </w:r>
    </w:p>
    <w:p w:rsidR="0028458F" w:rsidRPr="00F03F29" w:rsidRDefault="006C06C4" w:rsidP="00F03F29">
      <w:pPr>
        <w:pStyle w:val="Odstavecseseznamem"/>
        <w:numPr>
          <w:ilvl w:val="0"/>
          <w:numId w:val="23"/>
        </w:num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 9.7.2019 č.j. SPU 274821/2019/JEH</w:t>
      </w:r>
      <w:r w:rsidRPr="006C06C4">
        <w:rPr>
          <w:rFonts w:ascii="Times New Roman" w:eastAsia="Times New Roman" w:hAnsi="Times New Roman" w:cs="Times New Roman"/>
          <w:color w:val="000000"/>
          <w:sz w:val="24"/>
          <w:szCs w:val="24"/>
        </w:rPr>
        <w:t>, které měl vydat nejpozději dne 22.7.2014, resp. 22. 1. 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C0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8458F" w:rsidRPr="00F03F29" w:rsidRDefault="00903C5E" w:rsidP="00F03F29">
      <w:pPr>
        <w:pStyle w:val="Zkladntext"/>
        <w:widowControl w:val="0"/>
        <w:numPr>
          <w:ilvl w:val="0"/>
          <w:numId w:val="23"/>
        </w:numPr>
        <w:autoSpaceDE/>
        <w:spacing w:before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dne 12.10.2017, které měl vydat nejpozději dne 22.7.2015, resp. 22.1.2015, </w:t>
      </w:r>
      <w:r w:rsidRPr="000E578F">
        <w:rPr>
          <w:rFonts w:ascii="Times New Roman" w:hAnsi="Times New Roman"/>
          <w:color w:val="000000"/>
          <w:sz w:val="24"/>
        </w:rPr>
        <w:t xml:space="preserve">kdy o nárok na náhradu škody vzniklou Řádu tímto prodlením se vede soudní spor před Obvodním soudem pro Prahu 1 </w:t>
      </w:r>
      <w:r>
        <w:rPr>
          <w:rFonts w:ascii="Times New Roman" w:hAnsi="Times New Roman"/>
          <w:color w:val="000000"/>
          <w:sz w:val="24"/>
        </w:rPr>
        <w:t xml:space="preserve">pod </w:t>
      </w:r>
      <w:r w:rsidRPr="000E578F">
        <w:rPr>
          <w:rFonts w:ascii="Times New Roman" w:hAnsi="Times New Roman"/>
          <w:color w:val="000000"/>
          <w:sz w:val="24"/>
        </w:rPr>
        <w:t xml:space="preserve">sp. zn. </w:t>
      </w:r>
      <w:r>
        <w:rPr>
          <w:rFonts w:ascii="Times New Roman" w:hAnsi="Times New Roman"/>
          <w:color w:val="000000"/>
          <w:sz w:val="24"/>
        </w:rPr>
        <w:t>65 C 165/2020,</w:t>
      </w:r>
      <w:r w:rsidRPr="000E578F">
        <w:t xml:space="preserve"> </w:t>
      </w:r>
    </w:p>
    <w:p w:rsidR="00E34BFF" w:rsidRDefault="00E34BFF" w:rsidP="0039236D">
      <w:pPr>
        <w:pStyle w:val="Zkladntext"/>
        <w:widowControl w:val="0"/>
        <w:autoSpaceDE/>
        <w:spacing w:before="120"/>
        <w:rPr>
          <w:rFonts w:ascii="Times New Roman" w:hAnsi="Times New Roman"/>
          <w:color w:val="000000"/>
          <w:sz w:val="24"/>
        </w:rPr>
      </w:pPr>
      <w:r w:rsidRPr="00E34BFF">
        <w:rPr>
          <w:rFonts w:ascii="Times New Roman" w:hAnsi="Times New Roman"/>
          <w:b/>
          <w:color w:val="000000"/>
          <w:sz w:val="24"/>
        </w:rPr>
        <w:t>I.2.</w:t>
      </w:r>
      <w:r w:rsidR="008F636C">
        <w:rPr>
          <w:rFonts w:ascii="Times New Roman" w:hAnsi="Times New Roman"/>
          <w:color w:val="000000"/>
          <w:sz w:val="24"/>
        </w:rPr>
        <w:t xml:space="preserve"> </w:t>
      </w:r>
      <w:r w:rsidR="00FE1E3C" w:rsidRPr="00FE1E3C">
        <w:rPr>
          <w:rFonts w:ascii="Times New Roman" w:hAnsi="Times New Roman"/>
          <w:color w:val="000000"/>
          <w:sz w:val="24"/>
        </w:rPr>
        <w:t xml:space="preserve">Smluvní strany prohlašují, že Státní pozemkový úřad, Krajský pozemkový úřad pro </w:t>
      </w:r>
      <w:r w:rsidR="00FE1E3C">
        <w:rPr>
          <w:rFonts w:ascii="Times New Roman" w:hAnsi="Times New Roman"/>
          <w:color w:val="000000"/>
          <w:sz w:val="24"/>
        </w:rPr>
        <w:t>Jihomoravský</w:t>
      </w:r>
      <w:r w:rsidR="00FE1E3C" w:rsidRPr="00FE1E3C">
        <w:rPr>
          <w:rFonts w:ascii="Times New Roman" w:hAnsi="Times New Roman"/>
          <w:color w:val="000000"/>
          <w:sz w:val="24"/>
        </w:rPr>
        <w:t xml:space="preserve"> kraj, se sídlem </w:t>
      </w:r>
      <w:r w:rsidR="00FE1E3C">
        <w:rPr>
          <w:rFonts w:ascii="Times New Roman" w:hAnsi="Times New Roman"/>
          <w:color w:val="000000"/>
          <w:sz w:val="24"/>
        </w:rPr>
        <w:t>Hroznová 227/17, Pisárky, 603 00 Brno</w:t>
      </w:r>
      <w:r w:rsidR="00FE1E3C" w:rsidRPr="00FE1E3C">
        <w:rPr>
          <w:rFonts w:ascii="Times New Roman" w:hAnsi="Times New Roman"/>
          <w:color w:val="000000"/>
          <w:sz w:val="24"/>
        </w:rPr>
        <w:t xml:space="preserve"> vydal následující rozhodnutí dle § 9 </w:t>
      </w:r>
      <w:r w:rsidR="00FE1E3C">
        <w:rPr>
          <w:rFonts w:ascii="Times New Roman" w:hAnsi="Times New Roman"/>
          <w:color w:val="000000"/>
          <w:sz w:val="24"/>
        </w:rPr>
        <w:t>ZMV:</w:t>
      </w:r>
    </w:p>
    <w:p w:rsidR="00FE1E3C" w:rsidRDefault="00FE1E3C" w:rsidP="00FE1E3C">
      <w:pPr>
        <w:pStyle w:val="Zkladntext"/>
        <w:widowControl w:val="0"/>
        <w:numPr>
          <w:ilvl w:val="0"/>
          <w:numId w:val="23"/>
        </w:numPr>
        <w:autoSpaceDE/>
        <w:spacing w:before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dne 1.7.2016 č.j. SPU 339488/2016, které měl vydat nejpozději dne 3.8.2014, resp. 3. 2. 2015,</w:t>
      </w:r>
      <w:r w:rsidRPr="000C3238">
        <w:t xml:space="preserve"> </w:t>
      </w:r>
      <w:r w:rsidRPr="000C3238">
        <w:rPr>
          <w:rFonts w:ascii="Times New Roman" w:hAnsi="Times New Roman"/>
          <w:color w:val="000000"/>
          <w:sz w:val="24"/>
        </w:rPr>
        <w:t xml:space="preserve">kdy o nárok na náhradu škody vzniklou Řádu tímto prodlením se vede soudní spor před Obvodním soudem pro Prahu 1 </w:t>
      </w:r>
      <w:r w:rsidR="00911344">
        <w:rPr>
          <w:rFonts w:ascii="Times New Roman" w:hAnsi="Times New Roman"/>
          <w:color w:val="000000"/>
          <w:sz w:val="24"/>
        </w:rPr>
        <w:t xml:space="preserve">pod </w:t>
      </w:r>
      <w:r w:rsidRPr="000C3238">
        <w:rPr>
          <w:rFonts w:ascii="Times New Roman" w:hAnsi="Times New Roman"/>
          <w:color w:val="000000"/>
          <w:sz w:val="24"/>
        </w:rPr>
        <w:t xml:space="preserve">sp. zn. </w:t>
      </w:r>
      <w:r>
        <w:rPr>
          <w:rFonts w:ascii="Times New Roman" w:hAnsi="Times New Roman"/>
          <w:color w:val="000000"/>
          <w:sz w:val="24"/>
        </w:rPr>
        <w:t>30 C 150</w:t>
      </w:r>
      <w:r w:rsidRPr="000C3238">
        <w:rPr>
          <w:rFonts w:ascii="Times New Roman" w:hAnsi="Times New Roman"/>
          <w:color w:val="000000"/>
          <w:sz w:val="24"/>
        </w:rPr>
        <w:t>/2019,</w:t>
      </w:r>
      <w:r w:rsidR="00843ECA">
        <w:rPr>
          <w:rFonts w:ascii="Times New Roman" w:hAnsi="Times New Roman"/>
          <w:color w:val="000000"/>
          <w:sz w:val="24"/>
        </w:rPr>
        <w:t xml:space="preserve"> resp. před soudem příslušným k projednání podaného odvolání proti rozhodnutí v této věci,</w:t>
      </w:r>
    </w:p>
    <w:p w:rsidR="00843ECA" w:rsidRDefault="00843ECA" w:rsidP="00843ECA">
      <w:pPr>
        <w:pStyle w:val="Zkladntext"/>
        <w:widowControl w:val="0"/>
        <w:numPr>
          <w:ilvl w:val="0"/>
          <w:numId w:val="23"/>
        </w:numPr>
        <w:autoSpaceDE/>
        <w:spacing w:before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dne 4.7.2016 č.j. SPU 341278/2016, které měl vydat nejpozději dne 3.8.2014, resp. 3. </w:t>
      </w:r>
      <w:r>
        <w:rPr>
          <w:rFonts w:ascii="Times New Roman" w:hAnsi="Times New Roman"/>
          <w:color w:val="000000"/>
          <w:sz w:val="24"/>
        </w:rPr>
        <w:lastRenderedPageBreak/>
        <w:t>2. 2015,</w:t>
      </w:r>
      <w:r w:rsidRPr="000C3238">
        <w:t xml:space="preserve"> </w:t>
      </w:r>
      <w:r w:rsidRPr="000C3238">
        <w:rPr>
          <w:rFonts w:ascii="Times New Roman" w:hAnsi="Times New Roman"/>
          <w:color w:val="000000"/>
          <w:sz w:val="24"/>
        </w:rPr>
        <w:t xml:space="preserve">kdy o nárok na náhradu škody vzniklou Řádu tímto prodlením se vede soudní spor před Obvodním soudem pro Prahu 1 </w:t>
      </w:r>
      <w:r w:rsidR="00911344">
        <w:rPr>
          <w:rFonts w:ascii="Times New Roman" w:hAnsi="Times New Roman"/>
          <w:color w:val="000000"/>
          <w:sz w:val="24"/>
        </w:rPr>
        <w:t xml:space="preserve">pod </w:t>
      </w:r>
      <w:r w:rsidRPr="000C3238">
        <w:rPr>
          <w:rFonts w:ascii="Times New Roman" w:hAnsi="Times New Roman"/>
          <w:color w:val="000000"/>
          <w:sz w:val="24"/>
        </w:rPr>
        <w:t xml:space="preserve">sp. zn. </w:t>
      </w:r>
      <w:r>
        <w:rPr>
          <w:rFonts w:ascii="Times New Roman" w:hAnsi="Times New Roman"/>
          <w:color w:val="000000"/>
          <w:sz w:val="24"/>
        </w:rPr>
        <w:t>64 C 157</w:t>
      </w:r>
      <w:r w:rsidRPr="000C3238">
        <w:rPr>
          <w:rFonts w:ascii="Times New Roman" w:hAnsi="Times New Roman"/>
          <w:color w:val="000000"/>
          <w:sz w:val="24"/>
        </w:rPr>
        <w:t>/2019,</w:t>
      </w:r>
    </w:p>
    <w:p w:rsidR="00843ECA" w:rsidRDefault="00843ECA" w:rsidP="007A4C20">
      <w:pPr>
        <w:pStyle w:val="Zkladntext"/>
        <w:widowControl w:val="0"/>
        <w:numPr>
          <w:ilvl w:val="0"/>
          <w:numId w:val="23"/>
        </w:numPr>
        <w:autoSpaceDE/>
        <w:spacing w:before="120" w:after="120"/>
        <w:ind w:left="714" w:hanging="35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dne 14.9.2016 č.j. SPU 468086/2016, které měl vydat nejpozději dne 3.8.2014, resp. 3. 2. 2015,</w:t>
      </w:r>
      <w:r w:rsidRPr="000C3238">
        <w:t xml:space="preserve"> </w:t>
      </w:r>
      <w:r w:rsidRPr="000C3238">
        <w:rPr>
          <w:rFonts w:ascii="Times New Roman" w:hAnsi="Times New Roman"/>
          <w:color w:val="000000"/>
          <w:sz w:val="24"/>
        </w:rPr>
        <w:t xml:space="preserve">kdy o nárok na náhradu škody vzniklou Řádu tímto prodlením se vede soudní spor před Obvodním soudem pro Prahu </w:t>
      </w:r>
      <w:r w:rsidR="00911344" w:rsidRPr="000C3238">
        <w:rPr>
          <w:rFonts w:ascii="Times New Roman" w:hAnsi="Times New Roman"/>
          <w:color w:val="000000"/>
          <w:sz w:val="24"/>
        </w:rPr>
        <w:t>1</w:t>
      </w:r>
      <w:r w:rsidR="00911344">
        <w:rPr>
          <w:rFonts w:ascii="Times New Roman" w:hAnsi="Times New Roman"/>
          <w:color w:val="000000"/>
          <w:sz w:val="24"/>
        </w:rPr>
        <w:t xml:space="preserve"> pod </w:t>
      </w:r>
      <w:r w:rsidRPr="000C3238">
        <w:rPr>
          <w:rFonts w:ascii="Times New Roman" w:hAnsi="Times New Roman"/>
          <w:color w:val="000000"/>
          <w:sz w:val="24"/>
        </w:rPr>
        <w:t xml:space="preserve">sp. zn. </w:t>
      </w:r>
      <w:r>
        <w:rPr>
          <w:rFonts w:ascii="Times New Roman" w:hAnsi="Times New Roman"/>
          <w:color w:val="000000"/>
          <w:sz w:val="24"/>
        </w:rPr>
        <w:t>11 C 4/2020</w:t>
      </w:r>
      <w:r w:rsidRPr="000C3238">
        <w:rPr>
          <w:rFonts w:ascii="Times New Roman" w:hAnsi="Times New Roman"/>
          <w:color w:val="000000"/>
          <w:sz w:val="24"/>
        </w:rPr>
        <w:t>,</w:t>
      </w:r>
    </w:p>
    <w:p w:rsidR="00FE1E3C" w:rsidRPr="00843ECA" w:rsidRDefault="00843ECA" w:rsidP="00843ECA">
      <w:pPr>
        <w:pStyle w:val="Odstavecseseznamem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 27.4.2017 č.j. SPU 198161/2017</w:t>
      </w:r>
      <w:r w:rsidRPr="00843ECA">
        <w:rPr>
          <w:rFonts w:ascii="Times New Roman" w:eastAsia="Times New Roman" w:hAnsi="Times New Roman" w:cs="Times New Roman"/>
          <w:color w:val="000000"/>
          <w:sz w:val="24"/>
          <w:szCs w:val="24"/>
        </w:rPr>
        <w:t>, které měl vydat nejpozději dne 3.8.2014, resp. 3. 2. 2015, kdy o nárok na náhradu škody vzniklou Řádu tímto prodlením se vede soudní spor před Obvodn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ím soudem pro Prahu 1 </w:t>
      </w:r>
      <w:r w:rsidR="00911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sp. zn. 27 C 206/2020.</w:t>
      </w:r>
    </w:p>
    <w:p w:rsidR="00244F5D" w:rsidRDefault="00244F5D" w:rsidP="0039236D">
      <w:pPr>
        <w:pStyle w:val="Zkladntext"/>
        <w:widowControl w:val="0"/>
        <w:autoSpaceDE/>
        <w:spacing w:before="120"/>
        <w:rPr>
          <w:rFonts w:ascii="Times New Roman" w:hAnsi="Times New Roman"/>
          <w:color w:val="000000"/>
          <w:sz w:val="24"/>
        </w:rPr>
      </w:pPr>
      <w:r w:rsidRPr="00244F5D">
        <w:rPr>
          <w:rFonts w:ascii="Times New Roman" w:hAnsi="Times New Roman"/>
          <w:b/>
          <w:color w:val="000000"/>
          <w:sz w:val="24"/>
        </w:rPr>
        <w:t>I.3.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736298">
        <w:rPr>
          <w:rFonts w:ascii="Times New Roman" w:hAnsi="Times New Roman"/>
          <w:color w:val="000000"/>
          <w:sz w:val="24"/>
        </w:rPr>
        <w:t>Smluvní strany shodně prohlašují, že Řádu vznikla nedodržením zákonné lhůty k vydání rozhodnutí dle čl. I.2. a I.3. této smlouvy majetková újma – škoda v podobě ušlého nájemného/pacht</w:t>
      </w:r>
      <w:r w:rsidR="003F1DB7">
        <w:rPr>
          <w:rFonts w:ascii="Times New Roman" w:hAnsi="Times New Roman"/>
          <w:color w:val="000000"/>
          <w:sz w:val="24"/>
        </w:rPr>
        <w:t>ovného</w:t>
      </w:r>
      <w:r w:rsidR="00736298">
        <w:rPr>
          <w:rFonts w:ascii="Times New Roman" w:hAnsi="Times New Roman"/>
          <w:color w:val="000000"/>
          <w:sz w:val="24"/>
        </w:rPr>
        <w:t xml:space="preserve"> a že povinným k náhradě této újmy je dle příslušných ustanovení zákona č. 82/1998 Sb., </w:t>
      </w:r>
      <w:r w:rsidR="00736298" w:rsidRPr="00736298">
        <w:rPr>
          <w:rFonts w:ascii="Times New Roman" w:hAnsi="Times New Roman"/>
          <w:color w:val="000000"/>
          <w:sz w:val="24"/>
        </w:rPr>
        <w:t>o odpovědnosti za škodu způsobenou při výkonu veřejné moci rozhodnutím nebo nesprávným úředním postupem</w:t>
      </w:r>
      <w:r w:rsidR="00736298">
        <w:rPr>
          <w:rFonts w:ascii="Times New Roman" w:hAnsi="Times New Roman"/>
          <w:color w:val="000000"/>
          <w:sz w:val="24"/>
        </w:rPr>
        <w:t xml:space="preserve">, stát, za který </w:t>
      </w:r>
      <w:r w:rsidR="005C4278">
        <w:rPr>
          <w:rFonts w:ascii="Times New Roman" w:hAnsi="Times New Roman"/>
          <w:color w:val="000000"/>
          <w:sz w:val="24"/>
        </w:rPr>
        <w:t xml:space="preserve">v dané věci dle § 6 odst. 2 písm. b) </w:t>
      </w:r>
      <w:r w:rsidR="007A4C20">
        <w:rPr>
          <w:rFonts w:ascii="Times New Roman" w:hAnsi="Times New Roman"/>
          <w:color w:val="000000"/>
          <w:sz w:val="24"/>
        </w:rPr>
        <w:t xml:space="preserve">tohoto </w:t>
      </w:r>
      <w:r w:rsidR="005C4278">
        <w:rPr>
          <w:rFonts w:ascii="Times New Roman" w:hAnsi="Times New Roman"/>
          <w:color w:val="000000"/>
          <w:sz w:val="24"/>
        </w:rPr>
        <w:t>zákona jedná MZe.</w:t>
      </w:r>
    </w:p>
    <w:p w:rsidR="00EA2FA9" w:rsidRDefault="005C4278" w:rsidP="002E4E99">
      <w:pPr>
        <w:pStyle w:val="Zkladntext"/>
        <w:widowControl w:val="0"/>
        <w:autoSpaceDE/>
        <w:spacing w:before="120"/>
        <w:rPr>
          <w:rFonts w:ascii="Times New Roman" w:hAnsi="Times New Roman"/>
          <w:color w:val="000000"/>
          <w:sz w:val="24"/>
        </w:rPr>
      </w:pPr>
      <w:r w:rsidRPr="005C4278">
        <w:rPr>
          <w:rFonts w:ascii="Times New Roman" w:hAnsi="Times New Roman"/>
          <w:b/>
          <w:color w:val="000000"/>
          <w:sz w:val="24"/>
        </w:rPr>
        <w:t>I.4</w:t>
      </w:r>
      <w:r>
        <w:rPr>
          <w:rFonts w:ascii="Times New Roman" w:hAnsi="Times New Roman"/>
          <w:b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Smluvní strany se neshodují</w:t>
      </w:r>
      <w:r w:rsidR="004552F9">
        <w:rPr>
          <w:rFonts w:ascii="Times New Roman" w:hAnsi="Times New Roman"/>
          <w:color w:val="000000"/>
          <w:sz w:val="24"/>
        </w:rPr>
        <w:t>, a tedy mezi stranami je sporná</w:t>
      </w:r>
      <w:r w:rsidR="00911344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výš</w:t>
      </w:r>
      <w:r w:rsidR="00911344">
        <w:rPr>
          <w:rFonts w:ascii="Times New Roman" w:hAnsi="Times New Roman"/>
          <w:color w:val="000000"/>
          <w:sz w:val="24"/>
        </w:rPr>
        <w:t>e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2E4E99">
        <w:rPr>
          <w:rFonts w:ascii="Times New Roman" w:hAnsi="Times New Roman"/>
          <w:color w:val="000000"/>
          <w:sz w:val="24"/>
        </w:rPr>
        <w:t xml:space="preserve">škody dle čl. I.3. této smlouvy, resp. </w:t>
      </w:r>
      <w:r w:rsidR="00911344">
        <w:rPr>
          <w:rFonts w:ascii="Times New Roman" w:hAnsi="Times New Roman"/>
          <w:color w:val="000000"/>
          <w:sz w:val="24"/>
        </w:rPr>
        <w:t xml:space="preserve">se </w:t>
      </w:r>
      <w:r w:rsidR="00C22CA4">
        <w:rPr>
          <w:rFonts w:ascii="Times New Roman" w:hAnsi="Times New Roman"/>
          <w:color w:val="000000"/>
          <w:sz w:val="24"/>
        </w:rPr>
        <w:t xml:space="preserve">strany </w:t>
      </w:r>
      <w:r w:rsidR="00911344">
        <w:rPr>
          <w:rFonts w:ascii="Times New Roman" w:hAnsi="Times New Roman"/>
          <w:color w:val="000000"/>
          <w:sz w:val="24"/>
        </w:rPr>
        <w:t xml:space="preserve">neshodují </w:t>
      </w:r>
      <w:r w:rsidR="002E4E99">
        <w:rPr>
          <w:rFonts w:ascii="Times New Roman" w:hAnsi="Times New Roman"/>
          <w:color w:val="000000"/>
          <w:sz w:val="24"/>
        </w:rPr>
        <w:t>na tom, zda v předmětných řízeních dle čl. I.1. a I.2. této smlouvy byla zákonná maximální lhůta k vydání rozhodnutí 6-ti, nebo 12-ti měsíční.</w:t>
      </w:r>
    </w:p>
    <w:p w:rsidR="004552F9" w:rsidRPr="002E4E99" w:rsidRDefault="004552F9" w:rsidP="00DA537B">
      <w:pPr>
        <w:pStyle w:val="Zkladntext"/>
        <w:widowControl w:val="0"/>
        <w:spacing w:before="120"/>
        <w:rPr>
          <w:rFonts w:ascii="Times New Roman" w:hAnsi="Times New Roman"/>
          <w:color w:val="000000"/>
          <w:sz w:val="24"/>
        </w:rPr>
      </w:pPr>
      <w:r w:rsidRPr="004552F9">
        <w:rPr>
          <w:rFonts w:ascii="Times New Roman" w:hAnsi="Times New Roman"/>
          <w:b/>
          <w:color w:val="000000"/>
          <w:sz w:val="24"/>
        </w:rPr>
        <w:t>I.5.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28458F" w:rsidRPr="0028458F">
        <w:rPr>
          <w:rFonts w:ascii="Times New Roman" w:hAnsi="Times New Roman"/>
          <w:color w:val="000000"/>
          <w:sz w:val="24"/>
        </w:rPr>
        <w:t>Smluvní strany se na základě ustálené rozhodovací praxe Městského soudu v Praze, založené zejména rozsudky sp.zn. 18 Co 33/2020 ze dne 19. 2. 2020, sp.zn. 18 Co 94/2020 ze dne 22. 4. 2020 a sp.zn. 23 Co 9/2020 ze dne 6. 5. 2020  shodují, že škoda, jež je touto smlouvou nahrazována představuje ušlé nájemné/pachtovné u řízeních uvedených výše v odstavci I.1. a I.2., která ještě nebyla pravomocně ukončena, a která po uplynutí zákonné maximální lhůty k vydání rozhodnutí o délce 12ti měsíců náleží Řádu, přičemž je Řádu nahrazována i část nákladů řízení.</w:t>
      </w:r>
    </w:p>
    <w:p w:rsidR="00964FAE" w:rsidRDefault="00964FAE" w:rsidP="006427F3">
      <w:pPr>
        <w:pStyle w:val="para"/>
        <w:tabs>
          <w:tab w:val="clear" w:pos="709"/>
          <w:tab w:val="num" w:pos="1080"/>
          <w:tab w:val="center" w:pos="4536"/>
          <w:tab w:val="left" w:pos="5222"/>
        </w:tabs>
        <w:spacing w:before="60"/>
        <w:jc w:val="both"/>
        <w:rPr>
          <w:b w:val="0"/>
          <w:bCs/>
          <w:color w:val="000000"/>
          <w:szCs w:val="24"/>
        </w:rPr>
      </w:pPr>
    </w:p>
    <w:p w:rsidR="00B6492E" w:rsidRPr="00BE5356" w:rsidRDefault="00B6492E" w:rsidP="00B6492E">
      <w:pPr>
        <w:pStyle w:val="para"/>
        <w:tabs>
          <w:tab w:val="clear" w:pos="709"/>
          <w:tab w:val="num" w:pos="1080"/>
          <w:tab w:val="center" w:pos="4536"/>
          <w:tab w:val="left" w:pos="5222"/>
        </w:tabs>
        <w:spacing w:before="60"/>
        <w:contextualSpacing/>
        <w:rPr>
          <w:bCs/>
          <w:i/>
          <w:color w:val="000000"/>
          <w:szCs w:val="24"/>
        </w:rPr>
      </w:pPr>
      <w:r w:rsidRPr="00BE5356">
        <w:rPr>
          <w:bCs/>
          <w:i/>
          <w:color w:val="000000"/>
          <w:szCs w:val="24"/>
        </w:rPr>
        <w:t>Článek II.</w:t>
      </w:r>
    </w:p>
    <w:p w:rsidR="00E44BE5" w:rsidRPr="00BE5356" w:rsidRDefault="001D6D4E" w:rsidP="00351293">
      <w:pPr>
        <w:pStyle w:val="para"/>
        <w:tabs>
          <w:tab w:val="clear" w:pos="709"/>
          <w:tab w:val="num" w:pos="1080"/>
          <w:tab w:val="center" w:pos="4536"/>
          <w:tab w:val="left" w:pos="5222"/>
        </w:tabs>
        <w:spacing w:before="60"/>
        <w:contextualSpacing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Narovnání sporných skuteč</w:t>
      </w:r>
      <w:r w:rsidR="00475AC9">
        <w:rPr>
          <w:bCs/>
          <w:color w:val="000000"/>
          <w:szCs w:val="24"/>
        </w:rPr>
        <w:t>n</w:t>
      </w:r>
      <w:r>
        <w:rPr>
          <w:bCs/>
          <w:color w:val="000000"/>
          <w:szCs w:val="24"/>
        </w:rPr>
        <w:t>ostí</w:t>
      </w:r>
      <w:r w:rsidR="00512920">
        <w:rPr>
          <w:bCs/>
          <w:color w:val="000000"/>
          <w:szCs w:val="24"/>
        </w:rPr>
        <w:t xml:space="preserve">, </w:t>
      </w:r>
      <w:r w:rsidR="00D6675A">
        <w:rPr>
          <w:bCs/>
          <w:color w:val="000000"/>
          <w:szCs w:val="24"/>
        </w:rPr>
        <w:t>vzájemné vypořádání</w:t>
      </w:r>
      <w:r w:rsidR="00512920">
        <w:rPr>
          <w:bCs/>
          <w:color w:val="000000"/>
          <w:szCs w:val="24"/>
        </w:rPr>
        <w:t xml:space="preserve"> </w:t>
      </w:r>
    </w:p>
    <w:p w:rsidR="00761ACE" w:rsidRDefault="00761ACE" w:rsidP="00761ACE">
      <w:pPr>
        <w:pStyle w:val="para"/>
        <w:tabs>
          <w:tab w:val="clear" w:pos="709"/>
          <w:tab w:val="num" w:pos="1080"/>
          <w:tab w:val="center" w:pos="4536"/>
          <w:tab w:val="left" w:pos="5222"/>
        </w:tabs>
        <w:spacing w:before="60"/>
        <w:jc w:val="both"/>
        <w:rPr>
          <w:b w:val="0"/>
          <w:bCs/>
          <w:color w:val="000000"/>
          <w:szCs w:val="24"/>
        </w:rPr>
      </w:pPr>
      <w:r>
        <w:rPr>
          <w:bCs/>
          <w:szCs w:val="24"/>
        </w:rPr>
        <w:t>II.1.</w:t>
      </w:r>
      <w:r>
        <w:rPr>
          <w:b w:val="0"/>
          <w:bCs/>
          <w:szCs w:val="24"/>
        </w:rPr>
        <w:t xml:space="preserve"> </w:t>
      </w:r>
      <w:r w:rsidR="00542E94">
        <w:rPr>
          <w:b w:val="0"/>
          <w:bCs/>
          <w:color w:val="000000"/>
          <w:szCs w:val="24"/>
        </w:rPr>
        <w:t xml:space="preserve">Řád a </w:t>
      </w:r>
      <w:r w:rsidR="00C57528">
        <w:rPr>
          <w:b w:val="0"/>
          <w:bCs/>
          <w:color w:val="000000"/>
          <w:szCs w:val="24"/>
        </w:rPr>
        <w:t>MZe</w:t>
      </w:r>
      <w:r>
        <w:rPr>
          <w:b w:val="0"/>
          <w:bCs/>
          <w:color w:val="000000"/>
          <w:szCs w:val="24"/>
        </w:rPr>
        <w:t xml:space="preserve"> se dohodly, s ohledem na snahy nastolit pokojný stav smírnou cestou</w:t>
      </w:r>
      <w:r w:rsidR="002E4E99">
        <w:rPr>
          <w:b w:val="0"/>
          <w:bCs/>
          <w:color w:val="000000"/>
          <w:szCs w:val="24"/>
        </w:rPr>
        <w:t xml:space="preserve"> a na recentní vývoj judikatury,</w:t>
      </w:r>
      <w:r>
        <w:rPr>
          <w:b w:val="0"/>
          <w:bCs/>
          <w:color w:val="000000"/>
          <w:szCs w:val="24"/>
        </w:rPr>
        <w:t xml:space="preserve"> upravit sporná nebo pochybná práva a povinnosti mezi nimi níže uvedeným způsobem a níže uvedeným vypořádáním spolu s úprav</w:t>
      </w:r>
      <w:r w:rsidR="00542E94">
        <w:rPr>
          <w:b w:val="0"/>
          <w:bCs/>
          <w:color w:val="000000"/>
          <w:szCs w:val="24"/>
        </w:rPr>
        <w:t>ou dalších práv a</w:t>
      </w:r>
      <w:r w:rsidR="007A4C20">
        <w:rPr>
          <w:b w:val="0"/>
          <w:bCs/>
          <w:color w:val="000000"/>
          <w:szCs w:val="24"/>
        </w:rPr>
        <w:t> </w:t>
      </w:r>
      <w:r w:rsidR="00542E94">
        <w:rPr>
          <w:b w:val="0"/>
          <w:bCs/>
          <w:color w:val="000000"/>
          <w:szCs w:val="24"/>
        </w:rPr>
        <w:t>povinností</w:t>
      </w:r>
      <w:r w:rsidR="00E34BFF">
        <w:rPr>
          <w:b w:val="0"/>
          <w:bCs/>
          <w:color w:val="000000"/>
          <w:szCs w:val="24"/>
        </w:rPr>
        <w:t>.</w:t>
      </w:r>
    </w:p>
    <w:p w:rsidR="00911344" w:rsidRDefault="00D56591" w:rsidP="00D56591">
      <w:pPr>
        <w:pStyle w:val="para"/>
        <w:spacing w:before="60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II.2</w:t>
      </w:r>
      <w:r w:rsidR="00296F87">
        <w:rPr>
          <w:bCs/>
          <w:color w:val="000000"/>
          <w:szCs w:val="24"/>
        </w:rPr>
        <w:t xml:space="preserve">. </w:t>
      </w:r>
      <w:r w:rsidR="008F6C9E">
        <w:rPr>
          <w:b w:val="0"/>
          <w:bCs/>
          <w:color w:val="000000"/>
          <w:szCs w:val="24"/>
        </w:rPr>
        <w:t xml:space="preserve">MZe se zavazuje do </w:t>
      </w:r>
      <w:r w:rsidR="00AE3020">
        <w:rPr>
          <w:b w:val="0"/>
          <w:bCs/>
          <w:color w:val="000000"/>
          <w:szCs w:val="24"/>
        </w:rPr>
        <w:t>14</w:t>
      </w:r>
      <w:r w:rsidR="008F6C9E">
        <w:rPr>
          <w:b w:val="0"/>
          <w:bCs/>
          <w:color w:val="000000"/>
          <w:szCs w:val="24"/>
        </w:rPr>
        <w:t xml:space="preserve"> dnů od účinnosti této smlouvy uhradit na bankovní účet Řádu uvedený v záhlaví </w:t>
      </w:r>
      <w:r w:rsidR="00E57A86">
        <w:rPr>
          <w:b w:val="0"/>
          <w:bCs/>
          <w:color w:val="000000"/>
          <w:szCs w:val="24"/>
        </w:rPr>
        <w:t xml:space="preserve">této smlouvy </w:t>
      </w:r>
      <w:r w:rsidR="00350342">
        <w:rPr>
          <w:b w:val="0"/>
          <w:bCs/>
          <w:color w:val="000000"/>
          <w:szCs w:val="24"/>
        </w:rPr>
        <w:t xml:space="preserve">částku </w:t>
      </w:r>
      <w:r w:rsidR="00350342">
        <w:rPr>
          <w:bCs/>
          <w:color w:val="000000"/>
          <w:szCs w:val="24"/>
        </w:rPr>
        <w:t>=2.425.</w:t>
      </w:r>
      <w:r w:rsidR="00350342" w:rsidRPr="00350342">
        <w:rPr>
          <w:bCs/>
          <w:color w:val="000000"/>
          <w:szCs w:val="24"/>
        </w:rPr>
        <w:t xml:space="preserve">823,35 </w:t>
      </w:r>
      <w:r w:rsidR="008F6C9E" w:rsidRPr="00350342">
        <w:rPr>
          <w:bCs/>
          <w:color w:val="000000"/>
          <w:szCs w:val="24"/>
        </w:rPr>
        <w:t>Kč</w:t>
      </w:r>
      <w:r w:rsidR="00350342">
        <w:rPr>
          <w:bCs/>
          <w:color w:val="000000"/>
          <w:szCs w:val="24"/>
        </w:rPr>
        <w:t xml:space="preserve"> (slovy: </w:t>
      </w:r>
      <w:r w:rsidR="00350342" w:rsidRPr="00350342">
        <w:rPr>
          <w:bCs/>
          <w:color w:val="000000"/>
          <w:szCs w:val="24"/>
        </w:rPr>
        <w:t>dva miliony čtyři sta dvacet pět tisíc osm set dvacet tři korun českých třicet pět haléřů</w:t>
      </w:r>
      <w:r w:rsidR="00350342">
        <w:rPr>
          <w:bCs/>
          <w:color w:val="000000"/>
          <w:szCs w:val="24"/>
        </w:rPr>
        <w:t>)</w:t>
      </w:r>
      <w:r w:rsidR="008F6C9E" w:rsidRPr="00047193">
        <w:rPr>
          <w:b w:val="0"/>
          <w:bCs/>
          <w:color w:val="000000"/>
          <w:szCs w:val="24"/>
        </w:rPr>
        <w:t xml:space="preserve"> jako</w:t>
      </w:r>
      <w:r w:rsidR="008F6C9E">
        <w:rPr>
          <w:b w:val="0"/>
          <w:bCs/>
          <w:color w:val="000000"/>
          <w:szCs w:val="24"/>
        </w:rPr>
        <w:t xml:space="preserve"> náhradu </w:t>
      </w:r>
      <w:r w:rsidR="00E57A86">
        <w:rPr>
          <w:b w:val="0"/>
          <w:bCs/>
          <w:color w:val="000000"/>
          <w:szCs w:val="24"/>
        </w:rPr>
        <w:t xml:space="preserve">škody </w:t>
      </w:r>
      <w:r w:rsidR="00116845">
        <w:rPr>
          <w:b w:val="0"/>
          <w:bCs/>
          <w:color w:val="000000"/>
          <w:szCs w:val="24"/>
        </w:rPr>
        <w:t xml:space="preserve">a újmy </w:t>
      </w:r>
      <w:r w:rsidR="00E57A86">
        <w:rPr>
          <w:b w:val="0"/>
          <w:bCs/>
          <w:color w:val="000000"/>
          <w:szCs w:val="24"/>
        </w:rPr>
        <w:t xml:space="preserve">způsobené </w:t>
      </w:r>
      <w:r w:rsidR="00E57A86" w:rsidRPr="00E57A86">
        <w:rPr>
          <w:b w:val="0"/>
          <w:bCs/>
          <w:color w:val="000000"/>
          <w:szCs w:val="24"/>
        </w:rPr>
        <w:t>při výkonu veřejné moci rozhodnutím nebo nesprávným úředním postupem</w:t>
      </w:r>
      <w:r w:rsidR="00E57A86">
        <w:rPr>
          <w:b w:val="0"/>
          <w:bCs/>
          <w:color w:val="000000"/>
          <w:szCs w:val="24"/>
        </w:rPr>
        <w:t xml:space="preserve"> ve smyslu </w:t>
      </w:r>
      <w:r w:rsidR="00E57A86" w:rsidRPr="00E57A86">
        <w:rPr>
          <w:b w:val="0"/>
          <w:bCs/>
          <w:color w:val="000000"/>
          <w:szCs w:val="24"/>
        </w:rPr>
        <w:t>zákona č. 82/1998 Sb.</w:t>
      </w:r>
      <w:r w:rsidR="00C53727">
        <w:rPr>
          <w:b w:val="0"/>
          <w:bCs/>
          <w:color w:val="000000"/>
          <w:szCs w:val="24"/>
        </w:rPr>
        <w:t xml:space="preserve"> nedodržením zákonných lhůt k vydání rozhodnutí dle čl. I.1 a I.2 této smlouvy</w:t>
      </w:r>
      <w:r w:rsidR="00911344">
        <w:rPr>
          <w:b w:val="0"/>
          <w:bCs/>
          <w:color w:val="000000"/>
          <w:szCs w:val="24"/>
        </w:rPr>
        <w:t xml:space="preserve"> u řízeních, která ještě nebyla </w:t>
      </w:r>
      <w:r w:rsidR="00E0058F">
        <w:rPr>
          <w:b w:val="0"/>
          <w:bCs/>
          <w:color w:val="000000"/>
          <w:szCs w:val="24"/>
        </w:rPr>
        <w:t xml:space="preserve">pravomocně </w:t>
      </w:r>
      <w:r w:rsidR="00911344">
        <w:rPr>
          <w:b w:val="0"/>
          <w:bCs/>
          <w:color w:val="000000"/>
          <w:szCs w:val="24"/>
        </w:rPr>
        <w:t>ukončena</w:t>
      </w:r>
      <w:r w:rsidR="00C53727">
        <w:rPr>
          <w:b w:val="0"/>
          <w:bCs/>
          <w:color w:val="000000"/>
          <w:szCs w:val="24"/>
        </w:rPr>
        <w:t xml:space="preserve">, </w:t>
      </w:r>
      <w:r w:rsidR="00E0058F">
        <w:rPr>
          <w:b w:val="0"/>
          <w:bCs/>
          <w:color w:val="000000"/>
          <w:szCs w:val="24"/>
        </w:rPr>
        <w:t xml:space="preserve">kdy </w:t>
      </w:r>
      <w:r w:rsidR="00AE3020">
        <w:rPr>
          <w:b w:val="0"/>
          <w:bCs/>
          <w:color w:val="000000"/>
          <w:szCs w:val="24"/>
        </w:rPr>
        <w:t>tato částka</w:t>
      </w:r>
      <w:r w:rsidR="00C53727">
        <w:rPr>
          <w:b w:val="0"/>
          <w:bCs/>
          <w:color w:val="000000"/>
          <w:szCs w:val="24"/>
        </w:rPr>
        <w:t xml:space="preserve"> </w:t>
      </w:r>
      <w:r w:rsidR="00AE3020">
        <w:rPr>
          <w:b w:val="0"/>
          <w:bCs/>
          <w:color w:val="000000"/>
          <w:szCs w:val="24"/>
        </w:rPr>
        <w:t>zahrnuje i část</w:t>
      </w:r>
      <w:r w:rsidR="00C53727">
        <w:rPr>
          <w:b w:val="0"/>
          <w:bCs/>
          <w:color w:val="000000"/>
          <w:szCs w:val="24"/>
        </w:rPr>
        <w:t xml:space="preserve"> nákladů vzniklých Řádu s</w:t>
      </w:r>
      <w:r w:rsidR="00047193">
        <w:rPr>
          <w:b w:val="0"/>
          <w:bCs/>
          <w:color w:val="000000"/>
          <w:szCs w:val="24"/>
        </w:rPr>
        <w:t>e soudním uplatněním nároků</w:t>
      </w:r>
      <w:r w:rsidR="00C53727">
        <w:rPr>
          <w:b w:val="0"/>
          <w:bCs/>
          <w:color w:val="000000"/>
          <w:szCs w:val="24"/>
        </w:rPr>
        <w:t>.</w:t>
      </w:r>
      <w:r w:rsidR="00911344">
        <w:rPr>
          <w:b w:val="0"/>
          <w:bCs/>
          <w:color w:val="000000"/>
          <w:szCs w:val="24"/>
        </w:rPr>
        <w:t xml:space="preserve"> P</w:t>
      </w:r>
      <w:r w:rsidR="00E0058F">
        <w:rPr>
          <w:b w:val="0"/>
          <w:bCs/>
          <w:color w:val="000000"/>
          <w:szCs w:val="24"/>
        </w:rPr>
        <w:t xml:space="preserve">ro úplnost se uvádí, že </w:t>
      </w:r>
      <w:r w:rsidR="00911344">
        <w:rPr>
          <w:b w:val="0"/>
          <w:bCs/>
          <w:color w:val="000000"/>
          <w:szCs w:val="24"/>
        </w:rPr>
        <w:t xml:space="preserve">již dříve nasouzené náhrady škod dle pravomocných rozhodnutí, které již MZe </w:t>
      </w:r>
      <w:r w:rsidR="00E0058F">
        <w:rPr>
          <w:b w:val="0"/>
          <w:bCs/>
          <w:color w:val="000000"/>
          <w:szCs w:val="24"/>
        </w:rPr>
        <w:t>na</w:t>
      </w:r>
      <w:r w:rsidR="00911344">
        <w:rPr>
          <w:b w:val="0"/>
          <w:bCs/>
          <w:color w:val="000000"/>
          <w:szCs w:val="24"/>
        </w:rPr>
        <w:t>hradilo</w:t>
      </w:r>
      <w:r w:rsidR="00C22CA4">
        <w:rPr>
          <w:b w:val="0"/>
          <w:bCs/>
          <w:color w:val="000000"/>
          <w:szCs w:val="24"/>
        </w:rPr>
        <w:t>,</w:t>
      </w:r>
      <w:r w:rsidR="00911344">
        <w:rPr>
          <w:b w:val="0"/>
          <w:bCs/>
          <w:color w:val="000000"/>
          <w:szCs w:val="24"/>
        </w:rPr>
        <w:t xml:space="preserve"> nejsou touto smlouvou dotčeny a uhrazené částky </w:t>
      </w:r>
      <w:r w:rsidR="00E0058F">
        <w:rPr>
          <w:b w:val="0"/>
          <w:bCs/>
          <w:color w:val="000000"/>
          <w:szCs w:val="24"/>
        </w:rPr>
        <w:t xml:space="preserve">tak </w:t>
      </w:r>
      <w:r w:rsidR="00911344">
        <w:rPr>
          <w:b w:val="0"/>
          <w:bCs/>
          <w:color w:val="000000"/>
          <w:szCs w:val="24"/>
        </w:rPr>
        <w:t>nejsou zahrnuty do</w:t>
      </w:r>
      <w:r w:rsidR="00C22CA4">
        <w:rPr>
          <w:b w:val="0"/>
          <w:bCs/>
          <w:color w:val="000000"/>
          <w:szCs w:val="24"/>
        </w:rPr>
        <w:t xml:space="preserve"> výše uvedené částky</w:t>
      </w:r>
      <w:r w:rsidR="004C0A4E">
        <w:rPr>
          <w:b w:val="0"/>
          <w:bCs/>
          <w:color w:val="000000"/>
          <w:szCs w:val="24"/>
        </w:rPr>
        <w:t>,</w:t>
      </w:r>
      <w:r w:rsidR="00E0058F">
        <w:rPr>
          <w:b w:val="0"/>
          <w:bCs/>
          <w:color w:val="000000"/>
          <w:szCs w:val="24"/>
        </w:rPr>
        <w:t xml:space="preserve"> která se </w:t>
      </w:r>
      <w:r w:rsidR="00903C5E">
        <w:rPr>
          <w:b w:val="0"/>
          <w:bCs/>
          <w:color w:val="000000"/>
          <w:szCs w:val="24"/>
        </w:rPr>
        <w:t xml:space="preserve">tedy </w:t>
      </w:r>
      <w:r w:rsidR="00E0058F">
        <w:rPr>
          <w:b w:val="0"/>
          <w:bCs/>
          <w:color w:val="000000"/>
          <w:szCs w:val="24"/>
        </w:rPr>
        <w:t xml:space="preserve">vztahuje </w:t>
      </w:r>
      <w:r w:rsidR="004C0A4E">
        <w:rPr>
          <w:b w:val="0"/>
          <w:bCs/>
          <w:color w:val="000000"/>
          <w:szCs w:val="24"/>
        </w:rPr>
        <w:t xml:space="preserve">jen </w:t>
      </w:r>
      <w:r w:rsidR="00E0058F">
        <w:rPr>
          <w:b w:val="0"/>
          <w:bCs/>
          <w:color w:val="000000"/>
          <w:szCs w:val="24"/>
        </w:rPr>
        <w:t>na nároky dle dosud neukončených řízení</w:t>
      </w:r>
      <w:r w:rsidR="004C0A4E">
        <w:rPr>
          <w:b w:val="0"/>
          <w:bCs/>
          <w:color w:val="000000"/>
          <w:szCs w:val="24"/>
        </w:rPr>
        <w:t xml:space="preserve"> uvedených v čl. I.1 a I.2</w:t>
      </w:r>
      <w:r w:rsidR="00911344">
        <w:rPr>
          <w:b w:val="0"/>
          <w:bCs/>
          <w:color w:val="000000"/>
          <w:szCs w:val="24"/>
        </w:rPr>
        <w:t xml:space="preserve">. </w:t>
      </w:r>
    </w:p>
    <w:p w:rsidR="002A06ED" w:rsidRDefault="00296F87" w:rsidP="00D56591">
      <w:pPr>
        <w:pStyle w:val="para"/>
        <w:spacing w:before="60"/>
        <w:jc w:val="both"/>
        <w:rPr>
          <w:b w:val="0"/>
          <w:bCs/>
          <w:color w:val="000000"/>
          <w:szCs w:val="24"/>
        </w:rPr>
      </w:pPr>
      <w:r w:rsidRPr="00296F87">
        <w:rPr>
          <w:bCs/>
          <w:color w:val="000000"/>
          <w:szCs w:val="24"/>
        </w:rPr>
        <w:t>II.3.</w:t>
      </w:r>
      <w:r>
        <w:rPr>
          <w:bCs/>
          <w:color w:val="000000"/>
          <w:szCs w:val="24"/>
        </w:rPr>
        <w:t xml:space="preserve"> </w:t>
      </w:r>
      <w:r w:rsidR="00C53727">
        <w:rPr>
          <w:b w:val="0"/>
          <w:bCs/>
          <w:color w:val="000000"/>
          <w:szCs w:val="24"/>
        </w:rPr>
        <w:t>Řád</w:t>
      </w:r>
      <w:r>
        <w:rPr>
          <w:b w:val="0"/>
          <w:bCs/>
          <w:color w:val="000000"/>
          <w:szCs w:val="24"/>
        </w:rPr>
        <w:t xml:space="preserve"> se zavazuje </w:t>
      </w:r>
      <w:r w:rsidR="00170620" w:rsidRPr="00DD1BC4">
        <w:rPr>
          <w:b w:val="0"/>
          <w:bCs/>
          <w:color w:val="000000"/>
          <w:szCs w:val="24"/>
        </w:rPr>
        <w:t xml:space="preserve">do </w:t>
      </w:r>
      <w:r w:rsidR="00244F5D" w:rsidRPr="00DD1BC4">
        <w:rPr>
          <w:b w:val="0"/>
          <w:bCs/>
          <w:color w:val="000000"/>
          <w:szCs w:val="24"/>
        </w:rPr>
        <w:t>60</w:t>
      </w:r>
      <w:r w:rsidR="00170620" w:rsidRPr="00DD1BC4">
        <w:rPr>
          <w:b w:val="0"/>
          <w:bCs/>
          <w:color w:val="000000"/>
          <w:szCs w:val="24"/>
        </w:rPr>
        <w:t xml:space="preserve"> dnů</w:t>
      </w:r>
      <w:r w:rsidR="00170620">
        <w:rPr>
          <w:b w:val="0"/>
          <w:bCs/>
          <w:color w:val="000000"/>
          <w:szCs w:val="24"/>
        </w:rPr>
        <w:t xml:space="preserve"> </w:t>
      </w:r>
      <w:r w:rsidR="00C53727">
        <w:rPr>
          <w:b w:val="0"/>
          <w:bCs/>
          <w:color w:val="000000"/>
          <w:szCs w:val="24"/>
        </w:rPr>
        <w:t>ode dne obdržení částky podle čl. II.2 této s</w:t>
      </w:r>
      <w:r w:rsidR="004559FF">
        <w:rPr>
          <w:b w:val="0"/>
          <w:bCs/>
          <w:color w:val="000000"/>
          <w:szCs w:val="24"/>
        </w:rPr>
        <w:t>mlouvy vzít zpět všechny žaloby, kterými inicioval soudní řízení o nároky dle čl. I.1. a I.2. této smlouvy</w:t>
      </w:r>
      <w:r w:rsidR="00E0058F">
        <w:rPr>
          <w:b w:val="0"/>
          <w:bCs/>
          <w:color w:val="000000"/>
          <w:szCs w:val="24"/>
        </w:rPr>
        <w:t xml:space="preserve"> v řízeních, která dosud nejsou pravomocně sk</w:t>
      </w:r>
      <w:r w:rsidR="00013043">
        <w:rPr>
          <w:b w:val="0"/>
          <w:bCs/>
          <w:color w:val="000000"/>
          <w:szCs w:val="24"/>
        </w:rPr>
        <w:t>o</w:t>
      </w:r>
      <w:r w:rsidR="00E0058F">
        <w:rPr>
          <w:b w:val="0"/>
          <w:bCs/>
          <w:color w:val="000000"/>
          <w:szCs w:val="24"/>
        </w:rPr>
        <w:t>nčena</w:t>
      </w:r>
      <w:r w:rsidR="004559FF">
        <w:rPr>
          <w:b w:val="0"/>
          <w:bCs/>
          <w:color w:val="000000"/>
          <w:szCs w:val="24"/>
        </w:rPr>
        <w:t xml:space="preserve">. Řád se dále zavazuje nedomáhat se </w:t>
      </w:r>
      <w:r w:rsidR="00DD1BC4">
        <w:rPr>
          <w:b w:val="0"/>
          <w:bCs/>
          <w:color w:val="000000"/>
          <w:szCs w:val="24"/>
        </w:rPr>
        <w:t xml:space="preserve">případných dosud neuplatněných nároků na náhradu </w:t>
      </w:r>
      <w:r w:rsidR="004552F9">
        <w:rPr>
          <w:b w:val="0"/>
          <w:bCs/>
          <w:color w:val="000000"/>
          <w:szCs w:val="24"/>
        </w:rPr>
        <w:t>újmy</w:t>
      </w:r>
      <w:r w:rsidR="00DD1BC4">
        <w:rPr>
          <w:b w:val="0"/>
          <w:bCs/>
          <w:color w:val="000000"/>
          <w:szCs w:val="24"/>
        </w:rPr>
        <w:t xml:space="preserve">, která mu vznikla v důsledku opožděného vydání správních rozhodnutí dle </w:t>
      </w:r>
      <w:r w:rsidR="00DD1BC4" w:rsidRPr="00DD1BC4">
        <w:rPr>
          <w:b w:val="0"/>
          <w:bCs/>
          <w:color w:val="000000"/>
          <w:szCs w:val="24"/>
        </w:rPr>
        <w:t>čl. I.1. a I.2. této smlouvy</w:t>
      </w:r>
      <w:r w:rsidR="00AE3020">
        <w:rPr>
          <w:b w:val="0"/>
          <w:bCs/>
          <w:color w:val="000000"/>
          <w:szCs w:val="24"/>
        </w:rPr>
        <w:t xml:space="preserve"> soudní ani jinou </w:t>
      </w:r>
      <w:r w:rsidR="00AE3020">
        <w:rPr>
          <w:b w:val="0"/>
          <w:bCs/>
          <w:color w:val="000000"/>
          <w:szCs w:val="24"/>
        </w:rPr>
        <w:lastRenderedPageBreak/>
        <w:t xml:space="preserve">cestou, kdy již podaná uplatnění </w:t>
      </w:r>
      <w:r w:rsidR="00E0058F">
        <w:rPr>
          <w:b w:val="0"/>
          <w:bCs/>
          <w:color w:val="000000"/>
          <w:szCs w:val="24"/>
        </w:rPr>
        <w:t xml:space="preserve">úhradou částky dle čl. II.2 </w:t>
      </w:r>
      <w:r w:rsidR="00AE3020">
        <w:rPr>
          <w:b w:val="0"/>
          <w:bCs/>
          <w:color w:val="000000"/>
          <w:szCs w:val="24"/>
        </w:rPr>
        <w:t xml:space="preserve">považuje za plně uspokojená, kdy výslovně se vzdává části nákladů, které nezahrnuje částka dle bodu II.2. této dohody a dále zákonného úroku z prodlení. </w:t>
      </w:r>
    </w:p>
    <w:p w:rsidR="00D561CD" w:rsidRDefault="00296F87" w:rsidP="00CE22AD">
      <w:pPr>
        <w:pStyle w:val="para"/>
        <w:spacing w:before="60"/>
        <w:jc w:val="both"/>
        <w:rPr>
          <w:b w:val="0"/>
        </w:rPr>
      </w:pPr>
      <w:r>
        <w:rPr>
          <w:bCs/>
          <w:color w:val="000000"/>
          <w:szCs w:val="24"/>
        </w:rPr>
        <w:t>II.4</w:t>
      </w:r>
      <w:r w:rsidR="00761ACE">
        <w:rPr>
          <w:bCs/>
          <w:color w:val="000000"/>
          <w:szCs w:val="24"/>
        </w:rPr>
        <w:t>.</w:t>
      </w:r>
      <w:r w:rsidR="00761ACE">
        <w:rPr>
          <w:b w:val="0"/>
          <w:bCs/>
          <w:color w:val="000000"/>
          <w:szCs w:val="24"/>
        </w:rPr>
        <w:t xml:space="preserve"> </w:t>
      </w:r>
      <w:r w:rsidR="00DD1BC4">
        <w:rPr>
          <w:b w:val="0"/>
          <w:bCs/>
          <w:color w:val="000000"/>
          <w:szCs w:val="24"/>
        </w:rPr>
        <w:t xml:space="preserve">Smluvní strany považují vzájemné nároky vzniklé vydáním </w:t>
      </w:r>
      <w:r w:rsidR="00DD1BC4" w:rsidRPr="00DD1BC4">
        <w:rPr>
          <w:b w:val="0"/>
          <w:bCs/>
          <w:color w:val="000000"/>
          <w:szCs w:val="24"/>
        </w:rPr>
        <w:t>správních rozhodnutí dle čl. I.1. a I.2. této smlouvy</w:t>
      </w:r>
      <w:r w:rsidR="00DD1BC4">
        <w:rPr>
          <w:b w:val="0"/>
          <w:bCs/>
          <w:color w:val="000000"/>
          <w:szCs w:val="24"/>
        </w:rPr>
        <w:t xml:space="preserve"> a správními řízeními, která jim předcházela</w:t>
      </w:r>
      <w:r w:rsidR="00AE3020">
        <w:rPr>
          <w:b w:val="0"/>
          <w:bCs/>
          <w:color w:val="000000"/>
          <w:szCs w:val="24"/>
        </w:rPr>
        <w:t>,</w:t>
      </w:r>
      <w:r w:rsidR="00DD1BC4">
        <w:rPr>
          <w:b w:val="0"/>
          <w:bCs/>
          <w:color w:val="000000"/>
          <w:szCs w:val="24"/>
        </w:rPr>
        <w:t xml:space="preserve"> a nároky, které jim vznikly či vzni</w:t>
      </w:r>
      <w:r w:rsidR="00AE3020">
        <w:rPr>
          <w:b w:val="0"/>
          <w:bCs/>
          <w:color w:val="000000"/>
          <w:szCs w:val="24"/>
        </w:rPr>
        <w:t>knou v soudních řízeních o nich</w:t>
      </w:r>
      <w:r w:rsidR="00116845">
        <w:rPr>
          <w:b w:val="0"/>
          <w:bCs/>
          <w:color w:val="000000"/>
          <w:szCs w:val="24"/>
        </w:rPr>
        <w:t>,</w:t>
      </w:r>
      <w:r w:rsidR="00DD1BC4">
        <w:rPr>
          <w:b w:val="0"/>
          <w:bCs/>
          <w:color w:val="000000"/>
          <w:szCs w:val="24"/>
        </w:rPr>
        <w:t xml:space="preserve"> výše uveden</w:t>
      </w:r>
      <w:r w:rsidR="00AE3020">
        <w:rPr>
          <w:b w:val="0"/>
          <w:bCs/>
          <w:color w:val="000000"/>
          <w:szCs w:val="24"/>
        </w:rPr>
        <w:t>ým způsobem</w:t>
      </w:r>
      <w:r w:rsidR="00116845">
        <w:rPr>
          <w:b w:val="0"/>
          <w:bCs/>
          <w:color w:val="000000"/>
          <w:szCs w:val="24"/>
        </w:rPr>
        <w:t xml:space="preserve"> (tj. úhradou částky dle bodu II.2. této dohody ve prospěch Řádu)</w:t>
      </w:r>
      <w:r w:rsidR="00AE3020">
        <w:rPr>
          <w:b w:val="0"/>
          <w:bCs/>
          <w:color w:val="000000"/>
          <w:szCs w:val="24"/>
        </w:rPr>
        <w:t xml:space="preserve"> za zcela vypořádané, a to včetně příslušenství daných nároků. </w:t>
      </w:r>
    </w:p>
    <w:p w:rsidR="00CE22AD" w:rsidRDefault="00CE22AD" w:rsidP="00B6492E">
      <w:pPr>
        <w:pStyle w:val="para"/>
        <w:tabs>
          <w:tab w:val="clear" w:pos="709"/>
          <w:tab w:val="num" w:pos="1080"/>
          <w:tab w:val="center" w:pos="4536"/>
          <w:tab w:val="left" w:pos="5222"/>
        </w:tabs>
        <w:spacing w:before="60"/>
        <w:rPr>
          <w:bCs/>
          <w:i/>
          <w:color w:val="000000"/>
          <w:szCs w:val="24"/>
        </w:rPr>
      </w:pPr>
    </w:p>
    <w:p w:rsidR="00B6492E" w:rsidRPr="000E5EEC" w:rsidRDefault="00B6492E" w:rsidP="00B6492E">
      <w:pPr>
        <w:pStyle w:val="para"/>
        <w:tabs>
          <w:tab w:val="clear" w:pos="709"/>
          <w:tab w:val="num" w:pos="1080"/>
          <w:tab w:val="center" w:pos="4536"/>
          <w:tab w:val="left" w:pos="5222"/>
        </w:tabs>
        <w:spacing w:before="60"/>
        <w:rPr>
          <w:bCs/>
          <w:i/>
          <w:color w:val="000000"/>
          <w:szCs w:val="24"/>
        </w:rPr>
      </w:pPr>
      <w:r w:rsidRPr="000E5EEC">
        <w:rPr>
          <w:bCs/>
          <w:i/>
          <w:color w:val="000000"/>
          <w:szCs w:val="24"/>
        </w:rPr>
        <w:t>Článek III.</w:t>
      </w:r>
    </w:p>
    <w:p w:rsidR="00E44BE5" w:rsidRPr="002C6191" w:rsidRDefault="00B6492E" w:rsidP="00351293">
      <w:pPr>
        <w:pStyle w:val="para"/>
        <w:tabs>
          <w:tab w:val="clear" w:pos="709"/>
          <w:tab w:val="center" w:pos="4536"/>
          <w:tab w:val="left" w:pos="5222"/>
        </w:tabs>
        <w:spacing w:before="60"/>
        <w:contextualSpacing/>
        <w:rPr>
          <w:bCs/>
          <w:color w:val="000000"/>
          <w:szCs w:val="24"/>
        </w:rPr>
      </w:pPr>
      <w:r w:rsidRPr="002C6191">
        <w:rPr>
          <w:bCs/>
          <w:color w:val="000000"/>
          <w:szCs w:val="24"/>
        </w:rPr>
        <w:t>Doručování</w:t>
      </w:r>
    </w:p>
    <w:p w:rsidR="000C262B" w:rsidRDefault="002C6191" w:rsidP="000C26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III</w:t>
      </w:r>
      <w:r w:rsidR="001B6207" w:rsidRPr="00794A3D">
        <w:rPr>
          <w:rFonts w:ascii="TimesNewRomanPSMT" w:hAnsi="TimesNewRomanPSMT" w:cs="TimesNewRomanPSMT"/>
          <w:b/>
        </w:rPr>
        <w:t>.1.</w:t>
      </w:r>
      <w:r w:rsidR="001B6207">
        <w:rPr>
          <w:rFonts w:ascii="TimesNewRomanPSMT" w:hAnsi="TimesNewRomanPSMT" w:cs="TimesNewRomanPSMT"/>
        </w:rPr>
        <w:t xml:space="preserve">   Veškerá podání a jiná oznámení, která se doručují smluvním stranám, je třeba doručit osobně, doporučenou listovní zásilkou nebo </w:t>
      </w:r>
      <w:r w:rsidR="000C262B">
        <w:rPr>
          <w:rFonts w:ascii="TimesNewRomanPSMT" w:hAnsi="TimesNewRomanPSMT" w:cs="TimesNewRomanPSMT"/>
        </w:rPr>
        <w:t xml:space="preserve">zprávou prostřednictvím veřejné datové sítě </w:t>
      </w:r>
      <w:r w:rsidR="00964FAE">
        <w:rPr>
          <w:rFonts w:ascii="TimesNewRomanPSMT" w:hAnsi="TimesNewRomanPSMT" w:cs="TimesNewRomanPSMT"/>
        </w:rPr>
        <w:br/>
      </w:r>
      <w:r w:rsidR="000C262B">
        <w:rPr>
          <w:rFonts w:ascii="TimesNewRomanPSMT" w:hAnsi="TimesNewRomanPSMT" w:cs="TimesNewRomanPSMT"/>
        </w:rPr>
        <w:t>do datové schránky.</w:t>
      </w:r>
    </w:p>
    <w:p w:rsidR="001B6207" w:rsidRDefault="002C6191" w:rsidP="000C26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III</w:t>
      </w:r>
      <w:r w:rsidR="001B6207" w:rsidRPr="00794A3D">
        <w:rPr>
          <w:rFonts w:ascii="TimesNewRomanPSMT" w:hAnsi="TimesNewRomanPSMT" w:cs="TimesNewRomanPSMT"/>
          <w:b/>
        </w:rPr>
        <w:t>.2.</w:t>
      </w:r>
      <w:r w:rsidR="001B6207">
        <w:rPr>
          <w:rFonts w:ascii="TimesNewRomanPSMT" w:hAnsi="TimesNewRomanPSMT" w:cs="TimesNewRomanPSMT"/>
        </w:rPr>
        <w:t xml:space="preserve">   Aniž by tím byly dotčeny další prostředky, kterými lze prokázat doručení, má se za to, že oznámení bylo řádně doručené:</w:t>
      </w:r>
    </w:p>
    <w:p w:rsidR="00964FAE" w:rsidRDefault="00964FAE" w:rsidP="000C26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both"/>
        <w:rPr>
          <w:rFonts w:ascii="TimesNewRomanPSMT" w:hAnsi="TimesNewRomanPSMT" w:cs="TimesNewRomanPSMT"/>
        </w:rPr>
      </w:pPr>
    </w:p>
    <w:p w:rsidR="001B6207" w:rsidRPr="006B0140" w:rsidRDefault="001B6207" w:rsidP="001B6207">
      <w:pPr>
        <w:pStyle w:val="Odstavecseseznamem"/>
        <w:numPr>
          <w:ilvl w:val="0"/>
          <w:numId w:val="3"/>
        </w:numPr>
        <w:tabs>
          <w:tab w:val="left" w:pos="0"/>
          <w:tab w:val="left" w:pos="1075"/>
          <w:tab w:val="left" w:pos="1641"/>
          <w:tab w:val="left" w:pos="226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7878"/>
          <w:tab w:val="left" w:pos="8443"/>
          <w:tab w:val="left" w:pos="8564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u w:val="single"/>
        </w:rPr>
      </w:pPr>
      <w:r w:rsidRPr="006B0140">
        <w:rPr>
          <w:rFonts w:ascii="TimesNewRomanPSMT" w:hAnsi="TimesNewRomanPSMT" w:cs="TimesNewRomanPSMT"/>
          <w:sz w:val="24"/>
          <w:szCs w:val="24"/>
          <w:u w:val="single"/>
        </w:rPr>
        <w:t>při doručování osobně:</w:t>
      </w:r>
    </w:p>
    <w:p w:rsidR="001B6207" w:rsidRPr="006B0140" w:rsidRDefault="001B6207" w:rsidP="001B6207">
      <w:pPr>
        <w:pStyle w:val="Odstavecseseznamem"/>
        <w:numPr>
          <w:ilvl w:val="0"/>
          <w:numId w:val="4"/>
        </w:numPr>
        <w:tabs>
          <w:tab w:val="left" w:pos="0"/>
          <w:tab w:val="left" w:pos="1075"/>
          <w:tab w:val="left" w:pos="1641"/>
          <w:tab w:val="left" w:pos="226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left" w:pos="7878"/>
          <w:tab w:val="left" w:pos="8443"/>
          <w:tab w:val="left" w:pos="8564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6B0140">
        <w:rPr>
          <w:rFonts w:ascii="TimesNewRomanPSMT" w:hAnsi="TimesNewRomanPSMT" w:cs="TimesNewRomanPSMT"/>
          <w:sz w:val="24"/>
          <w:szCs w:val="24"/>
        </w:rPr>
        <w:t>dnem faktického přijetí oznámení příjemcem; nebo</w:t>
      </w:r>
    </w:p>
    <w:p w:rsidR="001B6207" w:rsidRPr="006B0140" w:rsidRDefault="001B6207" w:rsidP="001B6207">
      <w:pPr>
        <w:pStyle w:val="Odstavecseseznamem"/>
        <w:numPr>
          <w:ilvl w:val="0"/>
          <w:numId w:val="4"/>
        </w:numPr>
        <w:tabs>
          <w:tab w:val="left" w:pos="0"/>
          <w:tab w:val="left" w:pos="1641"/>
          <w:tab w:val="left" w:pos="1701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8564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6B0140">
        <w:rPr>
          <w:rFonts w:ascii="TimesNewRomanPSMT" w:hAnsi="TimesNewRomanPSMT" w:cs="TimesNewRomanPSMT"/>
          <w:sz w:val="24"/>
          <w:szCs w:val="24"/>
        </w:rPr>
        <w:t>dnem, v němž bylo doručeno osobě na příjemcově adrese určené k přebírání listovních zásilek; nebo</w:t>
      </w:r>
    </w:p>
    <w:p w:rsidR="001B6207" w:rsidRPr="006B0140" w:rsidRDefault="001B6207" w:rsidP="001B6207">
      <w:pPr>
        <w:pStyle w:val="Odstavecseseznamem"/>
        <w:numPr>
          <w:ilvl w:val="0"/>
          <w:numId w:val="4"/>
        </w:numPr>
        <w:tabs>
          <w:tab w:val="left" w:pos="0"/>
          <w:tab w:val="left" w:pos="1641"/>
          <w:tab w:val="left" w:pos="1701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8564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6B0140">
        <w:rPr>
          <w:rFonts w:ascii="TimesNewRomanPSMT" w:hAnsi="TimesNewRomanPSMT" w:cs="TimesNewRomanPSMT"/>
          <w:sz w:val="24"/>
          <w:szCs w:val="24"/>
        </w:rPr>
        <w:t>dnem, kdy bylo doručováno osobě na příjemcově adrese určené k přebírání listovních zásilek, a tato osoba odmítla listovní zásilku převzít; nebo</w:t>
      </w:r>
    </w:p>
    <w:p w:rsidR="001B6207" w:rsidRDefault="001B6207" w:rsidP="001B6207">
      <w:pPr>
        <w:pStyle w:val="Odstavecseseznamem"/>
        <w:numPr>
          <w:ilvl w:val="0"/>
          <w:numId w:val="4"/>
        </w:numPr>
        <w:tabs>
          <w:tab w:val="left" w:pos="1701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8564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6B0140">
        <w:rPr>
          <w:rFonts w:ascii="TimesNewRomanPSMT" w:hAnsi="TimesNewRomanPSMT" w:cs="TimesNewRomanPSMT"/>
          <w:sz w:val="24"/>
          <w:szCs w:val="24"/>
        </w:rPr>
        <w:t>dnem, kdy příjemce při prvním pokusu o doručení zásilku z jakýchkoli důvodů nepřevzal či odmítl zásilku převzít, a to i přesto, že se v místě doručení nezdržuje, pokud byla na zásilce uvedena adresa pro dor</w:t>
      </w:r>
      <w:r w:rsidR="002C6191">
        <w:rPr>
          <w:rFonts w:ascii="TimesNewRomanPSMT" w:hAnsi="TimesNewRomanPSMT" w:cs="TimesNewRomanPSMT"/>
          <w:sz w:val="24"/>
          <w:szCs w:val="24"/>
        </w:rPr>
        <w:t>učování dle bodu III</w:t>
      </w:r>
      <w:r>
        <w:rPr>
          <w:rFonts w:ascii="TimesNewRomanPSMT" w:hAnsi="TimesNewRomanPSMT" w:cs="TimesNewRomanPSMT"/>
          <w:sz w:val="24"/>
          <w:szCs w:val="24"/>
        </w:rPr>
        <w:t>.3., pís</w:t>
      </w:r>
      <w:r w:rsidR="00964FAE">
        <w:rPr>
          <w:rFonts w:ascii="TimesNewRomanPSMT" w:hAnsi="TimesNewRomanPSMT" w:cs="TimesNewRomanPSMT"/>
          <w:sz w:val="24"/>
          <w:szCs w:val="24"/>
        </w:rPr>
        <w:t>m</w:t>
      </w:r>
      <w:r>
        <w:rPr>
          <w:rFonts w:ascii="TimesNewRomanPSMT" w:hAnsi="TimesNewRomanPSMT" w:cs="TimesNewRomanPSMT"/>
          <w:sz w:val="24"/>
          <w:szCs w:val="24"/>
        </w:rPr>
        <w:t>. a)</w:t>
      </w:r>
      <w:r w:rsidR="00964FAE">
        <w:rPr>
          <w:rFonts w:ascii="TimesNewRomanPSMT" w:hAnsi="TimesNewRomanPSMT" w:cs="TimesNewRomanPSMT"/>
          <w:sz w:val="24"/>
          <w:szCs w:val="24"/>
        </w:rPr>
        <w:t xml:space="preserve"> nebo</w:t>
      </w:r>
      <w:r w:rsidR="00B95A69">
        <w:rPr>
          <w:rFonts w:ascii="TimesNewRomanPSMT" w:hAnsi="TimesNewRomanPSMT" w:cs="TimesNewRomanPSMT"/>
          <w:sz w:val="24"/>
          <w:szCs w:val="24"/>
        </w:rPr>
        <w:t xml:space="preserve"> b)</w:t>
      </w:r>
      <w:r w:rsidRPr="006B0140">
        <w:rPr>
          <w:rFonts w:ascii="TimesNewRomanPSMT" w:hAnsi="TimesNewRomanPSMT" w:cs="TimesNewRomanPSMT"/>
          <w:sz w:val="24"/>
          <w:szCs w:val="24"/>
        </w:rPr>
        <w:t xml:space="preserve"> této </w:t>
      </w:r>
      <w:r w:rsidR="00964FAE">
        <w:rPr>
          <w:rFonts w:ascii="TimesNewRomanPSMT" w:hAnsi="TimesNewRomanPSMT" w:cs="TimesNewRomanPSMT"/>
          <w:sz w:val="24"/>
          <w:szCs w:val="24"/>
        </w:rPr>
        <w:t>dohody</w:t>
      </w:r>
      <w:r w:rsidRPr="006B0140">
        <w:rPr>
          <w:rFonts w:ascii="TimesNewRomanPSMT" w:hAnsi="TimesNewRomanPSMT" w:cs="TimesNewRomanPSMT"/>
          <w:sz w:val="24"/>
          <w:szCs w:val="24"/>
        </w:rPr>
        <w:t>.</w:t>
      </w:r>
    </w:p>
    <w:p w:rsidR="00964FAE" w:rsidRPr="00351293" w:rsidRDefault="00964FAE" w:rsidP="00964FAE">
      <w:pPr>
        <w:pStyle w:val="Odstavecseseznamem"/>
        <w:tabs>
          <w:tab w:val="left" w:pos="1701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8564"/>
        </w:tabs>
        <w:autoSpaceDE w:val="0"/>
        <w:autoSpaceDN w:val="0"/>
        <w:adjustRightInd w:val="0"/>
        <w:ind w:left="1080"/>
        <w:jc w:val="both"/>
        <w:rPr>
          <w:rFonts w:ascii="TimesNewRomanPSMT" w:hAnsi="TimesNewRomanPSMT" w:cs="TimesNewRomanPSMT"/>
          <w:sz w:val="24"/>
          <w:szCs w:val="24"/>
        </w:rPr>
      </w:pPr>
    </w:p>
    <w:p w:rsidR="001B6207" w:rsidRPr="006B0140" w:rsidRDefault="001B6207" w:rsidP="001B6207">
      <w:pPr>
        <w:pStyle w:val="Odstavecseseznamem"/>
        <w:numPr>
          <w:ilvl w:val="0"/>
          <w:numId w:val="3"/>
        </w:numPr>
        <w:tabs>
          <w:tab w:val="left" w:pos="0"/>
          <w:tab w:val="left" w:pos="1075"/>
          <w:tab w:val="left" w:pos="1418"/>
          <w:tab w:val="left" w:pos="226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8564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u w:val="single"/>
        </w:rPr>
      </w:pPr>
      <w:r w:rsidRPr="006B0140">
        <w:rPr>
          <w:rFonts w:ascii="TimesNewRomanPSMT" w:hAnsi="TimesNewRomanPSMT" w:cs="TimesNewRomanPSMT"/>
          <w:sz w:val="24"/>
          <w:szCs w:val="24"/>
          <w:u w:val="single"/>
        </w:rPr>
        <w:t>při doručování prostřednictvím poskytovatele poštovních služeb:</w:t>
      </w:r>
    </w:p>
    <w:p w:rsidR="002C6191" w:rsidRPr="00C01358" w:rsidRDefault="001B6207" w:rsidP="00351293">
      <w:pPr>
        <w:pStyle w:val="Odstavecseseznamem"/>
        <w:numPr>
          <w:ilvl w:val="0"/>
          <w:numId w:val="4"/>
        </w:numPr>
        <w:tabs>
          <w:tab w:val="left" w:pos="0"/>
          <w:tab w:val="left" w:pos="1075"/>
          <w:tab w:val="left" w:pos="1418"/>
          <w:tab w:val="left" w:pos="226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8564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u w:val="single"/>
        </w:rPr>
      </w:pPr>
      <w:r w:rsidRPr="006B0140">
        <w:rPr>
          <w:rFonts w:ascii="TimesNewRomanPSMT" w:hAnsi="TimesNewRomanPSMT" w:cs="TimesNewRomanPSMT"/>
          <w:sz w:val="24"/>
          <w:szCs w:val="24"/>
        </w:rPr>
        <w:t>dnem předání listovní zásilky příjemci; nebo</w:t>
      </w:r>
      <w:r w:rsidR="008C5E9B">
        <w:rPr>
          <w:rFonts w:ascii="TimesNewRomanPSMT" w:hAnsi="TimesNewRomanPSMT" w:cs="TimesNewRomanPSMT"/>
          <w:sz w:val="24"/>
          <w:szCs w:val="24"/>
        </w:rPr>
        <w:t xml:space="preserve"> </w:t>
      </w:r>
      <w:r w:rsidRPr="006B0140">
        <w:rPr>
          <w:rFonts w:ascii="TimesNewRomanPSMT" w:hAnsi="TimesNewRomanPSMT" w:cs="TimesNewRomanPSMT"/>
          <w:sz w:val="24"/>
          <w:szCs w:val="24"/>
        </w:rPr>
        <w:t xml:space="preserve">dnem, kdy příjemce při prvním pokusu o doručení zásilku z jakýchkoli důvodů nepřevzal či odmítl zásilku převzít, </w:t>
      </w:r>
      <w:r w:rsidR="00964FAE">
        <w:rPr>
          <w:rFonts w:ascii="TimesNewRomanPSMT" w:hAnsi="TimesNewRomanPSMT" w:cs="TimesNewRomanPSMT"/>
          <w:sz w:val="24"/>
          <w:szCs w:val="24"/>
        </w:rPr>
        <w:br/>
      </w:r>
      <w:r w:rsidRPr="006B0140">
        <w:rPr>
          <w:rFonts w:ascii="TimesNewRomanPSMT" w:hAnsi="TimesNewRomanPSMT" w:cs="TimesNewRomanPSMT"/>
          <w:sz w:val="24"/>
          <w:szCs w:val="24"/>
        </w:rPr>
        <w:t>a to i přesto, že se v místě doručení nezdržuje, pokud byla na zásilce uvede</w:t>
      </w:r>
      <w:r>
        <w:rPr>
          <w:rFonts w:ascii="TimesNewRomanPSMT" w:hAnsi="TimesNewRomanPSMT" w:cs="TimesNewRomanPSMT"/>
          <w:sz w:val="24"/>
          <w:szCs w:val="24"/>
        </w:rPr>
        <w:t xml:space="preserve">na </w:t>
      </w:r>
      <w:r w:rsidR="002C6191">
        <w:rPr>
          <w:rFonts w:ascii="TimesNewRomanPSMT" w:hAnsi="TimesNewRomanPSMT" w:cs="TimesNewRomanPSMT"/>
          <w:sz w:val="24"/>
          <w:szCs w:val="24"/>
        </w:rPr>
        <w:t>adresa pro doručování dle bodu III</w:t>
      </w:r>
      <w:r>
        <w:rPr>
          <w:rFonts w:ascii="TimesNewRomanPSMT" w:hAnsi="TimesNewRomanPSMT" w:cs="TimesNewRomanPSMT"/>
          <w:sz w:val="24"/>
          <w:szCs w:val="24"/>
        </w:rPr>
        <w:t>.3., pís</w:t>
      </w:r>
      <w:r w:rsidR="00964FAE">
        <w:rPr>
          <w:rFonts w:ascii="TimesNewRomanPSMT" w:hAnsi="TimesNewRomanPSMT" w:cs="TimesNewRomanPSMT"/>
          <w:sz w:val="24"/>
          <w:szCs w:val="24"/>
        </w:rPr>
        <w:t>m</w:t>
      </w:r>
      <w:r>
        <w:rPr>
          <w:rFonts w:ascii="TimesNewRomanPSMT" w:hAnsi="TimesNewRomanPSMT" w:cs="TimesNewRomanPSMT"/>
          <w:sz w:val="24"/>
          <w:szCs w:val="24"/>
        </w:rPr>
        <w:t>. a) nebo</w:t>
      </w:r>
      <w:r w:rsidR="00B95A69">
        <w:rPr>
          <w:rFonts w:ascii="TimesNewRomanPSMT" w:hAnsi="TimesNewRomanPSMT" w:cs="TimesNewRomanPSMT"/>
          <w:sz w:val="24"/>
          <w:szCs w:val="24"/>
        </w:rPr>
        <w:t xml:space="preserve"> </w:t>
      </w:r>
      <w:r w:rsidR="00964FAE">
        <w:rPr>
          <w:rFonts w:ascii="TimesNewRomanPSMT" w:hAnsi="TimesNewRomanPSMT" w:cs="TimesNewRomanPSMT"/>
          <w:sz w:val="24"/>
          <w:szCs w:val="24"/>
        </w:rPr>
        <w:t>b</w:t>
      </w:r>
      <w:r w:rsidRPr="006B0140">
        <w:rPr>
          <w:rFonts w:ascii="TimesNewRomanPSMT" w:hAnsi="TimesNewRomanPSMT" w:cs="TimesNewRomanPSMT"/>
          <w:sz w:val="24"/>
          <w:szCs w:val="24"/>
        </w:rPr>
        <w:t xml:space="preserve">) této </w:t>
      </w:r>
      <w:r w:rsidR="00964FAE">
        <w:rPr>
          <w:rFonts w:ascii="TimesNewRomanPSMT" w:hAnsi="TimesNewRomanPSMT" w:cs="TimesNewRomanPSMT"/>
          <w:sz w:val="24"/>
          <w:szCs w:val="24"/>
        </w:rPr>
        <w:t>dohod</w:t>
      </w:r>
      <w:r w:rsidRPr="006B0140">
        <w:rPr>
          <w:rFonts w:ascii="TimesNewRomanPSMT" w:hAnsi="TimesNewRomanPSMT" w:cs="TimesNewRomanPSMT"/>
          <w:sz w:val="24"/>
          <w:szCs w:val="24"/>
        </w:rPr>
        <w:t>y.</w:t>
      </w:r>
    </w:p>
    <w:p w:rsidR="00C01358" w:rsidRPr="00351293" w:rsidRDefault="00C01358" w:rsidP="00C01358">
      <w:pPr>
        <w:pStyle w:val="Odstavecseseznamem"/>
        <w:tabs>
          <w:tab w:val="left" w:pos="0"/>
          <w:tab w:val="left" w:pos="1075"/>
          <w:tab w:val="left" w:pos="1418"/>
          <w:tab w:val="left" w:pos="226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8564"/>
        </w:tabs>
        <w:autoSpaceDE w:val="0"/>
        <w:autoSpaceDN w:val="0"/>
        <w:adjustRightInd w:val="0"/>
        <w:ind w:left="1080"/>
        <w:jc w:val="both"/>
        <w:rPr>
          <w:rFonts w:ascii="TimesNewRomanPSMT" w:hAnsi="TimesNewRomanPSMT" w:cs="TimesNewRomanPSMT"/>
          <w:sz w:val="24"/>
          <w:szCs w:val="24"/>
          <w:u w:val="single"/>
        </w:rPr>
      </w:pPr>
    </w:p>
    <w:p w:rsidR="001B6207" w:rsidRPr="009516FF" w:rsidRDefault="001B6207" w:rsidP="001B6207">
      <w:pPr>
        <w:pStyle w:val="Odstavecseseznamem"/>
        <w:numPr>
          <w:ilvl w:val="0"/>
          <w:numId w:val="3"/>
        </w:numPr>
        <w:tabs>
          <w:tab w:val="left" w:pos="0"/>
          <w:tab w:val="left" w:pos="1075"/>
          <w:tab w:val="left" w:pos="1418"/>
          <w:tab w:val="left" w:pos="226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8564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u w:val="single"/>
        </w:rPr>
      </w:pPr>
      <w:r w:rsidRPr="009516FF">
        <w:rPr>
          <w:rFonts w:ascii="TimesNewRomanPSMT" w:hAnsi="TimesNewRomanPSMT" w:cs="TimesNewRomanPSMT"/>
          <w:sz w:val="24"/>
          <w:szCs w:val="24"/>
          <w:u w:val="single"/>
        </w:rPr>
        <w:t>při doručování poštovní zprávou prostřednictvím datové schránky:</w:t>
      </w:r>
    </w:p>
    <w:p w:rsidR="00E26371" w:rsidRPr="00964FAE" w:rsidRDefault="001B6207" w:rsidP="00964FAE">
      <w:pPr>
        <w:pStyle w:val="Odstavecseseznamem"/>
        <w:tabs>
          <w:tab w:val="left" w:pos="0"/>
          <w:tab w:val="left" w:pos="1075"/>
          <w:tab w:val="left" w:pos="1418"/>
          <w:tab w:val="left" w:pos="226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8564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9516FF">
        <w:rPr>
          <w:rFonts w:ascii="TimesNewRomanPSMT" w:hAnsi="TimesNewRomanPSMT" w:cs="TimesNewRomanPSMT"/>
          <w:sz w:val="24"/>
          <w:szCs w:val="24"/>
        </w:rPr>
        <w:t>-</w:t>
      </w:r>
      <w:r w:rsidRPr="009516FF">
        <w:rPr>
          <w:rFonts w:ascii="TimesNewRomanPSMT" w:hAnsi="TimesNewRomanPSMT" w:cs="TimesNewRomanPSMT"/>
          <w:sz w:val="24"/>
          <w:szCs w:val="24"/>
        </w:rPr>
        <w:tab/>
        <w:t xml:space="preserve">10. kalendářním dnem následujícím po dni, ve kterém byla poštovní zpráva doručena </w:t>
      </w:r>
      <w:r w:rsidRPr="00E26371">
        <w:rPr>
          <w:rFonts w:ascii="TimesNewRomanPSMT" w:hAnsi="TimesNewRomanPSMT" w:cs="TimesNewRomanPSMT"/>
          <w:sz w:val="24"/>
          <w:szCs w:val="24"/>
        </w:rPr>
        <w:t xml:space="preserve">do datové schránky příjemce. </w:t>
      </w:r>
    </w:p>
    <w:p w:rsidR="00E26371" w:rsidRPr="00E26371" w:rsidRDefault="00E26371" w:rsidP="00E26371">
      <w:pPr>
        <w:pStyle w:val="Odstavecseseznamem"/>
        <w:tabs>
          <w:tab w:val="left" w:pos="0"/>
          <w:tab w:val="left" w:pos="1075"/>
          <w:tab w:val="left" w:pos="1418"/>
          <w:tab w:val="left" w:pos="226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8564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1B6207" w:rsidRDefault="001D3B52" w:rsidP="00351293">
      <w:pPr>
        <w:tabs>
          <w:tab w:val="left" w:pos="20"/>
          <w:tab w:val="left" w:pos="417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  <w:bCs/>
        </w:rPr>
        <w:t>III</w:t>
      </w:r>
      <w:r w:rsidR="001B6207">
        <w:rPr>
          <w:rFonts w:ascii="TimesNewRomanPSMT" w:hAnsi="TimesNewRomanPSMT" w:cs="TimesNewRomanPSMT"/>
          <w:b/>
          <w:bCs/>
        </w:rPr>
        <w:t xml:space="preserve">.3.   </w:t>
      </w:r>
      <w:r w:rsidR="001B6207">
        <w:rPr>
          <w:rFonts w:ascii="TimesNewRomanPSMT" w:hAnsi="TimesNewRomanPSMT" w:cs="TimesNewRomanPSMT"/>
        </w:rPr>
        <w:t xml:space="preserve">Ke dni podpisu této </w:t>
      </w:r>
      <w:r w:rsidR="00964FAE">
        <w:rPr>
          <w:rFonts w:ascii="TimesNewRomanPSMT" w:hAnsi="TimesNewRomanPSMT" w:cs="TimesNewRomanPSMT"/>
        </w:rPr>
        <w:t>dohod</w:t>
      </w:r>
      <w:r w:rsidR="001B6207">
        <w:rPr>
          <w:rFonts w:ascii="TimesNewRomanPSMT" w:hAnsi="TimesNewRomanPSMT" w:cs="TimesNewRomanPSMT"/>
        </w:rPr>
        <w:t>y je:</w:t>
      </w:r>
    </w:p>
    <w:p w:rsidR="00E26371" w:rsidRDefault="00E26371" w:rsidP="00351293">
      <w:pPr>
        <w:tabs>
          <w:tab w:val="left" w:pos="20"/>
          <w:tab w:val="left" w:pos="417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1B6207" w:rsidRPr="009379F8" w:rsidRDefault="001B6207" w:rsidP="009379F8">
      <w:pPr>
        <w:pStyle w:val="Odstavecseseznamem"/>
        <w:numPr>
          <w:ilvl w:val="0"/>
          <w:numId w:val="22"/>
        </w:numPr>
        <w:tabs>
          <w:tab w:val="left" w:pos="1418"/>
          <w:tab w:val="left" w:pos="18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379F8">
        <w:rPr>
          <w:rFonts w:ascii="Times New Roman" w:hAnsi="Times New Roman" w:cs="Times New Roman"/>
          <w:sz w:val="24"/>
          <w:szCs w:val="24"/>
        </w:rPr>
        <w:t>adresou pro do</w:t>
      </w:r>
      <w:r w:rsidR="001D3B52" w:rsidRPr="009379F8">
        <w:rPr>
          <w:rFonts w:ascii="Times New Roman" w:hAnsi="Times New Roman" w:cs="Times New Roman"/>
          <w:sz w:val="24"/>
          <w:szCs w:val="24"/>
        </w:rPr>
        <w:t>ručování Řádu</w:t>
      </w:r>
      <w:r w:rsidRPr="009379F8">
        <w:rPr>
          <w:rFonts w:ascii="Times New Roman" w:hAnsi="Times New Roman" w:cs="Times New Roman"/>
          <w:sz w:val="24"/>
          <w:szCs w:val="24"/>
        </w:rPr>
        <w:t>:</w:t>
      </w:r>
    </w:p>
    <w:p w:rsidR="001B6207" w:rsidRDefault="009379F8" w:rsidP="00412B67">
      <w:pPr>
        <w:tabs>
          <w:tab w:val="left" w:pos="0"/>
          <w:tab w:val="left" w:pos="709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8564"/>
        </w:tabs>
        <w:autoSpaceDE w:val="0"/>
        <w:autoSpaceDN w:val="0"/>
        <w:adjustRightInd w:val="0"/>
        <w:jc w:val="both"/>
      </w:pPr>
      <w:r w:rsidRPr="009379F8">
        <w:tab/>
      </w:r>
      <w:r w:rsidR="001B6207" w:rsidRPr="009379F8">
        <w:t>Platnéřská 191/4, Praha 1, Staré Město, PSČ 110 00</w:t>
      </w:r>
      <w:r w:rsidR="00E26371">
        <w:t>,</w:t>
      </w:r>
    </w:p>
    <w:p w:rsidR="00E26371" w:rsidRPr="009379F8" w:rsidRDefault="00E26371" w:rsidP="00412B67">
      <w:pPr>
        <w:tabs>
          <w:tab w:val="left" w:pos="0"/>
          <w:tab w:val="left" w:pos="709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8564"/>
        </w:tabs>
        <w:autoSpaceDE w:val="0"/>
        <w:autoSpaceDN w:val="0"/>
        <w:adjustRightInd w:val="0"/>
        <w:jc w:val="both"/>
      </w:pPr>
    </w:p>
    <w:p w:rsidR="001B6207" w:rsidRPr="009379F8" w:rsidRDefault="001D3B52" w:rsidP="009379F8">
      <w:pPr>
        <w:pStyle w:val="Odstavecseseznamem"/>
        <w:numPr>
          <w:ilvl w:val="0"/>
          <w:numId w:val="22"/>
        </w:numPr>
        <w:tabs>
          <w:tab w:val="left" w:pos="14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79F8">
        <w:rPr>
          <w:rFonts w:ascii="Times New Roman" w:hAnsi="Times New Roman" w:cs="Times New Roman"/>
          <w:sz w:val="24"/>
          <w:szCs w:val="24"/>
        </w:rPr>
        <w:t xml:space="preserve">adresou pro doručování </w:t>
      </w:r>
      <w:r w:rsidR="008F6C9E">
        <w:rPr>
          <w:rFonts w:ascii="Times New Roman" w:hAnsi="Times New Roman" w:cs="Times New Roman"/>
          <w:sz w:val="24"/>
          <w:szCs w:val="24"/>
        </w:rPr>
        <w:t>MZe</w:t>
      </w:r>
      <w:r w:rsidR="001B6207" w:rsidRPr="009379F8">
        <w:rPr>
          <w:rFonts w:ascii="Times New Roman" w:hAnsi="Times New Roman" w:cs="Times New Roman"/>
          <w:sz w:val="24"/>
          <w:szCs w:val="24"/>
        </w:rPr>
        <w:t>:</w:t>
      </w:r>
    </w:p>
    <w:p w:rsidR="009379F8" w:rsidRDefault="008F6C9E" w:rsidP="00964FAE">
      <w:pPr>
        <w:tabs>
          <w:tab w:val="left" w:pos="1440"/>
        </w:tabs>
        <w:autoSpaceDE w:val="0"/>
        <w:autoSpaceDN w:val="0"/>
        <w:adjustRightInd w:val="0"/>
        <w:ind w:left="720"/>
        <w:jc w:val="both"/>
      </w:pPr>
      <w:r>
        <w:t>Těšnov 65/17</w:t>
      </w:r>
      <w:r w:rsidR="00964FAE">
        <w:t xml:space="preserve">, </w:t>
      </w:r>
      <w:r>
        <w:t>Praha 1, Nové</w:t>
      </w:r>
      <w:r w:rsidR="008F636C" w:rsidRPr="008F636C">
        <w:t xml:space="preserve"> Město, PSČ 110 00</w:t>
      </w:r>
      <w:r w:rsidR="00964FAE">
        <w:t>.</w:t>
      </w:r>
    </w:p>
    <w:p w:rsidR="00E26371" w:rsidRPr="00351293" w:rsidRDefault="00E26371" w:rsidP="00351293">
      <w:pPr>
        <w:pStyle w:val="Odstavecseseznamem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7E6B" w:rsidRDefault="001D3B52" w:rsidP="00B6492E">
      <w:pPr>
        <w:tabs>
          <w:tab w:val="left" w:pos="20"/>
          <w:tab w:val="left" w:pos="417"/>
        </w:tabs>
        <w:autoSpaceDE w:val="0"/>
        <w:autoSpaceDN w:val="0"/>
        <w:adjustRightInd w:val="0"/>
        <w:spacing w:after="360"/>
        <w:contextualSpacing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I</w:t>
      </w:r>
      <w:r w:rsidR="00964FAE">
        <w:rPr>
          <w:rFonts w:ascii="TimesNewRomanPSMT" w:hAnsi="TimesNewRomanPSMT" w:cs="TimesNewRomanPSMT"/>
          <w:b/>
        </w:rPr>
        <w:t>I</w:t>
      </w:r>
      <w:r>
        <w:rPr>
          <w:rFonts w:ascii="TimesNewRomanPSMT" w:hAnsi="TimesNewRomanPSMT" w:cs="TimesNewRomanPSMT"/>
          <w:b/>
        </w:rPr>
        <w:t>I</w:t>
      </w:r>
      <w:r w:rsidR="001B6207" w:rsidRPr="00794A3D">
        <w:rPr>
          <w:rFonts w:ascii="TimesNewRomanPSMT" w:hAnsi="TimesNewRomanPSMT" w:cs="TimesNewRomanPSMT"/>
          <w:b/>
        </w:rPr>
        <w:t>.4.</w:t>
      </w:r>
      <w:r w:rsidR="001B6207">
        <w:rPr>
          <w:rFonts w:ascii="TimesNewRomanPSMT" w:hAnsi="TimesNewRomanPSMT" w:cs="TimesNewRomanPSMT"/>
        </w:rPr>
        <w:t xml:space="preserve">   Smluvní strany se dohodly, že v případě změny sídla a tím i adresy pro doručování, budou písemně informovat o této skutečnosti bez zbytečného odkladu druhou smluvní stranu </w:t>
      </w:r>
      <w:r w:rsidR="00964FAE">
        <w:rPr>
          <w:rFonts w:ascii="TimesNewRomanPSMT" w:hAnsi="TimesNewRomanPSMT" w:cs="TimesNewRomanPSMT"/>
        </w:rPr>
        <w:br/>
      </w:r>
      <w:r w:rsidR="008C5E9B">
        <w:rPr>
          <w:rFonts w:ascii="TimesNewRomanPSMT" w:hAnsi="TimesNewRomanPSMT" w:cs="TimesNewRomanPSMT"/>
        </w:rPr>
        <w:t>a současně předají</w:t>
      </w:r>
      <w:r w:rsidR="001B6207">
        <w:rPr>
          <w:rFonts w:ascii="TimesNewRomanPSMT" w:hAnsi="TimesNewRomanPSMT" w:cs="TimesNewRomanPSMT"/>
        </w:rPr>
        <w:t xml:space="preserve"> druhé smluvní straně novou adresu pro doručování na území České republiky. V případě nesplnění tohoto závazku se za řádnou adresu pro doručování považuje vždy adresa řádně dohodnutá smluvními stranami.</w:t>
      </w:r>
    </w:p>
    <w:p w:rsidR="00E26371" w:rsidRDefault="00E26371" w:rsidP="00B6492E">
      <w:pPr>
        <w:tabs>
          <w:tab w:val="left" w:pos="20"/>
          <w:tab w:val="left" w:pos="417"/>
        </w:tabs>
        <w:autoSpaceDE w:val="0"/>
        <w:autoSpaceDN w:val="0"/>
        <w:adjustRightInd w:val="0"/>
        <w:spacing w:after="360"/>
        <w:contextualSpacing/>
        <w:jc w:val="both"/>
        <w:rPr>
          <w:rFonts w:ascii="TimesNewRomanPSMT" w:hAnsi="TimesNewRomanPSMT" w:cs="TimesNewRomanPSMT"/>
        </w:rPr>
      </w:pPr>
    </w:p>
    <w:p w:rsidR="00E26371" w:rsidRPr="00A15CAA" w:rsidRDefault="00E26371" w:rsidP="00B6492E">
      <w:pPr>
        <w:tabs>
          <w:tab w:val="left" w:pos="20"/>
          <w:tab w:val="left" w:pos="417"/>
        </w:tabs>
        <w:autoSpaceDE w:val="0"/>
        <w:autoSpaceDN w:val="0"/>
        <w:adjustRightInd w:val="0"/>
        <w:spacing w:after="360"/>
        <w:contextualSpacing/>
        <w:jc w:val="both"/>
        <w:rPr>
          <w:rFonts w:ascii="TimesNewRomanPSMT" w:hAnsi="TimesNewRomanPSMT" w:cs="TimesNewRomanPSMT"/>
        </w:rPr>
      </w:pPr>
    </w:p>
    <w:p w:rsidR="00B6492E" w:rsidRPr="0047767F" w:rsidRDefault="00B6492E" w:rsidP="00B6492E">
      <w:pPr>
        <w:pStyle w:val="Zkladntext"/>
        <w:spacing w:before="120"/>
        <w:jc w:val="center"/>
        <w:rPr>
          <w:rFonts w:ascii="Times New Roman" w:hAnsi="Times New Roman"/>
          <w:b/>
          <w:i/>
          <w:sz w:val="24"/>
        </w:rPr>
      </w:pPr>
      <w:r w:rsidRPr="0047767F">
        <w:rPr>
          <w:rFonts w:ascii="Times New Roman" w:hAnsi="Times New Roman"/>
          <w:b/>
          <w:i/>
          <w:sz w:val="24"/>
        </w:rPr>
        <w:t xml:space="preserve">Článek </w:t>
      </w:r>
      <w:r w:rsidR="001D3B52" w:rsidRPr="0047767F">
        <w:rPr>
          <w:rFonts w:ascii="Times New Roman" w:hAnsi="Times New Roman"/>
          <w:b/>
          <w:i/>
          <w:sz w:val="24"/>
        </w:rPr>
        <w:t>IV</w:t>
      </w:r>
      <w:r w:rsidRPr="0047767F">
        <w:rPr>
          <w:rFonts w:ascii="Times New Roman" w:hAnsi="Times New Roman"/>
          <w:b/>
          <w:i/>
          <w:sz w:val="24"/>
        </w:rPr>
        <w:t>.</w:t>
      </w:r>
    </w:p>
    <w:p w:rsidR="00E44BE5" w:rsidRPr="00351293" w:rsidRDefault="00B6492E" w:rsidP="00351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 Bold" w:eastAsia="ヒラギノ角ゴ Pro W3" w:hAnsi="Times New Roman Bold"/>
          <w:b/>
        </w:rPr>
      </w:pPr>
      <w:r w:rsidRPr="0047767F">
        <w:rPr>
          <w:rFonts w:ascii="Times New Roman Bold" w:eastAsia="ヒラギノ角ゴ Pro W3" w:hAnsi="Times New Roman Bold"/>
          <w:b/>
        </w:rPr>
        <w:t>Závěrečná ustanovení</w:t>
      </w:r>
    </w:p>
    <w:p w:rsidR="00E44BE5" w:rsidRPr="00E44BE5" w:rsidRDefault="00B6492E" w:rsidP="001C7B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eastAsia="ヒラギノ角ゴ Pro W3"/>
        </w:rPr>
      </w:pPr>
      <w:r>
        <w:rPr>
          <w:rFonts w:ascii="Times New Roman Bold" w:eastAsia="ヒラギノ角ゴ Pro W3" w:hAnsi="Times New Roman Bold"/>
          <w:b/>
        </w:rPr>
        <w:t>I</w:t>
      </w:r>
      <w:r w:rsidR="001D3B52">
        <w:rPr>
          <w:rFonts w:ascii="Times New Roman Bold" w:eastAsia="ヒラギノ角ゴ Pro W3" w:hAnsi="Times New Roman Bold"/>
          <w:b/>
        </w:rPr>
        <w:t>V</w:t>
      </w:r>
      <w:r>
        <w:rPr>
          <w:rFonts w:ascii="Times New Roman Bold" w:eastAsia="ヒラギノ角ゴ Pro W3" w:hAnsi="Times New Roman Bold"/>
          <w:b/>
        </w:rPr>
        <w:t>.1.</w:t>
      </w:r>
      <w:r w:rsidR="004B56D6">
        <w:rPr>
          <w:rFonts w:eastAsia="ヒラギノ角ゴ Pro W3"/>
        </w:rPr>
        <w:t xml:space="preserve">  </w:t>
      </w:r>
      <w:r>
        <w:rPr>
          <w:rFonts w:eastAsia="ヒラギノ角ゴ Pro W3"/>
        </w:rPr>
        <w:t xml:space="preserve">Všechna dřívější ujednání, ať už písemná nebo ústní, mezi smluvními stranami, </w:t>
      </w:r>
      <w:r w:rsidR="00964FAE">
        <w:rPr>
          <w:rFonts w:eastAsia="ヒラギノ角ゴ Pro W3"/>
        </w:rPr>
        <w:br/>
      </w:r>
      <w:r>
        <w:rPr>
          <w:rFonts w:eastAsia="ヒラギノ角ゴ Pro W3"/>
        </w:rPr>
        <w:t>která</w:t>
      </w:r>
      <w:r w:rsidR="001D3B52">
        <w:rPr>
          <w:rFonts w:eastAsia="ヒラギノ角ゴ Pro W3"/>
        </w:rPr>
        <w:t xml:space="preserve"> se týkají předmětu této dohody</w:t>
      </w:r>
      <w:r>
        <w:rPr>
          <w:rFonts w:eastAsia="ヒラギノ角ゴ Pro W3"/>
        </w:rPr>
        <w:t xml:space="preserve"> a nejsou v ní obsažena, se stávají jejím podpisem ne</w:t>
      </w:r>
      <w:r w:rsidR="00964FAE">
        <w:rPr>
          <w:rFonts w:eastAsia="ヒラギノ角ゴ Pro W3"/>
        </w:rPr>
        <w:t>účinnými</w:t>
      </w:r>
      <w:r>
        <w:rPr>
          <w:rFonts w:eastAsia="ヒラギノ角ゴ Pro W3"/>
        </w:rPr>
        <w:t>.</w:t>
      </w:r>
    </w:p>
    <w:p w:rsidR="00E44BE5" w:rsidRPr="001D3B52" w:rsidRDefault="00B6492E" w:rsidP="001C7B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eastAsia="ヒラギノ角ゴ Pro W3"/>
        </w:rPr>
      </w:pPr>
      <w:r>
        <w:rPr>
          <w:rFonts w:ascii="Times New Roman Bold" w:eastAsia="ヒラギノ角ゴ Pro W3" w:hAnsi="Times New Roman Bold"/>
          <w:b/>
        </w:rPr>
        <w:t>I</w:t>
      </w:r>
      <w:r w:rsidR="001D3B52">
        <w:rPr>
          <w:rFonts w:ascii="Times New Roman Bold" w:eastAsia="ヒラギノ角ゴ Pro W3" w:hAnsi="Times New Roman Bold"/>
          <w:b/>
        </w:rPr>
        <w:t>V</w:t>
      </w:r>
      <w:r>
        <w:rPr>
          <w:rFonts w:ascii="Times New Roman Bold" w:eastAsia="ヒラギノ角ゴ Pro W3" w:hAnsi="Times New Roman Bold"/>
          <w:b/>
        </w:rPr>
        <w:t>.2.</w:t>
      </w:r>
      <w:r>
        <w:rPr>
          <w:rFonts w:eastAsia="ヒラギノ角ゴ Pro W3"/>
        </w:rPr>
        <w:tab/>
        <w:t xml:space="preserve"> </w:t>
      </w:r>
      <w:r w:rsidR="001D3B52">
        <w:rPr>
          <w:rFonts w:eastAsia="ヒラギノ角ゴ Pro W3"/>
        </w:rPr>
        <w:t>V ostatních věcech touto dohod</w:t>
      </w:r>
      <w:r>
        <w:rPr>
          <w:rFonts w:eastAsia="ヒラギノ角ゴ Pro W3"/>
        </w:rPr>
        <w:t>ou neupravených se právní vztahy mezi smluvními stranami řídí příslušnými ustanoveními Občanského zákoníku, případně dalšími právními předpisy.</w:t>
      </w:r>
    </w:p>
    <w:p w:rsidR="00E44BE5" w:rsidRPr="00E44BE5" w:rsidRDefault="00B6492E" w:rsidP="001C7B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eastAsia="ヒラギノ角ゴ Pro W3"/>
        </w:rPr>
      </w:pPr>
      <w:r>
        <w:rPr>
          <w:rFonts w:ascii="Times New Roman Bold" w:eastAsia="ヒラギノ角ゴ Pro W3" w:hAnsi="Times New Roman Bold"/>
          <w:b/>
        </w:rPr>
        <w:t>I</w:t>
      </w:r>
      <w:r w:rsidR="001D3B52">
        <w:rPr>
          <w:rFonts w:ascii="Times New Roman Bold" w:eastAsia="ヒラギノ角ゴ Pro W3" w:hAnsi="Times New Roman Bold"/>
          <w:b/>
        </w:rPr>
        <w:t>V</w:t>
      </w:r>
      <w:r>
        <w:rPr>
          <w:rFonts w:ascii="Times New Roman Bold" w:eastAsia="ヒラギノ角ゴ Pro W3" w:hAnsi="Times New Roman Bold"/>
          <w:b/>
        </w:rPr>
        <w:t>.3.</w:t>
      </w:r>
      <w:r w:rsidR="001E2F15">
        <w:rPr>
          <w:rFonts w:eastAsia="ヒラギノ角ゴ Pro W3"/>
        </w:rPr>
        <w:t xml:space="preserve"> </w:t>
      </w:r>
      <w:r w:rsidR="001D3B52">
        <w:rPr>
          <w:rFonts w:eastAsia="ヒラギノ角ゴ Pro W3"/>
        </w:rPr>
        <w:t>Tato dohoda</w:t>
      </w:r>
      <w:r>
        <w:rPr>
          <w:rFonts w:eastAsia="ヒラギノ角ゴ Pro W3"/>
        </w:rPr>
        <w:t xml:space="preserve"> může být měněna pouze písemnými a očíslovanými dodatky, jinak jsou takové změny neplatné.</w:t>
      </w:r>
    </w:p>
    <w:p w:rsidR="00E44BE5" w:rsidRDefault="00B6492E" w:rsidP="001C7B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Times New Roman Bold" w:eastAsia="ヒラギノ角ゴ Pro W3" w:hAnsi="Times New Roman Bold"/>
        </w:rPr>
      </w:pPr>
      <w:r>
        <w:rPr>
          <w:rFonts w:ascii="Times New Roman Bold" w:eastAsia="ヒラギノ角ゴ Pro W3" w:hAnsi="Times New Roman Bold"/>
          <w:b/>
        </w:rPr>
        <w:t>I</w:t>
      </w:r>
      <w:r w:rsidR="001D3B52">
        <w:rPr>
          <w:rFonts w:ascii="Times New Roman Bold" w:eastAsia="ヒラギノ角ゴ Pro W3" w:hAnsi="Times New Roman Bold"/>
          <w:b/>
        </w:rPr>
        <w:t>V</w:t>
      </w:r>
      <w:r>
        <w:rPr>
          <w:rFonts w:ascii="Times New Roman Bold" w:eastAsia="ヒラギノ角ゴ Pro W3" w:hAnsi="Times New Roman Bold"/>
          <w:b/>
        </w:rPr>
        <w:t>.4.</w:t>
      </w:r>
      <w:r w:rsidR="001E2F15">
        <w:rPr>
          <w:rFonts w:ascii="Times New Roman Bold" w:eastAsia="ヒラギノ角ゴ Pro W3" w:hAnsi="Times New Roman Bold"/>
        </w:rPr>
        <w:t xml:space="preserve"> </w:t>
      </w:r>
      <w:r>
        <w:rPr>
          <w:rFonts w:ascii="Times New Roman Bold" w:eastAsia="ヒラギノ角ゴ Pro W3" w:hAnsi="Times New Roman Bold"/>
        </w:rPr>
        <w:t>Pokud by k</w:t>
      </w:r>
      <w:r w:rsidR="001D3B52">
        <w:rPr>
          <w:rFonts w:ascii="Times New Roman Bold" w:eastAsia="ヒラギノ角ゴ Pro W3" w:hAnsi="Times New Roman Bold"/>
        </w:rPr>
        <w:t>terékoliv ustanovení této dohod</w:t>
      </w:r>
      <w:r>
        <w:rPr>
          <w:rFonts w:ascii="Times New Roman Bold" w:eastAsia="ヒラギノ角ゴ Pro W3" w:hAnsi="Times New Roman Bold"/>
        </w:rPr>
        <w:t xml:space="preserve">y bylo shledáno neplatným </w:t>
      </w:r>
      <w:r w:rsidR="00964FAE">
        <w:rPr>
          <w:rFonts w:ascii="Times New Roman Bold" w:eastAsia="ヒラギノ角ゴ Pro W3" w:hAnsi="Times New Roman Bold"/>
        </w:rPr>
        <w:br/>
      </w:r>
      <w:r>
        <w:rPr>
          <w:rFonts w:ascii="Times New Roman Bold" w:eastAsia="ヒラギノ角ゴ Pro W3" w:hAnsi="Times New Roman Bold"/>
        </w:rPr>
        <w:t>či nevykonatelným,</w:t>
      </w:r>
      <w:r w:rsidR="001D3B52">
        <w:rPr>
          <w:rFonts w:ascii="Times New Roman Bold" w:eastAsia="ヒラギノ角ゴ Pro W3" w:hAnsi="Times New Roman Bold"/>
        </w:rPr>
        <w:t xml:space="preserve"> ostatní ustanovení</w:t>
      </w:r>
      <w:r>
        <w:rPr>
          <w:rFonts w:ascii="Times New Roman Bold" w:eastAsia="ヒラギノ角ゴ Pro W3" w:hAnsi="Times New Roman Bold"/>
        </w:rPr>
        <w:t xml:space="preserve"> tím zůstávají nedotčena. Smluvní strany se zavazují tato neplatná ustanovení nahradit bez zbytečného odkladu takovým ustanovením, které bude platné a nejbližší původnímu záměru smluvních stran.</w:t>
      </w:r>
    </w:p>
    <w:p w:rsidR="00C01358" w:rsidRPr="00C53727" w:rsidRDefault="001D3B52" w:rsidP="001C7B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eastAsia="ヒラギノ角ゴ Pro W3"/>
        </w:rPr>
      </w:pPr>
      <w:r>
        <w:rPr>
          <w:rFonts w:ascii="Times New Roman Bold" w:eastAsia="ヒラギノ角ゴ Pro W3" w:hAnsi="Times New Roman Bold"/>
          <w:b/>
        </w:rPr>
        <w:t>IV</w:t>
      </w:r>
      <w:r w:rsidR="00B6492E">
        <w:rPr>
          <w:rFonts w:ascii="Times New Roman Bold" w:eastAsia="ヒラギノ角ゴ Pro W3" w:hAnsi="Times New Roman Bold"/>
          <w:b/>
        </w:rPr>
        <w:t>.5</w:t>
      </w:r>
      <w:r w:rsidR="00B6492E">
        <w:rPr>
          <w:rFonts w:ascii="Times New Roman Bold" w:eastAsia="ヒラギノ角ゴ Pro W3" w:hAnsi="Times New Roman Bold"/>
        </w:rPr>
        <w:t>.</w:t>
      </w:r>
      <w:r>
        <w:rPr>
          <w:rFonts w:eastAsia="ヒラギノ角ゴ Pro W3"/>
        </w:rPr>
        <w:t xml:space="preserve">  Dohoda</w:t>
      </w:r>
      <w:r w:rsidR="00917E97">
        <w:rPr>
          <w:rFonts w:eastAsia="ヒラギノ角ゴ Pro W3"/>
        </w:rPr>
        <w:t xml:space="preserve"> je vyhotovena </w:t>
      </w:r>
      <w:r w:rsidR="001C7B60">
        <w:rPr>
          <w:rFonts w:eastAsia="ヒラギノ角ゴ Pro W3"/>
        </w:rPr>
        <w:t xml:space="preserve">v </w:t>
      </w:r>
      <w:r w:rsidR="004552F9">
        <w:rPr>
          <w:rFonts w:eastAsia="ヒラギノ角ゴ Pro W3"/>
        </w:rPr>
        <w:t>šesti</w:t>
      </w:r>
      <w:r w:rsidR="00917E97">
        <w:rPr>
          <w:rFonts w:eastAsia="ヒラギノ角ゴ Pro W3"/>
        </w:rPr>
        <w:t xml:space="preserve"> </w:t>
      </w:r>
      <w:r w:rsidR="00B6492E">
        <w:rPr>
          <w:rFonts w:eastAsia="ヒラギノ角ゴ Pro W3"/>
        </w:rPr>
        <w:t>stejnopisech, z nichž každý má p</w:t>
      </w:r>
      <w:r>
        <w:rPr>
          <w:rFonts w:eastAsia="ヒラギノ角ゴ Pro W3"/>
        </w:rPr>
        <w:t xml:space="preserve">rávní sílu originálu.  </w:t>
      </w:r>
      <w:r w:rsidR="00917E97">
        <w:rPr>
          <w:rFonts w:eastAsia="ヒラギノ角ゴ Pro W3"/>
        </w:rPr>
        <w:t>Každá strana obdrží</w:t>
      </w:r>
      <w:r w:rsidR="00AD3385">
        <w:rPr>
          <w:rFonts w:eastAsia="ヒラギノ角ゴ Pro W3"/>
        </w:rPr>
        <w:t xml:space="preserve"> </w:t>
      </w:r>
      <w:r w:rsidR="004B56D6">
        <w:rPr>
          <w:rFonts w:eastAsia="ヒラギノ角ゴ Pro W3"/>
        </w:rPr>
        <w:t>dva</w:t>
      </w:r>
      <w:r w:rsidR="000C262B">
        <w:rPr>
          <w:rFonts w:eastAsia="ヒラギノ角ゴ Pro W3"/>
        </w:rPr>
        <w:t xml:space="preserve"> </w:t>
      </w:r>
      <w:r w:rsidR="004B56D6">
        <w:rPr>
          <w:rFonts w:eastAsia="ヒラギノ角ゴ Pro W3"/>
        </w:rPr>
        <w:t>podepsané</w:t>
      </w:r>
      <w:r w:rsidR="00964FAE">
        <w:rPr>
          <w:rFonts w:eastAsia="ヒラギノ角ゴ Pro W3"/>
        </w:rPr>
        <w:t xml:space="preserve"> </w:t>
      </w:r>
      <w:r w:rsidR="000C262B">
        <w:rPr>
          <w:rFonts w:eastAsia="ヒラギノ角ゴ Pro W3"/>
        </w:rPr>
        <w:t>stejnopis</w:t>
      </w:r>
      <w:r w:rsidR="004B56D6">
        <w:rPr>
          <w:rFonts w:eastAsia="ヒラギノ角ゴ Pro W3"/>
        </w:rPr>
        <w:t>y</w:t>
      </w:r>
      <w:r w:rsidR="00964FAE">
        <w:rPr>
          <w:rFonts w:eastAsia="ヒラギノ角ゴ Pro W3"/>
        </w:rPr>
        <w:t>.</w:t>
      </w:r>
      <w:r w:rsidR="00A6419B">
        <w:rPr>
          <w:rFonts w:eastAsia="ヒラギノ角ゴ Pro W3"/>
        </w:rPr>
        <w:t xml:space="preserve"> </w:t>
      </w:r>
      <w:r w:rsidR="001E2F15">
        <w:rPr>
          <w:rFonts w:eastAsia="ヒラギノ角ゴ Pro W3"/>
        </w:rPr>
        <w:t>Dohoda</w:t>
      </w:r>
      <w:r w:rsidR="00B6492E">
        <w:rPr>
          <w:rFonts w:eastAsia="ヒラギノ角ゴ Pro W3"/>
        </w:rPr>
        <w:t xml:space="preserve"> nabývá platnosti a</w:t>
      </w:r>
      <w:r w:rsidR="001C7B60">
        <w:rPr>
          <w:rFonts w:eastAsia="ヒラギノ角ゴ Pro W3"/>
        </w:rPr>
        <w:t> </w:t>
      </w:r>
      <w:r w:rsidR="00B6492E">
        <w:rPr>
          <w:rFonts w:eastAsia="ヒラギノ角ゴ Pro W3"/>
        </w:rPr>
        <w:t xml:space="preserve">účinnosti </w:t>
      </w:r>
      <w:r w:rsidR="00645CD5">
        <w:rPr>
          <w:rFonts w:eastAsia="ヒラギノ角ゴ Pro W3"/>
        </w:rPr>
        <w:t>po podpisu</w:t>
      </w:r>
      <w:r w:rsidR="00B6492E">
        <w:rPr>
          <w:rFonts w:eastAsia="ヒラギノ角ゴ Pro W3"/>
        </w:rPr>
        <w:t xml:space="preserve"> </w:t>
      </w:r>
      <w:r w:rsidR="00B93117">
        <w:rPr>
          <w:rFonts w:eastAsia="ヒラギノ角ゴ Pro W3"/>
        </w:rPr>
        <w:t>všemi</w:t>
      </w:r>
      <w:r w:rsidR="00B6492E">
        <w:rPr>
          <w:rFonts w:eastAsia="ヒラギノ角ゴ Pro W3"/>
        </w:rPr>
        <w:t xml:space="preserve"> smluvn</w:t>
      </w:r>
      <w:r>
        <w:rPr>
          <w:rFonts w:eastAsia="ヒラギノ角ゴ Pro W3"/>
        </w:rPr>
        <w:t xml:space="preserve">ími </w:t>
      </w:r>
      <w:r w:rsidRPr="00645CD5">
        <w:rPr>
          <w:rFonts w:eastAsia="ヒラギノ角ゴ Pro W3"/>
        </w:rPr>
        <w:t>stranami</w:t>
      </w:r>
      <w:r w:rsidR="00645CD5" w:rsidRPr="00645CD5">
        <w:rPr>
          <w:rFonts w:eastAsia="ヒラギノ角ゴ Pro W3"/>
        </w:rPr>
        <w:t xml:space="preserve"> </w:t>
      </w:r>
      <w:r w:rsidR="00C53727" w:rsidRPr="00645CD5">
        <w:rPr>
          <w:rFonts w:eastAsia="ヒラギノ角ゴ Pro W3"/>
        </w:rPr>
        <w:t>uveřejněním v registru smluv</w:t>
      </w:r>
      <w:r w:rsidR="00645CD5" w:rsidRPr="00645CD5">
        <w:rPr>
          <w:rFonts w:eastAsia="ヒラギノ角ゴ Pro W3"/>
        </w:rPr>
        <w:t>.</w:t>
      </w:r>
    </w:p>
    <w:p w:rsidR="001B6207" w:rsidRDefault="00B6492E" w:rsidP="00B64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ヒラギノ角ゴ Pro W3"/>
        </w:rPr>
      </w:pPr>
      <w:r>
        <w:rPr>
          <w:rFonts w:ascii="Times New Roman Bold" w:eastAsia="ヒラギノ角ゴ Pro W3" w:hAnsi="Times New Roman Bold"/>
          <w:b/>
        </w:rPr>
        <w:t>I</w:t>
      </w:r>
      <w:r w:rsidR="0054149C">
        <w:rPr>
          <w:rFonts w:ascii="Times New Roman Bold" w:eastAsia="ヒラギノ角ゴ Pro W3" w:hAnsi="Times New Roman Bold"/>
          <w:b/>
        </w:rPr>
        <w:t>V.6</w:t>
      </w:r>
      <w:r>
        <w:rPr>
          <w:rFonts w:ascii="Times New Roman Bold" w:eastAsia="ヒラギノ角ゴ Pro W3" w:hAnsi="Times New Roman Bold"/>
          <w:b/>
        </w:rPr>
        <w:t>.</w:t>
      </w:r>
      <w:r w:rsidR="001E2F15">
        <w:rPr>
          <w:rFonts w:eastAsia="ヒラギノ角ゴ Pro W3"/>
        </w:rPr>
        <w:t xml:space="preserve"> </w:t>
      </w:r>
      <w:r>
        <w:rPr>
          <w:rFonts w:eastAsia="ヒラギノ角ゴ Pro W3"/>
        </w:rPr>
        <w:t>Smluvní strany pro</w:t>
      </w:r>
      <w:r w:rsidR="0028373B">
        <w:rPr>
          <w:rFonts w:eastAsia="ヒラギノ角ゴ Pro W3"/>
        </w:rPr>
        <w:t>hlašují, že si text této dohody</w:t>
      </w:r>
      <w:r w:rsidR="00B5332D">
        <w:rPr>
          <w:rFonts w:eastAsia="ヒラギノ角ゴ Pro W3"/>
        </w:rPr>
        <w:t xml:space="preserve"> před j</w:t>
      </w:r>
      <w:r w:rsidR="000747DA">
        <w:rPr>
          <w:rFonts w:eastAsia="ヒラギノ角ゴ Pro W3"/>
        </w:rPr>
        <w:t>e</w:t>
      </w:r>
      <w:r w:rsidR="001E2F15">
        <w:rPr>
          <w:rFonts w:eastAsia="ヒラギノ角ゴ Pro W3"/>
        </w:rPr>
        <w:t>jím</w:t>
      </w:r>
      <w:r w:rsidR="00B5332D">
        <w:rPr>
          <w:rFonts w:eastAsia="ヒラギノ角ゴ Pro W3"/>
        </w:rPr>
        <w:t xml:space="preserve"> podpisem přečetly</w:t>
      </w:r>
      <w:r>
        <w:rPr>
          <w:rFonts w:eastAsia="ヒラギノ角ゴ Pro W3"/>
        </w:rPr>
        <w:t>, že mu rozumí, nemají pro</w:t>
      </w:r>
      <w:r w:rsidR="00AD3385">
        <w:rPr>
          <w:rFonts w:eastAsia="ヒラギノ角ゴ Pro W3"/>
        </w:rPr>
        <w:t>ti ní námitky ani návrhy na jeho</w:t>
      </w:r>
      <w:r>
        <w:rPr>
          <w:rFonts w:eastAsia="ヒラギノ角ゴ Pro W3"/>
        </w:rPr>
        <w:t xml:space="preserve"> změnu nebo doplnění. Dále prohla</w:t>
      </w:r>
      <w:r w:rsidR="0028373B">
        <w:rPr>
          <w:rFonts w:eastAsia="ヒラギノ角ゴ Pro W3"/>
        </w:rPr>
        <w:t>šují, že ustanovení této dohody</w:t>
      </w:r>
      <w:r>
        <w:rPr>
          <w:rFonts w:eastAsia="ヒラギノ角ゴ Pro W3"/>
        </w:rPr>
        <w:t xml:space="preserve"> obsahují projev jejich vážné, svobodné a určité vůle. Také prohlašují, že při jejím uzavírání nebylo vůči druhé smluvní straně zneužito tísně, nezkušenosti, rozumové slabosti, rozrušení, lehkomyslnosti a majetkové hodnoty </w:t>
      </w:r>
      <w:r w:rsidR="0028373B">
        <w:rPr>
          <w:rFonts w:eastAsia="ヒラギノ角ゴ Pro W3"/>
        </w:rPr>
        <w:t>plnění z této dohody</w:t>
      </w:r>
      <w:r>
        <w:rPr>
          <w:rFonts w:eastAsia="ヒラギノ角ゴ Pro W3"/>
        </w:rPr>
        <w:t xml:space="preserve"> nejsou vzájemně v hrubém nepoměru.  Na důkaz toho připojují své podpisy. </w:t>
      </w:r>
    </w:p>
    <w:p w:rsidR="00E26371" w:rsidRDefault="00E26371" w:rsidP="00B64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ヒラギノ角ゴ Pro W3"/>
        </w:rPr>
      </w:pPr>
    </w:p>
    <w:p w:rsidR="00E26371" w:rsidRDefault="00E26371" w:rsidP="00B64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ヒラギノ角ゴ Pro W3"/>
        </w:rPr>
      </w:pPr>
    </w:p>
    <w:p w:rsidR="0024586F" w:rsidRPr="0024586F" w:rsidRDefault="0024586F" w:rsidP="008F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ヒラギノ角ゴ Pro W3"/>
          <w:i/>
        </w:rPr>
      </w:pPr>
      <w:r>
        <w:rPr>
          <w:rFonts w:eastAsia="ヒラギノ角ゴ Pro W3"/>
          <w:i/>
        </w:rPr>
        <w:t>přílohy:</w:t>
      </w:r>
      <w:r>
        <w:rPr>
          <w:rFonts w:eastAsia="ヒラギノ角ゴ Pro W3"/>
          <w:i/>
        </w:rPr>
        <w:tab/>
      </w:r>
    </w:p>
    <w:p w:rsidR="00855862" w:rsidRDefault="00855862" w:rsidP="00B64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ヒラギノ角ゴ Pro W3"/>
        </w:rPr>
      </w:pPr>
    </w:p>
    <w:p w:rsidR="00E26371" w:rsidRPr="001B6207" w:rsidRDefault="00E26371" w:rsidP="00B64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ヒラギノ角ゴ Pro W3"/>
        </w:rPr>
      </w:pPr>
    </w:p>
    <w:tbl>
      <w:tblPr>
        <w:tblW w:w="8832" w:type="dxa"/>
        <w:tblLook w:val="04A0" w:firstRow="1" w:lastRow="0" w:firstColumn="1" w:lastColumn="0" w:noHBand="0" w:noVBand="1"/>
      </w:tblPr>
      <w:tblGrid>
        <w:gridCol w:w="4416"/>
        <w:gridCol w:w="4416"/>
      </w:tblGrid>
      <w:tr w:rsidR="00B6492E" w:rsidTr="008F6C9E">
        <w:trPr>
          <w:trHeight w:val="17"/>
        </w:trPr>
        <w:tc>
          <w:tcPr>
            <w:tcW w:w="4416" w:type="dxa"/>
          </w:tcPr>
          <w:p w:rsidR="00B6492E" w:rsidRDefault="00B6492E">
            <w:pPr>
              <w:pStyle w:val="vnintext"/>
              <w:spacing w:line="276" w:lineRule="auto"/>
              <w:ind w:firstLine="0"/>
              <w:rPr>
                <w:szCs w:val="24"/>
                <w:lang w:eastAsia="en-US"/>
              </w:rPr>
            </w:pPr>
          </w:p>
          <w:p w:rsidR="00B6492E" w:rsidRDefault="00B6492E" w:rsidP="00D87BAB">
            <w:pPr>
              <w:pStyle w:val="vnintext"/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v </w:t>
            </w:r>
            <w:r w:rsidR="00D87BAB">
              <w:rPr>
                <w:szCs w:val="24"/>
                <w:lang w:eastAsia="en-US"/>
              </w:rPr>
              <w:t>Praze</w:t>
            </w:r>
            <w:r w:rsidR="00A40B18">
              <w:rPr>
                <w:szCs w:val="24"/>
                <w:lang w:eastAsia="en-US"/>
              </w:rPr>
              <w:t xml:space="preserve"> dne</w:t>
            </w:r>
            <w:r w:rsidR="00D87BAB">
              <w:rPr>
                <w:szCs w:val="24"/>
                <w:lang w:eastAsia="en-US"/>
              </w:rPr>
              <w:t xml:space="preserve"> 16.12.</w:t>
            </w:r>
            <w:r w:rsidR="00A40B18">
              <w:rPr>
                <w:szCs w:val="24"/>
                <w:lang w:eastAsia="en-US"/>
              </w:rPr>
              <w:t xml:space="preserve"> 2020</w:t>
            </w:r>
          </w:p>
        </w:tc>
        <w:tc>
          <w:tcPr>
            <w:tcW w:w="4416" w:type="dxa"/>
          </w:tcPr>
          <w:p w:rsidR="00B6492E" w:rsidRDefault="00B6492E">
            <w:pPr>
              <w:pStyle w:val="vnintext"/>
              <w:spacing w:line="276" w:lineRule="auto"/>
              <w:ind w:firstLine="0"/>
              <w:rPr>
                <w:szCs w:val="24"/>
                <w:lang w:eastAsia="en-US"/>
              </w:rPr>
            </w:pPr>
          </w:p>
          <w:p w:rsidR="00B6492E" w:rsidRDefault="00351293" w:rsidP="00D87BAB">
            <w:pPr>
              <w:pStyle w:val="vnintext"/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 w:rsidR="00B6492E">
              <w:rPr>
                <w:szCs w:val="24"/>
                <w:lang w:eastAsia="en-US"/>
              </w:rPr>
              <w:t xml:space="preserve"> v </w:t>
            </w:r>
            <w:r w:rsidR="00D87BAB">
              <w:rPr>
                <w:szCs w:val="24"/>
                <w:lang w:eastAsia="en-US"/>
              </w:rPr>
              <w:t>Praze</w:t>
            </w:r>
            <w:r w:rsidR="00B6492E">
              <w:rPr>
                <w:szCs w:val="24"/>
                <w:lang w:eastAsia="en-US"/>
              </w:rPr>
              <w:t xml:space="preserve"> dne</w:t>
            </w:r>
            <w:r w:rsidR="00D87BAB">
              <w:rPr>
                <w:szCs w:val="24"/>
                <w:lang w:eastAsia="en-US"/>
              </w:rPr>
              <w:t xml:space="preserve"> 16.12.</w:t>
            </w:r>
            <w:r w:rsidR="00A40B18">
              <w:rPr>
                <w:szCs w:val="24"/>
                <w:lang w:eastAsia="en-US"/>
              </w:rPr>
              <w:t>2020</w:t>
            </w:r>
          </w:p>
        </w:tc>
      </w:tr>
      <w:tr w:rsidR="00B6492E" w:rsidTr="008F6C9E">
        <w:trPr>
          <w:trHeight w:val="2"/>
        </w:trPr>
        <w:tc>
          <w:tcPr>
            <w:tcW w:w="4416" w:type="dxa"/>
          </w:tcPr>
          <w:p w:rsidR="00B6492E" w:rsidRDefault="00B6492E">
            <w:pPr>
              <w:pStyle w:val="vnintext"/>
              <w:spacing w:line="276" w:lineRule="auto"/>
              <w:ind w:firstLine="0"/>
              <w:rPr>
                <w:szCs w:val="24"/>
                <w:lang w:eastAsia="en-US"/>
              </w:rPr>
            </w:pPr>
          </w:p>
          <w:p w:rsidR="00D87BAB" w:rsidRDefault="00D87BAB">
            <w:pPr>
              <w:pStyle w:val="vnintext"/>
              <w:spacing w:line="276" w:lineRule="auto"/>
              <w:ind w:firstLine="0"/>
              <w:rPr>
                <w:szCs w:val="24"/>
                <w:lang w:eastAsia="en-US"/>
              </w:rPr>
            </w:pPr>
          </w:p>
          <w:p w:rsidR="00D87BAB" w:rsidRDefault="00D87BAB">
            <w:pPr>
              <w:pStyle w:val="vnintext"/>
              <w:spacing w:line="276" w:lineRule="auto"/>
              <w:ind w:firstLine="0"/>
              <w:rPr>
                <w:szCs w:val="24"/>
                <w:lang w:eastAsia="en-US"/>
              </w:rPr>
            </w:pPr>
          </w:p>
          <w:p w:rsidR="00D87BAB" w:rsidRDefault="00D87BAB">
            <w:pPr>
              <w:pStyle w:val="vnintext"/>
              <w:spacing w:line="276" w:lineRule="auto"/>
              <w:ind w:firstLine="0"/>
              <w:rPr>
                <w:szCs w:val="24"/>
                <w:lang w:eastAsia="en-US"/>
              </w:rPr>
            </w:pPr>
          </w:p>
          <w:p w:rsidR="00D87BAB" w:rsidRDefault="00D87BAB">
            <w:pPr>
              <w:pStyle w:val="vnintext"/>
              <w:spacing w:line="276" w:lineRule="auto"/>
              <w:ind w:firstLine="0"/>
              <w:rPr>
                <w:szCs w:val="24"/>
                <w:lang w:eastAsia="en-US"/>
              </w:rPr>
            </w:pPr>
          </w:p>
          <w:p w:rsidR="00D87BAB" w:rsidRDefault="00D87BAB">
            <w:pPr>
              <w:pStyle w:val="vnintext"/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4416" w:type="dxa"/>
          </w:tcPr>
          <w:p w:rsidR="00B6492E" w:rsidRDefault="00B6492E">
            <w:pPr>
              <w:pStyle w:val="vnintext"/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</w:p>
        </w:tc>
      </w:tr>
      <w:tr w:rsidR="00B6492E" w:rsidTr="008F6C9E">
        <w:trPr>
          <w:trHeight w:val="14"/>
        </w:trPr>
        <w:tc>
          <w:tcPr>
            <w:tcW w:w="4416" w:type="dxa"/>
            <w:hideMark/>
          </w:tcPr>
          <w:p w:rsidR="00B6492E" w:rsidRDefault="004552F9" w:rsidP="00AD3385">
            <w:pPr>
              <w:pStyle w:val="vnintext"/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Mgr</w:t>
            </w:r>
            <w:r w:rsidR="008F6C9E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 xml:space="preserve"> Jan Sixta</w:t>
            </w:r>
          </w:p>
          <w:p w:rsidR="00B6492E" w:rsidRDefault="004552F9" w:rsidP="00AD3385">
            <w:pPr>
              <w:pStyle w:val="vnintext"/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státní tajemník</w:t>
            </w:r>
          </w:p>
          <w:p w:rsidR="00B6492E" w:rsidRDefault="008A5999" w:rsidP="00A40B18">
            <w:pPr>
              <w:pStyle w:val="vnintext"/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(</w:t>
            </w:r>
            <w:r w:rsidR="008F6C9E">
              <w:rPr>
                <w:i/>
                <w:szCs w:val="24"/>
                <w:lang w:eastAsia="en-US"/>
              </w:rPr>
              <w:t>MZe</w:t>
            </w:r>
            <w:r w:rsidR="00451AA9">
              <w:rPr>
                <w:i/>
                <w:szCs w:val="24"/>
                <w:lang w:eastAsia="en-US"/>
              </w:rPr>
              <w:t>)</w:t>
            </w:r>
          </w:p>
        </w:tc>
        <w:tc>
          <w:tcPr>
            <w:tcW w:w="4416" w:type="dxa"/>
            <w:hideMark/>
          </w:tcPr>
          <w:p w:rsidR="00A40B18" w:rsidRDefault="00D87BAB">
            <w:pPr>
              <w:pStyle w:val="vnintext"/>
              <w:spacing w:line="276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xxxxxxxxxxxxxxxxxxxxxxxxxx</w:t>
            </w:r>
          </w:p>
          <w:p w:rsidR="00C01358" w:rsidRDefault="00A40B18">
            <w:pPr>
              <w:pStyle w:val="vnintext"/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velmistr</w:t>
            </w:r>
          </w:p>
          <w:p w:rsidR="00B6492E" w:rsidRDefault="00360844" w:rsidP="00451AA9">
            <w:pPr>
              <w:pStyle w:val="vnintext"/>
              <w:spacing w:line="276" w:lineRule="auto"/>
              <w:ind w:firstLine="0"/>
              <w:jc w:val="center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(</w:t>
            </w:r>
            <w:r w:rsidR="00A40B18">
              <w:rPr>
                <w:i/>
                <w:szCs w:val="24"/>
                <w:lang w:eastAsia="en-US"/>
              </w:rPr>
              <w:t>Řád</w:t>
            </w:r>
            <w:r w:rsidR="00647E6B" w:rsidRPr="00647E6B">
              <w:rPr>
                <w:i/>
                <w:szCs w:val="24"/>
                <w:lang w:eastAsia="en-US"/>
              </w:rPr>
              <w:t>)</w:t>
            </w:r>
          </w:p>
        </w:tc>
      </w:tr>
      <w:tr w:rsidR="00647E6B" w:rsidTr="008F6C9E">
        <w:trPr>
          <w:trHeight w:val="14"/>
        </w:trPr>
        <w:tc>
          <w:tcPr>
            <w:tcW w:w="4416" w:type="dxa"/>
          </w:tcPr>
          <w:p w:rsidR="00647E6B" w:rsidRDefault="00647E6B" w:rsidP="000119F2">
            <w:pPr>
              <w:pStyle w:val="vnintext"/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4416" w:type="dxa"/>
          </w:tcPr>
          <w:p w:rsidR="00647E6B" w:rsidRDefault="00647E6B" w:rsidP="00451AA9">
            <w:pPr>
              <w:pStyle w:val="vnintext"/>
              <w:tabs>
                <w:tab w:val="clear" w:pos="709"/>
                <w:tab w:val="left" w:pos="1464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964FAE" w:rsidTr="008F6C9E">
        <w:trPr>
          <w:trHeight w:val="14"/>
        </w:trPr>
        <w:tc>
          <w:tcPr>
            <w:tcW w:w="4416" w:type="dxa"/>
          </w:tcPr>
          <w:p w:rsidR="00964FAE" w:rsidRDefault="00964FAE" w:rsidP="00B7556A">
            <w:pPr>
              <w:pStyle w:val="vnintext"/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4416" w:type="dxa"/>
          </w:tcPr>
          <w:p w:rsidR="00964FAE" w:rsidRDefault="00964FAE" w:rsidP="00451AA9">
            <w:pPr>
              <w:pStyle w:val="vnintext"/>
              <w:tabs>
                <w:tab w:val="clear" w:pos="709"/>
                <w:tab w:val="left" w:pos="1464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964FAE" w:rsidTr="008F6C9E">
        <w:trPr>
          <w:trHeight w:val="34"/>
        </w:trPr>
        <w:tc>
          <w:tcPr>
            <w:tcW w:w="4416" w:type="dxa"/>
          </w:tcPr>
          <w:p w:rsidR="00964FAE" w:rsidRDefault="00964FAE" w:rsidP="00B7556A">
            <w:pPr>
              <w:pStyle w:val="vnintext"/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4416" w:type="dxa"/>
          </w:tcPr>
          <w:p w:rsidR="00964FAE" w:rsidRDefault="00964FAE" w:rsidP="00451AA9">
            <w:pPr>
              <w:pStyle w:val="vnintext"/>
              <w:tabs>
                <w:tab w:val="clear" w:pos="709"/>
                <w:tab w:val="left" w:pos="1464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A40B18" w:rsidTr="008F6C9E">
        <w:trPr>
          <w:trHeight w:val="288"/>
        </w:trPr>
        <w:tc>
          <w:tcPr>
            <w:tcW w:w="4416" w:type="dxa"/>
          </w:tcPr>
          <w:p w:rsidR="00A40B18" w:rsidRPr="00A40B18" w:rsidRDefault="00A40B18" w:rsidP="00FC1324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416" w:type="dxa"/>
          </w:tcPr>
          <w:p w:rsidR="00A40B18" w:rsidRPr="00451AA9" w:rsidRDefault="00A40B18" w:rsidP="00451AA9">
            <w:pPr>
              <w:pStyle w:val="vnintext"/>
              <w:tabs>
                <w:tab w:val="clear" w:pos="709"/>
                <w:tab w:val="left" w:pos="1464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</w:p>
        </w:tc>
      </w:tr>
    </w:tbl>
    <w:p w:rsidR="00E53B13" w:rsidRPr="00B6492E" w:rsidRDefault="00E53B13" w:rsidP="00F03F29"/>
    <w:sectPr w:rsidR="00E53B13" w:rsidRPr="00B6492E" w:rsidSect="001B6207">
      <w:headerReference w:type="default" r:id="rId8"/>
      <w:footerReference w:type="default" r:id="rId9"/>
      <w:pgSz w:w="11906" w:h="16838"/>
      <w:pgMar w:top="124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17A" w:rsidRDefault="002A717A" w:rsidP="001423D2">
      <w:r>
        <w:separator/>
      </w:r>
    </w:p>
  </w:endnote>
  <w:endnote w:type="continuationSeparator" w:id="0">
    <w:p w:rsidR="002A717A" w:rsidRDefault="002A717A" w:rsidP="0014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belItc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108613"/>
      <w:docPartObj>
        <w:docPartGallery w:val="Page Numbers (Bottom of Page)"/>
        <w:docPartUnique/>
      </w:docPartObj>
    </w:sdtPr>
    <w:sdtEndPr/>
    <w:sdtContent>
      <w:sdt>
        <w:sdtPr>
          <w:id w:val="-198399679"/>
          <w:docPartObj>
            <w:docPartGallery w:val="Page Numbers (Top of Page)"/>
            <w:docPartUnique/>
          </w:docPartObj>
        </w:sdtPr>
        <w:sdtEndPr/>
        <w:sdtContent>
          <w:p w:rsidR="000C5E9B" w:rsidRDefault="000C5E9B">
            <w:pPr>
              <w:pStyle w:val="Zpat"/>
              <w:jc w:val="center"/>
            </w:pPr>
            <w:r>
              <w:t xml:space="preserve">Stránka </w:t>
            </w:r>
            <w:r w:rsidR="0028458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8458F">
              <w:rPr>
                <w:b/>
                <w:bCs/>
              </w:rPr>
              <w:fldChar w:fldCharType="separate"/>
            </w:r>
            <w:r w:rsidR="00452865">
              <w:rPr>
                <w:b/>
                <w:bCs/>
                <w:noProof/>
              </w:rPr>
              <w:t>2</w:t>
            </w:r>
            <w:r w:rsidR="0028458F">
              <w:rPr>
                <w:b/>
                <w:bCs/>
              </w:rPr>
              <w:fldChar w:fldCharType="end"/>
            </w:r>
            <w:r>
              <w:t xml:space="preserve"> z </w:t>
            </w:r>
            <w:r w:rsidR="0028458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8458F">
              <w:rPr>
                <w:b/>
                <w:bCs/>
              </w:rPr>
              <w:fldChar w:fldCharType="separate"/>
            </w:r>
            <w:r w:rsidR="00452865">
              <w:rPr>
                <w:b/>
                <w:bCs/>
                <w:noProof/>
              </w:rPr>
              <w:t>5</w:t>
            </w:r>
            <w:r w:rsidR="0028458F">
              <w:rPr>
                <w:b/>
                <w:bCs/>
              </w:rPr>
              <w:fldChar w:fldCharType="end"/>
            </w:r>
          </w:p>
        </w:sdtContent>
      </w:sdt>
    </w:sdtContent>
  </w:sdt>
  <w:p w:rsidR="001423D2" w:rsidRDefault="001423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17A" w:rsidRDefault="002A717A" w:rsidP="001423D2">
      <w:r>
        <w:separator/>
      </w:r>
    </w:p>
  </w:footnote>
  <w:footnote w:type="continuationSeparator" w:id="0">
    <w:p w:rsidR="002A717A" w:rsidRDefault="002A717A" w:rsidP="00142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8"/>
        <w:szCs w:val="18"/>
      </w:rPr>
      <w:alias w:val="Název"/>
      <w:tag w:val=""/>
      <w:id w:val="1116400235"/>
      <w:placeholder>
        <w:docPart w:val="DA085530547D4B8F8F312CC0C238DC9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E26371" w:rsidRPr="00E26371" w:rsidRDefault="00EA76C7">
        <w:pPr>
          <w:pStyle w:val="Zhlav"/>
          <w:jc w:val="right"/>
          <w:rPr>
            <w:color w:val="7F7F7F" w:themeColor="text1" w:themeTint="80"/>
            <w:sz w:val="18"/>
            <w:szCs w:val="18"/>
          </w:rPr>
        </w:pPr>
        <w:r>
          <w:rPr>
            <w:color w:val="7F7F7F" w:themeColor="text1" w:themeTint="80"/>
            <w:sz w:val="18"/>
            <w:szCs w:val="18"/>
          </w:rPr>
          <w:t>KRI-2020/3252</w:t>
        </w:r>
      </w:p>
    </w:sdtContent>
  </w:sdt>
  <w:p w:rsidR="00E26371" w:rsidRPr="00E26371" w:rsidRDefault="00E26371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CA4"/>
    <w:multiLevelType w:val="hybridMultilevel"/>
    <w:tmpl w:val="B1744C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1F5D"/>
    <w:multiLevelType w:val="hybridMultilevel"/>
    <w:tmpl w:val="7FA67440"/>
    <w:lvl w:ilvl="0" w:tplc="F108451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61979"/>
    <w:multiLevelType w:val="hybridMultilevel"/>
    <w:tmpl w:val="D1680AA2"/>
    <w:lvl w:ilvl="0" w:tplc="183E55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134024"/>
    <w:multiLevelType w:val="hybridMultilevel"/>
    <w:tmpl w:val="3C2E3A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03C3E"/>
    <w:multiLevelType w:val="hybridMultilevel"/>
    <w:tmpl w:val="351E0F76"/>
    <w:lvl w:ilvl="0" w:tplc="6BC62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47CB3"/>
    <w:multiLevelType w:val="hybridMultilevel"/>
    <w:tmpl w:val="3C2E3A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529C2"/>
    <w:multiLevelType w:val="hybridMultilevel"/>
    <w:tmpl w:val="2B9C6208"/>
    <w:lvl w:ilvl="0" w:tplc="DD104624">
      <w:start w:val="1"/>
      <w:numFmt w:val="bullet"/>
      <w:lvlText w:val="-"/>
      <w:lvlJc w:val="left"/>
      <w:pPr>
        <w:ind w:left="1080" w:hanging="360"/>
      </w:pPr>
      <w:rPr>
        <w:rFonts w:ascii="TimesNewRomanPSMT" w:eastAsia="Calibr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626747"/>
    <w:multiLevelType w:val="hybridMultilevel"/>
    <w:tmpl w:val="25E62F0A"/>
    <w:lvl w:ilvl="0" w:tplc="D64E13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D5898"/>
    <w:multiLevelType w:val="hybridMultilevel"/>
    <w:tmpl w:val="3C2E3A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B7C0C"/>
    <w:multiLevelType w:val="hybridMultilevel"/>
    <w:tmpl w:val="7BECA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363E9"/>
    <w:multiLevelType w:val="hybridMultilevel"/>
    <w:tmpl w:val="B92C54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A522B"/>
    <w:multiLevelType w:val="hybridMultilevel"/>
    <w:tmpl w:val="157A4D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0C694F"/>
    <w:multiLevelType w:val="hybridMultilevel"/>
    <w:tmpl w:val="72D82990"/>
    <w:lvl w:ilvl="0" w:tplc="626E7E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D781A"/>
    <w:multiLevelType w:val="hybridMultilevel"/>
    <w:tmpl w:val="3C2E3A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9492C"/>
    <w:multiLevelType w:val="hybridMultilevel"/>
    <w:tmpl w:val="D75A4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3"/>
  </w:num>
  <w:num w:numId="12">
    <w:abstractNumId w:val="8"/>
  </w:num>
  <w:num w:numId="13">
    <w:abstractNumId w:val="2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4"/>
  </w:num>
  <w:num w:numId="21">
    <w:abstractNumId w:val="5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C3"/>
    <w:rsid w:val="000119F2"/>
    <w:rsid w:val="00013043"/>
    <w:rsid w:val="00017C55"/>
    <w:rsid w:val="0004480C"/>
    <w:rsid w:val="00047193"/>
    <w:rsid w:val="00071244"/>
    <w:rsid w:val="00072986"/>
    <w:rsid w:val="00072D88"/>
    <w:rsid w:val="000747DA"/>
    <w:rsid w:val="00074E11"/>
    <w:rsid w:val="00080579"/>
    <w:rsid w:val="000968FA"/>
    <w:rsid w:val="000B13B6"/>
    <w:rsid w:val="000B174D"/>
    <w:rsid w:val="000C262B"/>
    <w:rsid w:val="000C3238"/>
    <w:rsid w:val="000C5E9B"/>
    <w:rsid w:val="000D3220"/>
    <w:rsid w:val="000E1CF6"/>
    <w:rsid w:val="000E578F"/>
    <w:rsid w:val="000E5EEC"/>
    <w:rsid w:val="000F3FD2"/>
    <w:rsid w:val="000F656D"/>
    <w:rsid w:val="0010088C"/>
    <w:rsid w:val="001152FC"/>
    <w:rsid w:val="00116845"/>
    <w:rsid w:val="00117CFE"/>
    <w:rsid w:val="0014175D"/>
    <w:rsid w:val="001423D2"/>
    <w:rsid w:val="00142898"/>
    <w:rsid w:val="00143C8C"/>
    <w:rsid w:val="00146BC3"/>
    <w:rsid w:val="00167000"/>
    <w:rsid w:val="00170620"/>
    <w:rsid w:val="00174DEC"/>
    <w:rsid w:val="00181DB6"/>
    <w:rsid w:val="001822AE"/>
    <w:rsid w:val="001822F7"/>
    <w:rsid w:val="00182C1E"/>
    <w:rsid w:val="00185945"/>
    <w:rsid w:val="0019549E"/>
    <w:rsid w:val="001A4B4E"/>
    <w:rsid w:val="001B6207"/>
    <w:rsid w:val="001C0B57"/>
    <w:rsid w:val="001C61CF"/>
    <w:rsid w:val="001C7B60"/>
    <w:rsid w:val="001D3B52"/>
    <w:rsid w:val="001D6D4E"/>
    <w:rsid w:val="001D6F9B"/>
    <w:rsid w:val="001E2F15"/>
    <w:rsid w:val="001F20F8"/>
    <w:rsid w:val="001F2B77"/>
    <w:rsid w:val="00202310"/>
    <w:rsid w:val="0021151F"/>
    <w:rsid w:val="0022299E"/>
    <w:rsid w:val="0022492F"/>
    <w:rsid w:val="002263FB"/>
    <w:rsid w:val="002303FF"/>
    <w:rsid w:val="002414A0"/>
    <w:rsid w:val="00244F5D"/>
    <w:rsid w:val="0024586F"/>
    <w:rsid w:val="0025164C"/>
    <w:rsid w:val="00255A74"/>
    <w:rsid w:val="002628F7"/>
    <w:rsid w:val="00262EA8"/>
    <w:rsid w:val="00266205"/>
    <w:rsid w:val="00277D51"/>
    <w:rsid w:val="00280E81"/>
    <w:rsid w:val="00282178"/>
    <w:rsid w:val="00282EE6"/>
    <w:rsid w:val="0028373B"/>
    <w:rsid w:val="0028458F"/>
    <w:rsid w:val="00293FD2"/>
    <w:rsid w:val="00296F87"/>
    <w:rsid w:val="002A06ED"/>
    <w:rsid w:val="002A132D"/>
    <w:rsid w:val="002A717A"/>
    <w:rsid w:val="002B0DC6"/>
    <w:rsid w:val="002B7796"/>
    <w:rsid w:val="002C568D"/>
    <w:rsid w:val="002C6191"/>
    <w:rsid w:val="002E4E99"/>
    <w:rsid w:val="002F0600"/>
    <w:rsid w:val="00303FE7"/>
    <w:rsid w:val="00315A84"/>
    <w:rsid w:val="00327096"/>
    <w:rsid w:val="003453E2"/>
    <w:rsid w:val="0034617A"/>
    <w:rsid w:val="00350342"/>
    <w:rsid w:val="00351293"/>
    <w:rsid w:val="003514E2"/>
    <w:rsid w:val="00360844"/>
    <w:rsid w:val="00375C08"/>
    <w:rsid w:val="00380B9A"/>
    <w:rsid w:val="003830AF"/>
    <w:rsid w:val="0039236D"/>
    <w:rsid w:val="003971D3"/>
    <w:rsid w:val="003A4D4F"/>
    <w:rsid w:val="003B6B4F"/>
    <w:rsid w:val="003F1DB7"/>
    <w:rsid w:val="004012B2"/>
    <w:rsid w:val="00401F38"/>
    <w:rsid w:val="00406881"/>
    <w:rsid w:val="00412B67"/>
    <w:rsid w:val="00420ABE"/>
    <w:rsid w:val="00423A69"/>
    <w:rsid w:val="00423B46"/>
    <w:rsid w:val="00426B52"/>
    <w:rsid w:val="004320BB"/>
    <w:rsid w:val="00451AA9"/>
    <w:rsid w:val="00452865"/>
    <w:rsid w:val="004541EA"/>
    <w:rsid w:val="004552F9"/>
    <w:rsid w:val="004559FF"/>
    <w:rsid w:val="004730D8"/>
    <w:rsid w:val="00475AC9"/>
    <w:rsid w:val="00476696"/>
    <w:rsid w:val="0047767F"/>
    <w:rsid w:val="0048014A"/>
    <w:rsid w:val="004809E3"/>
    <w:rsid w:val="00483C3A"/>
    <w:rsid w:val="004A0573"/>
    <w:rsid w:val="004A2DB1"/>
    <w:rsid w:val="004A3ECF"/>
    <w:rsid w:val="004B56D6"/>
    <w:rsid w:val="004B7273"/>
    <w:rsid w:val="004B7A18"/>
    <w:rsid w:val="004C0A4E"/>
    <w:rsid w:val="004C1144"/>
    <w:rsid w:val="004C625C"/>
    <w:rsid w:val="004D6F4B"/>
    <w:rsid w:val="004E0E95"/>
    <w:rsid w:val="004F2893"/>
    <w:rsid w:val="00512920"/>
    <w:rsid w:val="005136C3"/>
    <w:rsid w:val="00522BDF"/>
    <w:rsid w:val="00532AF2"/>
    <w:rsid w:val="0053526F"/>
    <w:rsid w:val="0054149C"/>
    <w:rsid w:val="00542E94"/>
    <w:rsid w:val="00543A4D"/>
    <w:rsid w:val="00553035"/>
    <w:rsid w:val="00556D36"/>
    <w:rsid w:val="00567C51"/>
    <w:rsid w:val="00571A7F"/>
    <w:rsid w:val="0057240B"/>
    <w:rsid w:val="0057657E"/>
    <w:rsid w:val="005816EC"/>
    <w:rsid w:val="00591224"/>
    <w:rsid w:val="005A3B10"/>
    <w:rsid w:val="005C4278"/>
    <w:rsid w:val="005E3D5F"/>
    <w:rsid w:val="005F5AF2"/>
    <w:rsid w:val="005F6EA3"/>
    <w:rsid w:val="005F748D"/>
    <w:rsid w:val="00602A95"/>
    <w:rsid w:val="00603525"/>
    <w:rsid w:val="00611849"/>
    <w:rsid w:val="00614104"/>
    <w:rsid w:val="006165DB"/>
    <w:rsid w:val="00621A87"/>
    <w:rsid w:val="00622967"/>
    <w:rsid w:val="00624751"/>
    <w:rsid w:val="006427F3"/>
    <w:rsid w:val="00643775"/>
    <w:rsid w:val="00644552"/>
    <w:rsid w:val="006449E1"/>
    <w:rsid w:val="00645CD5"/>
    <w:rsid w:val="00647E6B"/>
    <w:rsid w:val="00655FAB"/>
    <w:rsid w:val="00664A37"/>
    <w:rsid w:val="006745E5"/>
    <w:rsid w:val="006A531D"/>
    <w:rsid w:val="006B2D4A"/>
    <w:rsid w:val="006C06C4"/>
    <w:rsid w:val="006E21DA"/>
    <w:rsid w:val="0070369D"/>
    <w:rsid w:val="00703CAC"/>
    <w:rsid w:val="00732162"/>
    <w:rsid w:val="00734C2A"/>
    <w:rsid w:val="00736298"/>
    <w:rsid w:val="00740FB7"/>
    <w:rsid w:val="00746335"/>
    <w:rsid w:val="00747010"/>
    <w:rsid w:val="00751EB1"/>
    <w:rsid w:val="007613D0"/>
    <w:rsid w:val="00761ACE"/>
    <w:rsid w:val="00762392"/>
    <w:rsid w:val="0076261F"/>
    <w:rsid w:val="00772FBD"/>
    <w:rsid w:val="00776558"/>
    <w:rsid w:val="00781E2D"/>
    <w:rsid w:val="00782784"/>
    <w:rsid w:val="0079195D"/>
    <w:rsid w:val="007973C6"/>
    <w:rsid w:val="007A001F"/>
    <w:rsid w:val="007A4C20"/>
    <w:rsid w:val="007C4B15"/>
    <w:rsid w:val="007C590E"/>
    <w:rsid w:val="007C6539"/>
    <w:rsid w:val="007D53E5"/>
    <w:rsid w:val="007D703C"/>
    <w:rsid w:val="007F1E13"/>
    <w:rsid w:val="00835A4A"/>
    <w:rsid w:val="008403AE"/>
    <w:rsid w:val="00843DD8"/>
    <w:rsid w:val="00843ECA"/>
    <w:rsid w:val="008475B2"/>
    <w:rsid w:val="00855862"/>
    <w:rsid w:val="00857E2F"/>
    <w:rsid w:val="00863431"/>
    <w:rsid w:val="0086594B"/>
    <w:rsid w:val="008678B4"/>
    <w:rsid w:val="00867E3C"/>
    <w:rsid w:val="00876C82"/>
    <w:rsid w:val="0089449C"/>
    <w:rsid w:val="008A5999"/>
    <w:rsid w:val="008C5E9B"/>
    <w:rsid w:val="008D56DD"/>
    <w:rsid w:val="008E01C5"/>
    <w:rsid w:val="008E0C73"/>
    <w:rsid w:val="008E1FE2"/>
    <w:rsid w:val="008F37AC"/>
    <w:rsid w:val="008F636C"/>
    <w:rsid w:val="008F6C9E"/>
    <w:rsid w:val="00903C5E"/>
    <w:rsid w:val="00906D61"/>
    <w:rsid w:val="00911344"/>
    <w:rsid w:val="00917E97"/>
    <w:rsid w:val="0092043E"/>
    <w:rsid w:val="00935904"/>
    <w:rsid w:val="0093685F"/>
    <w:rsid w:val="009379F8"/>
    <w:rsid w:val="00945F98"/>
    <w:rsid w:val="009516FF"/>
    <w:rsid w:val="00952E72"/>
    <w:rsid w:val="00964FAE"/>
    <w:rsid w:val="00984226"/>
    <w:rsid w:val="009962DA"/>
    <w:rsid w:val="009A0456"/>
    <w:rsid w:val="009A0C77"/>
    <w:rsid w:val="009A3830"/>
    <w:rsid w:val="009B7D43"/>
    <w:rsid w:val="009C5EF7"/>
    <w:rsid w:val="009D245F"/>
    <w:rsid w:val="009D3AB9"/>
    <w:rsid w:val="009E5424"/>
    <w:rsid w:val="009F4ABA"/>
    <w:rsid w:val="00A00216"/>
    <w:rsid w:val="00A15CAA"/>
    <w:rsid w:val="00A20DF8"/>
    <w:rsid w:val="00A21EBF"/>
    <w:rsid w:val="00A22A28"/>
    <w:rsid w:val="00A3003F"/>
    <w:rsid w:val="00A30736"/>
    <w:rsid w:val="00A34C20"/>
    <w:rsid w:val="00A40B18"/>
    <w:rsid w:val="00A41F68"/>
    <w:rsid w:val="00A43DE8"/>
    <w:rsid w:val="00A44F75"/>
    <w:rsid w:val="00A464C6"/>
    <w:rsid w:val="00A6419B"/>
    <w:rsid w:val="00A76CFB"/>
    <w:rsid w:val="00A83F4C"/>
    <w:rsid w:val="00A85313"/>
    <w:rsid w:val="00A96899"/>
    <w:rsid w:val="00AA08B1"/>
    <w:rsid w:val="00AB75DC"/>
    <w:rsid w:val="00AD15CD"/>
    <w:rsid w:val="00AD3385"/>
    <w:rsid w:val="00AD512C"/>
    <w:rsid w:val="00AD59AE"/>
    <w:rsid w:val="00AE3020"/>
    <w:rsid w:val="00AE362A"/>
    <w:rsid w:val="00AE54BE"/>
    <w:rsid w:val="00AF05DC"/>
    <w:rsid w:val="00AF1E65"/>
    <w:rsid w:val="00B03541"/>
    <w:rsid w:val="00B04168"/>
    <w:rsid w:val="00B0645C"/>
    <w:rsid w:val="00B31001"/>
    <w:rsid w:val="00B40844"/>
    <w:rsid w:val="00B4109C"/>
    <w:rsid w:val="00B42393"/>
    <w:rsid w:val="00B4250C"/>
    <w:rsid w:val="00B45A1A"/>
    <w:rsid w:val="00B50F95"/>
    <w:rsid w:val="00B5332D"/>
    <w:rsid w:val="00B6492E"/>
    <w:rsid w:val="00B727B3"/>
    <w:rsid w:val="00B73AE1"/>
    <w:rsid w:val="00B93117"/>
    <w:rsid w:val="00B95A69"/>
    <w:rsid w:val="00BA09CF"/>
    <w:rsid w:val="00BA4CC0"/>
    <w:rsid w:val="00BC61DE"/>
    <w:rsid w:val="00BC6507"/>
    <w:rsid w:val="00BD0454"/>
    <w:rsid w:val="00BE5356"/>
    <w:rsid w:val="00BE7BC9"/>
    <w:rsid w:val="00BF3136"/>
    <w:rsid w:val="00C003AC"/>
    <w:rsid w:val="00C01358"/>
    <w:rsid w:val="00C03294"/>
    <w:rsid w:val="00C04A71"/>
    <w:rsid w:val="00C22CA4"/>
    <w:rsid w:val="00C24A96"/>
    <w:rsid w:val="00C457E3"/>
    <w:rsid w:val="00C53727"/>
    <w:rsid w:val="00C55712"/>
    <w:rsid w:val="00C57528"/>
    <w:rsid w:val="00C70005"/>
    <w:rsid w:val="00C70E2F"/>
    <w:rsid w:val="00C7782F"/>
    <w:rsid w:val="00C84656"/>
    <w:rsid w:val="00C939BD"/>
    <w:rsid w:val="00C94CC4"/>
    <w:rsid w:val="00CA118C"/>
    <w:rsid w:val="00CB0CE8"/>
    <w:rsid w:val="00CE22AD"/>
    <w:rsid w:val="00CE65D4"/>
    <w:rsid w:val="00CE7738"/>
    <w:rsid w:val="00D0091C"/>
    <w:rsid w:val="00D05CA3"/>
    <w:rsid w:val="00D15496"/>
    <w:rsid w:val="00D32AFC"/>
    <w:rsid w:val="00D440CD"/>
    <w:rsid w:val="00D5412B"/>
    <w:rsid w:val="00D561CD"/>
    <w:rsid w:val="00D56591"/>
    <w:rsid w:val="00D6675A"/>
    <w:rsid w:val="00D74B79"/>
    <w:rsid w:val="00D75463"/>
    <w:rsid w:val="00D87BAB"/>
    <w:rsid w:val="00D96D94"/>
    <w:rsid w:val="00DA537B"/>
    <w:rsid w:val="00DB5E2D"/>
    <w:rsid w:val="00DB7697"/>
    <w:rsid w:val="00DC018F"/>
    <w:rsid w:val="00DC0353"/>
    <w:rsid w:val="00DD1BC4"/>
    <w:rsid w:val="00DD4082"/>
    <w:rsid w:val="00DD54E1"/>
    <w:rsid w:val="00DE0571"/>
    <w:rsid w:val="00DE1454"/>
    <w:rsid w:val="00DE48B9"/>
    <w:rsid w:val="00DE541A"/>
    <w:rsid w:val="00DE563C"/>
    <w:rsid w:val="00DE7D63"/>
    <w:rsid w:val="00DF3A68"/>
    <w:rsid w:val="00E0058F"/>
    <w:rsid w:val="00E1271B"/>
    <w:rsid w:val="00E215BB"/>
    <w:rsid w:val="00E255DB"/>
    <w:rsid w:val="00E26371"/>
    <w:rsid w:val="00E34BFF"/>
    <w:rsid w:val="00E4135A"/>
    <w:rsid w:val="00E44BE5"/>
    <w:rsid w:val="00E4616A"/>
    <w:rsid w:val="00E47264"/>
    <w:rsid w:val="00E4751F"/>
    <w:rsid w:val="00E50177"/>
    <w:rsid w:val="00E53B13"/>
    <w:rsid w:val="00E57A86"/>
    <w:rsid w:val="00E61648"/>
    <w:rsid w:val="00E65AB5"/>
    <w:rsid w:val="00E72236"/>
    <w:rsid w:val="00E724CF"/>
    <w:rsid w:val="00EA0895"/>
    <w:rsid w:val="00EA2099"/>
    <w:rsid w:val="00EA2FA9"/>
    <w:rsid w:val="00EA42BA"/>
    <w:rsid w:val="00EA76C7"/>
    <w:rsid w:val="00EB3277"/>
    <w:rsid w:val="00ED3787"/>
    <w:rsid w:val="00F02CE0"/>
    <w:rsid w:val="00F03F29"/>
    <w:rsid w:val="00F04CEF"/>
    <w:rsid w:val="00F05589"/>
    <w:rsid w:val="00F06E7E"/>
    <w:rsid w:val="00F13DD1"/>
    <w:rsid w:val="00F21480"/>
    <w:rsid w:val="00F22D8F"/>
    <w:rsid w:val="00F37BD0"/>
    <w:rsid w:val="00F432CC"/>
    <w:rsid w:val="00F46675"/>
    <w:rsid w:val="00F50EB0"/>
    <w:rsid w:val="00F600CE"/>
    <w:rsid w:val="00F60418"/>
    <w:rsid w:val="00F61E58"/>
    <w:rsid w:val="00F629CA"/>
    <w:rsid w:val="00F772DD"/>
    <w:rsid w:val="00F864C9"/>
    <w:rsid w:val="00FA5C84"/>
    <w:rsid w:val="00FB112C"/>
    <w:rsid w:val="00FB1FA5"/>
    <w:rsid w:val="00FC3B7B"/>
    <w:rsid w:val="00FC66F5"/>
    <w:rsid w:val="00FC6EC9"/>
    <w:rsid w:val="00FD1270"/>
    <w:rsid w:val="00FD782B"/>
    <w:rsid w:val="00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8CC3CA-615E-45B1-B718-1D9D4E76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136C3"/>
    <w:pPr>
      <w:autoSpaceDE w:val="0"/>
      <w:autoSpaceDN w:val="0"/>
      <w:jc w:val="both"/>
    </w:pPr>
    <w:rPr>
      <w:rFonts w:ascii="KabelItcTEE" w:hAnsi="KabelItcTEE"/>
      <w:sz w:val="20"/>
    </w:rPr>
  </w:style>
  <w:style w:type="character" w:customStyle="1" w:styleId="ZkladntextChar">
    <w:name w:val="Základní text Char"/>
    <w:basedOn w:val="Standardnpsmoodstavce"/>
    <w:link w:val="Zkladntext"/>
    <w:rsid w:val="005136C3"/>
    <w:rPr>
      <w:rFonts w:ascii="KabelItcTEE" w:eastAsia="Times New Roman" w:hAnsi="KabelItcTEE" w:cs="Times New Roman"/>
      <w:sz w:val="20"/>
      <w:szCs w:val="24"/>
      <w:lang w:eastAsia="cs-CZ"/>
    </w:rPr>
  </w:style>
  <w:style w:type="paragraph" w:customStyle="1" w:styleId="adresa">
    <w:name w:val="adresa"/>
    <w:basedOn w:val="Normln"/>
    <w:rsid w:val="005136C3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5136C3"/>
    <w:pPr>
      <w:tabs>
        <w:tab w:val="left" w:pos="709"/>
      </w:tabs>
      <w:jc w:val="center"/>
    </w:pPr>
    <w:rPr>
      <w:b/>
      <w:szCs w:val="20"/>
    </w:rPr>
  </w:style>
  <w:style w:type="paragraph" w:styleId="Zkladntext3">
    <w:name w:val="Body Text 3"/>
    <w:basedOn w:val="Normln"/>
    <w:link w:val="Zkladntext3Char"/>
    <w:rsid w:val="005136C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136C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440CD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vnintext">
    <w:name w:val="vniřnítext"/>
    <w:basedOn w:val="Normln"/>
    <w:rsid w:val="00B40844"/>
    <w:pPr>
      <w:tabs>
        <w:tab w:val="left" w:pos="709"/>
      </w:tabs>
      <w:ind w:firstLine="426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423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23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23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3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10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00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971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71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71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71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71D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085530547D4B8F8F312CC0C238DC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581CFC-21DD-4C06-BC3F-349757255CC6}"/>
      </w:docPartPr>
      <w:docPartBody>
        <w:p w:rsidR="00A5231C" w:rsidRDefault="00295B2A" w:rsidP="00295B2A">
          <w:pPr>
            <w:pStyle w:val="DA085530547D4B8F8F312CC0C238DC98"/>
          </w:pPr>
          <w:r>
            <w:rPr>
              <w:color w:val="7F7F7F" w:themeColor="text1" w:themeTint="8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belItc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5B2A"/>
    <w:rsid w:val="00041DC5"/>
    <w:rsid w:val="000D21F4"/>
    <w:rsid w:val="00295B2A"/>
    <w:rsid w:val="002A484D"/>
    <w:rsid w:val="003C6E8B"/>
    <w:rsid w:val="003D601E"/>
    <w:rsid w:val="00457E32"/>
    <w:rsid w:val="005462FD"/>
    <w:rsid w:val="005876D6"/>
    <w:rsid w:val="006101E9"/>
    <w:rsid w:val="00684798"/>
    <w:rsid w:val="007A3C9D"/>
    <w:rsid w:val="008972A8"/>
    <w:rsid w:val="009D2A1C"/>
    <w:rsid w:val="009F4113"/>
    <w:rsid w:val="009F5FF7"/>
    <w:rsid w:val="00A5231C"/>
    <w:rsid w:val="00AA4AC8"/>
    <w:rsid w:val="00AB2751"/>
    <w:rsid w:val="00BB1C1E"/>
    <w:rsid w:val="00C10BE4"/>
    <w:rsid w:val="00C87599"/>
    <w:rsid w:val="00CA7990"/>
    <w:rsid w:val="00F4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2A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085530547D4B8F8F312CC0C238DC98">
    <w:name w:val="DA085530547D4B8F8F312CC0C238DC98"/>
    <w:rsid w:val="00295B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4A2B-2308-4CCB-803C-3C5BEDCA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1868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KRI-2020/3252</vt:lpstr>
    </vt:vector>
  </TitlesOfParts>
  <Company>Hewlett-Packard Company</Company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KRI-2020/3252</dc:title>
  <dc:creator>Mgr. ICLic. David Kučerka, O.Cr.</dc:creator>
  <cp:lastModifiedBy>Horáčková Vladana</cp:lastModifiedBy>
  <cp:revision>2</cp:revision>
  <cp:lastPrinted>2020-12-17T05:19:00Z</cp:lastPrinted>
  <dcterms:created xsi:type="dcterms:W3CDTF">2020-12-17T05:20:00Z</dcterms:created>
  <dcterms:modified xsi:type="dcterms:W3CDTF">2020-12-17T05:20:00Z</dcterms:modified>
</cp:coreProperties>
</file>