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A05F3" w14:textId="773E6483" w:rsidR="007B6127" w:rsidRPr="00FD68EE" w:rsidRDefault="007B6127" w:rsidP="007B6127">
      <w:pPr>
        <w:jc w:val="center"/>
        <w:rPr>
          <w:rFonts w:asciiTheme="majorHAnsi" w:hAnsiTheme="majorHAnsi"/>
          <w:b/>
          <w:bCs/>
          <w:sz w:val="21"/>
          <w:szCs w:val="21"/>
        </w:rPr>
      </w:pPr>
      <w:r w:rsidRPr="00FD68EE">
        <w:rPr>
          <w:rFonts w:asciiTheme="majorHAnsi" w:hAnsiTheme="majorHAnsi"/>
          <w:b/>
          <w:bCs/>
          <w:sz w:val="21"/>
          <w:szCs w:val="21"/>
        </w:rPr>
        <w:t>SMLOUVA o dílo</w:t>
      </w:r>
    </w:p>
    <w:p w14:paraId="1E72F713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uzavřená dle § 2586 a násl. zák. 89/2012 Sb., občanský zákoník</w:t>
      </w:r>
    </w:p>
    <w:p w14:paraId="3B7D456E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</w:p>
    <w:p w14:paraId="4FDD6946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Smluvní strany</w:t>
      </w:r>
    </w:p>
    <w:p w14:paraId="7C1C73E0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</w:p>
    <w:p w14:paraId="6A964338" w14:textId="77777777" w:rsidR="007B6127" w:rsidRPr="00FD68EE" w:rsidRDefault="007B6127" w:rsidP="007B6127">
      <w:pPr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FD68EE">
        <w:rPr>
          <w:rFonts w:asciiTheme="majorHAnsi" w:hAnsiTheme="majorHAnsi"/>
          <w:b/>
          <w:bCs/>
          <w:color w:val="000000"/>
          <w:sz w:val="21"/>
          <w:szCs w:val="21"/>
        </w:rPr>
        <w:t>Centrum experimentálního divadla, příspěvková organizace</w:t>
      </w:r>
    </w:p>
    <w:p w14:paraId="219DBC73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se sídlem: Zelný trh 294/9, Brno 602 00,</w:t>
      </w:r>
    </w:p>
    <w:p w14:paraId="3B5339FB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IČ: 00400921, DIČ: CZ00400921</w:t>
      </w:r>
    </w:p>
    <w:p w14:paraId="02E4207D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OR: spis. zn.: </w:t>
      </w:r>
      <w:proofErr w:type="spellStart"/>
      <w:r w:rsidRPr="007B6127">
        <w:rPr>
          <w:rFonts w:asciiTheme="minorHAnsi" w:hAnsiTheme="minorHAnsi"/>
          <w:sz w:val="21"/>
          <w:szCs w:val="21"/>
        </w:rPr>
        <w:t>Pr</w:t>
      </w:r>
      <w:proofErr w:type="spellEnd"/>
      <w:r w:rsidRPr="007B6127">
        <w:rPr>
          <w:rFonts w:asciiTheme="minorHAnsi" w:hAnsiTheme="minorHAnsi"/>
          <w:sz w:val="21"/>
          <w:szCs w:val="21"/>
        </w:rPr>
        <w:t>. 29 Krajský soud v Brně</w:t>
      </w:r>
    </w:p>
    <w:p w14:paraId="04BF07C6" w14:textId="756A25EE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Bank. spojení: </w:t>
      </w:r>
      <w:r w:rsidR="00311C96">
        <w:rPr>
          <w:rFonts w:asciiTheme="minorHAnsi" w:hAnsiTheme="minorHAnsi"/>
          <w:sz w:val="21"/>
          <w:szCs w:val="21"/>
        </w:rPr>
        <w:t>XXX</w:t>
      </w:r>
    </w:p>
    <w:p w14:paraId="2F99D86D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zastoupená: MgA. Miroslav </w:t>
      </w:r>
      <w:proofErr w:type="spellStart"/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Oščatka</w:t>
      </w:r>
      <w:proofErr w:type="spellEnd"/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, ředitel organizace </w:t>
      </w:r>
    </w:p>
    <w:p w14:paraId="3C109F7C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(dále jen „objednatel“)</w:t>
      </w:r>
    </w:p>
    <w:p w14:paraId="64C33717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</w:p>
    <w:p w14:paraId="30256A30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a</w:t>
      </w:r>
    </w:p>
    <w:p w14:paraId="26677E71" w14:textId="77777777" w:rsidR="007B6127" w:rsidRPr="00A12EB2" w:rsidRDefault="007B6127" w:rsidP="007B6127">
      <w:pPr>
        <w:jc w:val="both"/>
        <w:rPr>
          <w:rFonts w:asciiTheme="minorHAnsi" w:hAnsiTheme="minorHAnsi"/>
          <w:color w:val="000000" w:themeColor="text2"/>
          <w:sz w:val="21"/>
          <w:szCs w:val="21"/>
        </w:rPr>
      </w:pPr>
    </w:p>
    <w:p w14:paraId="6B6A8812" w14:textId="7E844915" w:rsidR="007B6127" w:rsidRPr="00FD68EE" w:rsidRDefault="001C13B1" w:rsidP="007B6127">
      <w:pPr>
        <w:jc w:val="both"/>
        <w:rPr>
          <w:rFonts w:asciiTheme="majorHAnsi" w:hAnsiTheme="majorHAnsi"/>
          <w:b/>
          <w:bCs/>
          <w:color w:val="000000" w:themeColor="text2"/>
          <w:sz w:val="21"/>
          <w:szCs w:val="21"/>
          <w:shd w:val="clear" w:color="auto" w:fill="FFFFFF"/>
        </w:rPr>
      </w:pPr>
      <w:r w:rsidRPr="00FD68EE">
        <w:rPr>
          <w:rFonts w:asciiTheme="majorHAnsi" w:hAnsiTheme="majorHAnsi"/>
          <w:b/>
          <w:bCs/>
          <w:color w:val="000000" w:themeColor="text2"/>
          <w:sz w:val="21"/>
          <w:szCs w:val="21"/>
          <w:shd w:val="clear" w:color="auto" w:fill="FFFFFF"/>
        </w:rPr>
        <w:t>Tomáš Brož</w:t>
      </w:r>
    </w:p>
    <w:p w14:paraId="70F2FE44" w14:textId="7B380D80" w:rsidR="007B6127" w:rsidRPr="00A12EB2" w:rsidRDefault="007B6127" w:rsidP="001C13B1">
      <w:pPr>
        <w:jc w:val="both"/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</w:pPr>
      <w:r w:rsidRPr="00A12EB2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 xml:space="preserve">se sídlem: </w:t>
      </w:r>
      <w:r w:rsidR="001C13B1" w:rsidRPr="001C13B1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HRABSTVÍ 78</w:t>
      </w:r>
      <w:r w:rsidR="001C13B1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 xml:space="preserve">, </w:t>
      </w:r>
      <w:r w:rsidR="001C13B1" w:rsidRPr="001C13B1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SKŘIPOV</w:t>
      </w:r>
      <w:r w:rsidR="001C13B1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, 7</w:t>
      </w:r>
      <w:r w:rsidR="001C13B1" w:rsidRPr="001C13B1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47 41 HRADEC NAD MORAVICÍ</w:t>
      </w:r>
    </w:p>
    <w:p w14:paraId="35116DEA" w14:textId="43706018" w:rsidR="007B6127" w:rsidRPr="00A12EB2" w:rsidRDefault="007B6127" w:rsidP="007B6127">
      <w:pPr>
        <w:jc w:val="both"/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</w:pPr>
      <w:r w:rsidRPr="00A12EB2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 xml:space="preserve">IČ: </w:t>
      </w:r>
      <w:r w:rsidR="001C13B1" w:rsidRPr="001C13B1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73772941</w:t>
      </w:r>
      <w:r w:rsidRPr="00A12EB2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, DIČ: CZ</w:t>
      </w:r>
      <w:r w:rsidR="00311C96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XXX</w:t>
      </w:r>
    </w:p>
    <w:p w14:paraId="78B2838B" w14:textId="3EC7816F" w:rsidR="007B6127" w:rsidRDefault="007B6127" w:rsidP="007B6127">
      <w:pPr>
        <w:jc w:val="both"/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</w:pPr>
      <w:r w:rsidRPr="00A12EB2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 xml:space="preserve">bankovní spojení: </w:t>
      </w:r>
      <w:r w:rsidR="00311C96"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XXX</w:t>
      </w:r>
    </w:p>
    <w:p w14:paraId="05242E65" w14:textId="2EC401CC" w:rsidR="001C13B1" w:rsidRPr="00A12EB2" w:rsidRDefault="00311C96" w:rsidP="007B6127">
      <w:pPr>
        <w:jc w:val="both"/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</w:pPr>
      <w:r>
        <w:rPr>
          <w:rFonts w:asciiTheme="minorHAnsi" w:hAnsiTheme="minorHAnsi"/>
          <w:bCs/>
          <w:color w:val="000000" w:themeColor="text2"/>
          <w:sz w:val="21"/>
          <w:szCs w:val="21"/>
          <w:shd w:val="clear" w:color="auto" w:fill="FFFFFF"/>
        </w:rPr>
        <w:t>XXX</w:t>
      </w:r>
    </w:p>
    <w:p w14:paraId="48229FD7" w14:textId="77777777" w:rsidR="007B6127" w:rsidRPr="00A12EB2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 w:themeColor="text2"/>
          <w:sz w:val="21"/>
          <w:szCs w:val="21"/>
        </w:rPr>
      </w:pPr>
      <w:r w:rsidRPr="00A12EB2">
        <w:rPr>
          <w:rFonts w:asciiTheme="minorHAnsi" w:eastAsia="TimesNewRomanPS-BoldMT" w:hAnsiTheme="minorHAnsi" w:cs="TimesNewRomanPS-BoldMT"/>
          <w:color w:val="000000" w:themeColor="text2"/>
          <w:sz w:val="21"/>
          <w:szCs w:val="21"/>
        </w:rPr>
        <w:t>(dále jen „zhotovitel“)</w:t>
      </w:r>
    </w:p>
    <w:p w14:paraId="735AD5D7" w14:textId="77777777" w:rsidR="007B6127" w:rsidRPr="007B6127" w:rsidRDefault="007B6127" w:rsidP="007B6127">
      <w:pPr>
        <w:jc w:val="both"/>
        <w:rPr>
          <w:rFonts w:asciiTheme="minorHAnsi" w:hAnsiTheme="minorHAnsi"/>
          <w:sz w:val="21"/>
          <w:szCs w:val="21"/>
        </w:rPr>
      </w:pPr>
    </w:p>
    <w:p w14:paraId="7ECA9808" w14:textId="77777777" w:rsidR="007B6127" w:rsidRPr="00FD68EE" w:rsidRDefault="007B6127" w:rsidP="007B6127">
      <w:pPr>
        <w:jc w:val="center"/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</w:pPr>
      <w:r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I. Předmět smlouvy</w:t>
      </w:r>
    </w:p>
    <w:p w14:paraId="105FF694" w14:textId="798DD677" w:rsidR="007B6127" w:rsidRPr="007B6127" w:rsidRDefault="007B6127" w:rsidP="007B6127">
      <w:pPr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Předmětem smlouvy je výroba</w:t>
      </w:r>
      <w:r w:rsidR="001C13B1">
        <w:rPr>
          <w:rFonts w:asciiTheme="minorHAnsi" w:hAnsiTheme="minorHAnsi"/>
          <w:sz w:val="21"/>
          <w:szCs w:val="21"/>
        </w:rPr>
        <w:t xml:space="preserve"> 100.000ks</w:t>
      </w:r>
      <w:r w:rsidRPr="007B6127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1C13B1">
        <w:rPr>
          <w:rFonts w:asciiTheme="minorHAnsi" w:hAnsiTheme="minorHAnsi"/>
          <w:sz w:val="21"/>
          <w:szCs w:val="21"/>
        </w:rPr>
        <w:t>termovstupenek</w:t>
      </w:r>
      <w:proofErr w:type="spellEnd"/>
      <w:r w:rsidR="001C13B1">
        <w:rPr>
          <w:rFonts w:asciiTheme="minorHAnsi" w:hAnsiTheme="minorHAnsi"/>
          <w:sz w:val="21"/>
          <w:szCs w:val="21"/>
        </w:rPr>
        <w:t xml:space="preserve"> </w:t>
      </w:r>
      <w:r w:rsidRPr="007B6127">
        <w:rPr>
          <w:rFonts w:asciiTheme="minorHAnsi" w:hAnsiTheme="minorHAnsi"/>
          <w:sz w:val="21"/>
          <w:szCs w:val="21"/>
        </w:rPr>
        <w:t>pro Centrum experimentálního divadla, p. o.</w:t>
      </w:r>
    </w:p>
    <w:p w14:paraId="7765D991" w14:textId="771B7452" w:rsidR="000A62B5" w:rsidRDefault="000A62B5" w:rsidP="007B6127">
      <w:pPr>
        <w:jc w:val="both"/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</w:pPr>
    </w:p>
    <w:p w14:paraId="734A5F87" w14:textId="041A9872" w:rsidR="001C13B1" w:rsidRDefault="001C13B1" w:rsidP="007B6127">
      <w:pPr>
        <w:jc w:val="both"/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</w:pPr>
      <w:r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  <w:t>Parametry zakázky:</w:t>
      </w:r>
    </w:p>
    <w:p w14:paraId="5608A400" w14:textId="5B68AEFD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termo karton – </w:t>
      </w:r>
      <w:r w:rsidRPr="001C13B1"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  <w:t>ekologický termo papír</w:t>
      </w:r>
      <w:r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  <w:t xml:space="preserve"> Mitsubishi M72A</w:t>
      </w:r>
      <w:r w:rsidRPr="001C13B1"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  <w:t>, BPA free</w:t>
      </w:r>
    </w:p>
    <w:p w14:paraId="215D9D9B" w14:textId="77777777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  <w:t>garantovaná stálost potisku min. 3 roky</w:t>
      </w: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– odpovídající ochranná úprava papíru,</w:t>
      </w:r>
    </w:p>
    <w:p w14:paraId="1F741150" w14:textId="77777777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gramáž min. 180 g/m2,</w:t>
      </w:r>
    </w:p>
    <w:p w14:paraId="42C8E0E9" w14:textId="77777777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velikost 150 x 75 mm (+/- 3 mm délka, +/- 1 mm výška; end-los bez bočního vedení),</w:t>
      </w:r>
    </w:p>
    <w:p w14:paraId="2F6922FC" w14:textId="62B1721D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knihařské zpracování – perforace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příčná</w:t>
      </w: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po 150 mm (s ohledem na výše uvedenou toleranci),</w:t>
      </w:r>
    </w:p>
    <w:p w14:paraId="6F6FFD4D" w14:textId="77777777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oboustranný černobílý tisk,</w:t>
      </w:r>
    </w:p>
    <w:p w14:paraId="3655786C" w14:textId="77777777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počet 100.000 kusů vstupenek,</w:t>
      </w:r>
    </w:p>
    <w:p w14:paraId="07F98E0C" w14:textId="77777777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provedení bez kotouče – vstupenky stohované v podobě hada „</w:t>
      </w:r>
      <w:proofErr w:type="spellStart"/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cik</w:t>
      </w:r>
      <w:proofErr w:type="spellEnd"/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</w:t>
      </w:r>
      <w:proofErr w:type="spellStart"/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cak</w:t>
      </w:r>
      <w:proofErr w:type="spellEnd"/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“ do krabic,</w:t>
      </w:r>
    </w:p>
    <w:p w14:paraId="0BCB086D" w14:textId="31ECC934" w:rsidR="001C13B1" w:rsidRPr="001C13B1" w:rsidRDefault="001C13B1" w:rsidP="001C13B1">
      <w:pPr>
        <w:numPr>
          <w:ilvl w:val="0"/>
          <w:numId w:val="2"/>
        </w:num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1C13B1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tiskový podklad pro předtištění vstupenek </w:t>
      </w:r>
      <w:r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dle zadání objednatele.</w:t>
      </w:r>
    </w:p>
    <w:p w14:paraId="228D4500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</w:p>
    <w:p w14:paraId="209CC740" w14:textId="2380D6D2" w:rsidR="007B6127" w:rsidRPr="00FD68EE" w:rsidRDefault="007B6127" w:rsidP="007B6127">
      <w:pPr>
        <w:jc w:val="center"/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</w:pPr>
      <w:r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II. Cena a platební podmínky</w:t>
      </w:r>
    </w:p>
    <w:p w14:paraId="172C309F" w14:textId="45EF3C47" w:rsidR="007B6127" w:rsidRPr="007B6127" w:rsidRDefault="007B6127" w:rsidP="007B6127">
      <w:pPr>
        <w:pStyle w:val="Odstavecseseznamem"/>
        <w:numPr>
          <w:ilvl w:val="0"/>
          <w:numId w:val="41"/>
        </w:numPr>
        <w:ind w:left="426" w:hanging="426"/>
        <w:contextualSpacing/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Objednatel se zavazuje zaplatit zhotoviteli sjednanou cenu </w:t>
      </w:r>
      <w:r w:rsidR="00FD68EE"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66.000</w:t>
      </w:r>
      <w:r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,- Kč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(slovy: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šedesát</w:t>
      </w:r>
      <w:r w:rsidR="00735D96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šest</w:t>
      </w:r>
      <w:r w:rsidR="000409BC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tisíc 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korun) +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21 %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DPH; celkově tedy </w:t>
      </w:r>
      <w:proofErr w:type="gramStart"/>
      <w:r w:rsidR="00FD68EE" w:rsidRPr="00FD68EE">
        <w:rPr>
          <w:rFonts w:ascii="Plain" w:eastAsia="TimesNewRomanPS-BoldMT" w:hAnsi="Plain" w:cs="TimesNewRomanPS-BoldMT"/>
          <w:b/>
          <w:bCs/>
          <w:color w:val="000000"/>
          <w:sz w:val="21"/>
          <w:szCs w:val="21"/>
        </w:rPr>
        <w:t>79.860</w:t>
      </w:r>
      <w:r w:rsidR="000409BC" w:rsidRPr="00FD68EE">
        <w:rPr>
          <w:rFonts w:ascii="Plain" w:eastAsia="TimesNewRomanPS-BoldMT" w:hAnsi="Plain" w:cs="TimesNewRomanPS-BoldMT"/>
          <w:b/>
          <w:bCs/>
          <w:color w:val="000000"/>
          <w:sz w:val="21"/>
          <w:szCs w:val="21"/>
        </w:rPr>
        <w:t>,-</w:t>
      </w:r>
      <w:proofErr w:type="gramEnd"/>
      <w:r w:rsidRPr="00735D96"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  <w:t xml:space="preserve"> </w:t>
      </w:r>
      <w:r w:rsidRPr="00FD68EE">
        <w:rPr>
          <w:rFonts w:ascii="Plain" w:eastAsia="TimesNewRomanPS-BoldMT" w:hAnsi="Plain" w:cs="TimesNewRomanPS-BoldMT"/>
          <w:b/>
          <w:bCs/>
          <w:color w:val="000000"/>
          <w:sz w:val="21"/>
          <w:szCs w:val="21"/>
        </w:rPr>
        <w:t>Kč včetně DPH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(slovy: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sedmdesát devět</w:t>
      </w:r>
      <w:r w:rsidR="000409BC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tisíc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osm</w:t>
      </w:r>
      <w:r w:rsidR="00735D96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set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šedesát</w:t>
      </w:r>
      <w:r w:rsidR="000409BC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korun).</w:t>
      </w:r>
      <w:r w:rsidR="000A62B5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V ceně je zahrnuta doprava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vstupenek</w:t>
      </w:r>
      <w:r w:rsidR="000A62B5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do sídla organizace.</w:t>
      </w:r>
    </w:p>
    <w:p w14:paraId="1551F97D" w14:textId="77777777" w:rsidR="007B6127" w:rsidRPr="007B6127" w:rsidRDefault="007B6127" w:rsidP="007B6127">
      <w:pPr>
        <w:pStyle w:val="Odstavecseseznamem"/>
        <w:numPr>
          <w:ilvl w:val="0"/>
          <w:numId w:val="41"/>
        </w:numPr>
        <w:ind w:left="426" w:hanging="426"/>
        <w:contextualSpacing/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sz w:val="21"/>
          <w:szCs w:val="21"/>
        </w:rPr>
        <w:t>Vyúčtování provede zhotovitel formou daňového dokladu – faktury, který musí splňovat všechny náležitosti dané zákonem a objednatel ho uhradí v řádném termínu splatnosti.</w:t>
      </w:r>
    </w:p>
    <w:p w14:paraId="04DCECF5" w14:textId="77777777" w:rsidR="007B6127" w:rsidRPr="007B6127" w:rsidRDefault="007B6127" w:rsidP="007B6127">
      <w:pPr>
        <w:jc w:val="center"/>
        <w:rPr>
          <w:rFonts w:asciiTheme="minorHAnsi" w:eastAsia="TimesNewRomanPS-BoldMT" w:hAnsiTheme="minorHAnsi" w:cs="TimesNewRomanPS-BoldMT"/>
          <w:b/>
          <w:bCs/>
          <w:color w:val="000000"/>
          <w:sz w:val="21"/>
          <w:szCs w:val="21"/>
        </w:rPr>
      </w:pPr>
    </w:p>
    <w:p w14:paraId="2A7B1D7D" w14:textId="302EDE48" w:rsidR="007B6127" w:rsidRPr="00FD68EE" w:rsidRDefault="007B6127" w:rsidP="007B6127">
      <w:pPr>
        <w:jc w:val="center"/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</w:pPr>
      <w:r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I</w:t>
      </w:r>
      <w:r w:rsidR="000A62B5"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II</w:t>
      </w:r>
      <w:r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. Termín a doprava</w:t>
      </w:r>
    </w:p>
    <w:p w14:paraId="07B1EF92" w14:textId="0CDFF891" w:rsid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Dodavatel garantuje zhotovení a doručení hotov</w:t>
      </w:r>
      <w:r w:rsidR="00735D96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ých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vstupenek 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do sídla organizace (Zelný trh 9, 602 00 Brno) nejpozději </w:t>
      </w:r>
      <w:r w:rsidR="00FD68EE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31. 12.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 20</w:t>
      </w:r>
      <w:r w:rsidR="008E044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20</w:t>
      </w: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.</w:t>
      </w:r>
    </w:p>
    <w:p w14:paraId="044BFD38" w14:textId="1198AEAB" w:rsidR="000A62B5" w:rsidRDefault="000A62B5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</w:p>
    <w:p w14:paraId="297180C2" w14:textId="02655385" w:rsidR="00735D96" w:rsidRDefault="00735D96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</w:p>
    <w:p w14:paraId="0441BBE9" w14:textId="77777777" w:rsidR="00735D96" w:rsidRDefault="00735D96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</w:p>
    <w:p w14:paraId="18113BBA" w14:textId="24834FFE" w:rsidR="007B6127" w:rsidRPr="00FD68EE" w:rsidRDefault="000A62B5" w:rsidP="00FD68EE">
      <w:pPr>
        <w:jc w:val="center"/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</w:pPr>
      <w:r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I</w:t>
      </w:r>
      <w:r w:rsidR="007B6127" w:rsidRPr="00FD68EE">
        <w:rPr>
          <w:rFonts w:asciiTheme="majorHAnsi" w:eastAsia="TimesNewRomanPS-BoldMT" w:hAnsiTheme="majorHAnsi" w:cs="TimesNewRomanPS-BoldMT"/>
          <w:b/>
          <w:bCs/>
          <w:color w:val="000000"/>
          <w:sz w:val="21"/>
          <w:szCs w:val="21"/>
        </w:rPr>
        <w:t>V. Závěrečná ustanovení</w:t>
      </w:r>
    </w:p>
    <w:p w14:paraId="37A1868D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>Práva a povinnosti, výslovně touto smlouvou neupravené, se řídí platnými právními předpisy a ustanoveními občanského zákoníku.</w:t>
      </w:r>
    </w:p>
    <w:p w14:paraId="4AB38F10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>Smlouva může být ukončena vzájemnou dohodou smluvních stran, nebo odstoupením od smlouvy v případě závažného porušení povinností stanovených touto smlouvou, nebo z důvodů stanovených zákonem.</w:t>
      </w:r>
    </w:p>
    <w:p w14:paraId="6584295C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 xml:space="preserve">Odstoupení od smlouvy nabývá účinnosti dnem doručení písemného oznámení o odstoupení druhé smluvní straně. </w:t>
      </w:r>
    </w:p>
    <w:p w14:paraId="1A339261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>Změny a doplňky této smlouvy mohou být prováděny pouze formou písemného dodatku ke smlouvě po souhlasu obou smluvních stran.</w:t>
      </w:r>
    </w:p>
    <w:p w14:paraId="4783528D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>Smluvní strany se zavazují řešit případné spory vzájemnou dohodou.</w:t>
      </w:r>
    </w:p>
    <w:p w14:paraId="1402D7B9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 xml:space="preserve">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4C1A8848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objednatel.</w:t>
      </w:r>
    </w:p>
    <w:p w14:paraId="30EB1536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>Tato smlouva je vyhotovena ve dvou stejnopisech, z nichž každá strana obdrží po jednom vyhotovení.</w:t>
      </w:r>
    </w:p>
    <w:p w14:paraId="45999767" w14:textId="77777777" w:rsidR="00FD68EE" w:rsidRPr="00FD68EE" w:rsidRDefault="00FD68EE" w:rsidP="00FD68EE">
      <w:pPr>
        <w:pStyle w:val="Odstavecseseznamem"/>
        <w:numPr>
          <w:ilvl w:val="0"/>
          <w:numId w:val="44"/>
        </w:numPr>
        <w:autoSpaceDE w:val="0"/>
        <w:ind w:left="426"/>
        <w:rPr>
          <w:rFonts w:asciiTheme="minorHAnsi" w:hAnsiTheme="minorHAnsi"/>
          <w:color w:val="000000"/>
          <w:sz w:val="21"/>
          <w:szCs w:val="21"/>
        </w:rPr>
      </w:pPr>
      <w:r w:rsidRPr="00FD68EE">
        <w:rPr>
          <w:rFonts w:asciiTheme="minorHAnsi" w:hAnsiTheme="minorHAnsi"/>
          <w:color w:val="000000"/>
          <w:sz w:val="21"/>
          <w:szCs w:val="21"/>
        </w:rPr>
        <w:t>Smluvní strany prohlašují, že si text smlouvy přečetly, s jejím obsahem bezvýhradně souhlasí a na důkaz toho připojují své podpisy.</w:t>
      </w:r>
    </w:p>
    <w:p w14:paraId="384EA3F9" w14:textId="3BF56618" w:rsidR="00FD68EE" w:rsidRDefault="00FD68EE" w:rsidP="00FD68EE">
      <w:pPr>
        <w:rPr>
          <w:rFonts w:asciiTheme="minorHAnsi" w:hAnsiTheme="minorHAnsi"/>
          <w:b/>
          <w:bCs/>
          <w:sz w:val="21"/>
          <w:szCs w:val="21"/>
        </w:rPr>
      </w:pPr>
    </w:p>
    <w:p w14:paraId="505A6A01" w14:textId="77777777" w:rsidR="00FD68EE" w:rsidRPr="007B6127" w:rsidRDefault="00FD68EE" w:rsidP="007B6127">
      <w:pPr>
        <w:jc w:val="center"/>
        <w:rPr>
          <w:rFonts w:asciiTheme="minorHAnsi" w:hAnsiTheme="minorHAnsi"/>
          <w:b/>
          <w:bCs/>
          <w:sz w:val="21"/>
          <w:szCs w:val="21"/>
        </w:rPr>
      </w:pPr>
    </w:p>
    <w:p w14:paraId="33C9CFF6" w14:textId="77777777" w:rsidR="007B6127" w:rsidRPr="007B6127" w:rsidRDefault="007B6127" w:rsidP="007B6127">
      <w:pPr>
        <w:jc w:val="both"/>
        <w:rPr>
          <w:rFonts w:asciiTheme="minorHAnsi" w:hAnsiTheme="minorHAnsi"/>
          <w:sz w:val="21"/>
          <w:szCs w:val="21"/>
        </w:rPr>
      </w:pPr>
    </w:p>
    <w:p w14:paraId="603BE299" w14:textId="5BB3F9C9" w:rsidR="007B6127" w:rsidRPr="007B6127" w:rsidRDefault="007B6127" w:rsidP="007B6127">
      <w:pPr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V Brně dne </w:t>
      </w:r>
      <w:r w:rsidR="00FD68EE">
        <w:rPr>
          <w:rFonts w:asciiTheme="minorHAnsi" w:hAnsiTheme="minorHAnsi"/>
          <w:sz w:val="21"/>
          <w:szCs w:val="21"/>
        </w:rPr>
        <w:t>10</w:t>
      </w:r>
      <w:r w:rsidRPr="007B6127">
        <w:rPr>
          <w:rFonts w:asciiTheme="minorHAnsi" w:hAnsiTheme="minorHAnsi"/>
          <w:sz w:val="21"/>
          <w:szCs w:val="21"/>
        </w:rPr>
        <w:t xml:space="preserve">. </w:t>
      </w:r>
      <w:r w:rsidR="00735D96">
        <w:rPr>
          <w:rFonts w:asciiTheme="minorHAnsi" w:hAnsiTheme="minorHAnsi"/>
          <w:sz w:val="21"/>
          <w:szCs w:val="21"/>
        </w:rPr>
        <w:t>1</w:t>
      </w:r>
      <w:r w:rsidR="00FD68EE">
        <w:rPr>
          <w:rFonts w:asciiTheme="minorHAnsi" w:hAnsiTheme="minorHAnsi"/>
          <w:sz w:val="21"/>
          <w:szCs w:val="21"/>
        </w:rPr>
        <w:t>2</w:t>
      </w:r>
      <w:r w:rsidRPr="007B6127">
        <w:rPr>
          <w:rFonts w:asciiTheme="minorHAnsi" w:hAnsiTheme="minorHAnsi"/>
          <w:sz w:val="21"/>
          <w:szCs w:val="21"/>
        </w:rPr>
        <w:t>. 20</w:t>
      </w:r>
      <w:r w:rsidR="008E0447">
        <w:rPr>
          <w:rFonts w:asciiTheme="minorHAnsi" w:hAnsiTheme="minorHAnsi"/>
          <w:sz w:val="21"/>
          <w:szCs w:val="21"/>
        </w:rPr>
        <w:t>20</w:t>
      </w:r>
      <w:r w:rsidRPr="007B6127">
        <w:rPr>
          <w:rFonts w:asciiTheme="minorHAnsi" w:hAnsiTheme="minorHAnsi"/>
          <w:sz w:val="21"/>
          <w:szCs w:val="21"/>
        </w:rPr>
        <w:t xml:space="preserve">                                               </w:t>
      </w:r>
      <w:r w:rsidRPr="007B6127">
        <w:rPr>
          <w:rFonts w:asciiTheme="minorHAnsi" w:hAnsiTheme="minorHAnsi"/>
          <w:sz w:val="21"/>
          <w:szCs w:val="21"/>
        </w:rPr>
        <w:tab/>
        <w:t xml:space="preserve">    </w:t>
      </w:r>
    </w:p>
    <w:p w14:paraId="7471020D" w14:textId="77777777" w:rsidR="007B6127" w:rsidRPr="008E0447" w:rsidRDefault="007B6127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2E6895A0" w14:textId="77777777" w:rsidR="007B6127" w:rsidRPr="008E0447" w:rsidRDefault="007B6127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7D40D9FD" w14:textId="22828982" w:rsidR="007B6127" w:rsidRDefault="007B6127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04E212E0" w14:textId="77777777" w:rsidR="00FD68EE" w:rsidRPr="008E0447" w:rsidRDefault="00FD68EE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267F0FDF" w14:textId="41676BFB" w:rsidR="007647D8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.....................................................                        </w:t>
      </w:r>
      <w:r w:rsidRPr="008E0447">
        <w:rPr>
          <w:rFonts w:asciiTheme="minorHAnsi" w:hAnsiTheme="minorHAnsi"/>
          <w:sz w:val="21"/>
          <w:szCs w:val="21"/>
        </w:rPr>
        <w:tab/>
        <w:t xml:space="preserve">                 </w:t>
      </w:r>
      <w:r w:rsidR="008E0447">
        <w:rPr>
          <w:rFonts w:asciiTheme="minorHAnsi" w:hAnsiTheme="minorHAnsi"/>
          <w:sz w:val="21"/>
          <w:szCs w:val="21"/>
        </w:rPr>
        <w:tab/>
        <w:t xml:space="preserve">     </w:t>
      </w:r>
      <w:r w:rsidRPr="008E0447">
        <w:rPr>
          <w:rFonts w:asciiTheme="minorHAnsi" w:hAnsiTheme="minorHAnsi"/>
          <w:sz w:val="21"/>
          <w:szCs w:val="21"/>
        </w:rPr>
        <w:t>.....................................................</w:t>
      </w:r>
    </w:p>
    <w:p w14:paraId="7390A63D" w14:textId="67967C71" w:rsidR="007647D8" w:rsidRPr="00735D96" w:rsidRDefault="007647D8" w:rsidP="007647D8">
      <w:pPr>
        <w:rPr>
          <w:rFonts w:asciiTheme="minorHAnsi" w:hAnsiTheme="minorHAnsi"/>
          <w:color w:val="000000" w:themeColor="text2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  MgA. Miroslav </w:t>
      </w:r>
      <w:proofErr w:type="spellStart"/>
      <w:r w:rsidRPr="008E0447">
        <w:rPr>
          <w:rFonts w:asciiTheme="minorHAnsi" w:hAnsiTheme="minorHAnsi"/>
          <w:sz w:val="21"/>
          <w:szCs w:val="21"/>
        </w:rPr>
        <w:t>Oščatka</w:t>
      </w:r>
      <w:proofErr w:type="spellEnd"/>
      <w:r w:rsidRPr="008E0447">
        <w:rPr>
          <w:rFonts w:asciiTheme="minorHAnsi" w:hAnsiTheme="minorHAnsi"/>
          <w:sz w:val="21"/>
          <w:szCs w:val="21"/>
        </w:rPr>
        <w:t xml:space="preserve">                                                             </w:t>
      </w:r>
      <w:r w:rsidR="00FD68EE">
        <w:rPr>
          <w:rFonts w:asciiTheme="minorHAnsi" w:hAnsiTheme="minorHAnsi"/>
          <w:sz w:val="21"/>
          <w:szCs w:val="21"/>
        </w:rPr>
        <w:tab/>
        <w:t>Tomáš Brož</w:t>
      </w:r>
    </w:p>
    <w:p w14:paraId="0B559770" w14:textId="556F28F6" w:rsidR="00DB2B5A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      </w:t>
      </w:r>
      <w:r w:rsidR="008E0447">
        <w:rPr>
          <w:rFonts w:asciiTheme="minorHAnsi" w:hAnsiTheme="minorHAnsi"/>
          <w:sz w:val="21"/>
          <w:szCs w:val="21"/>
        </w:rPr>
        <w:t xml:space="preserve">      objednatel</w:t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="00FD68EE">
        <w:rPr>
          <w:rFonts w:asciiTheme="minorHAnsi" w:hAnsiTheme="minorHAnsi"/>
          <w:sz w:val="21"/>
          <w:szCs w:val="21"/>
        </w:rPr>
        <w:tab/>
        <w:t xml:space="preserve">         </w:t>
      </w:r>
      <w:r w:rsidR="00FD68EE">
        <w:rPr>
          <w:rFonts w:asciiTheme="minorHAnsi" w:hAnsiTheme="minorHAnsi"/>
          <w:sz w:val="21"/>
          <w:szCs w:val="21"/>
        </w:rPr>
        <w:tab/>
        <w:t xml:space="preserve"> </w:t>
      </w:r>
      <w:r w:rsidR="008E0447">
        <w:rPr>
          <w:rFonts w:asciiTheme="minorHAnsi" w:hAnsiTheme="minorHAnsi"/>
          <w:sz w:val="21"/>
          <w:szCs w:val="21"/>
        </w:rPr>
        <w:t>zhotovitel</w:t>
      </w:r>
    </w:p>
    <w:sectPr w:rsidR="00DB2B5A" w:rsidRPr="008E0447" w:rsidSect="00735D96">
      <w:headerReference w:type="default" r:id="rId8"/>
      <w:footerReference w:type="default" r:id="rId9"/>
      <w:pgSz w:w="11906" w:h="16838"/>
      <w:pgMar w:top="1843" w:right="991" w:bottom="1418" w:left="993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9B045" w14:textId="77777777" w:rsidR="002625C0" w:rsidRDefault="002625C0" w:rsidP="00FB039B">
      <w:r>
        <w:separator/>
      </w:r>
    </w:p>
  </w:endnote>
  <w:endnote w:type="continuationSeparator" w:id="0">
    <w:p w14:paraId="036A3B30" w14:textId="77777777" w:rsidR="002625C0" w:rsidRDefault="002625C0" w:rsidP="00FB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Plain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TimesNewRomanPS-BoldMT">
    <w:charset w:val="EE"/>
    <w:family w:val="auto"/>
    <w:pitch w:val="default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06EF" w14:textId="77777777" w:rsidR="008873BF" w:rsidRDefault="008873B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C3AD0" wp14:editId="0AD3A40F">
              <wp:simplePos x="0" y="0"/>
              <wp:positionH relativeFrom="leftMargin">
                <wp:posOffset>541020</wp:posOffset>
              </wp:positionH>
              <wp:positionV relativeFrom="page">
                <wp:posOffset>9890760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A863F" w14:textId="77777777" w:rsidR="008873BF" w:rsidRPr="008873BF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41D1F64" w14:textId="64FC12D2" w:rsidR="008873BF" w:rsidRDefault="008873BF" w:rsidP="008873BF">
                          <w:pPr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CB79CE" w:rsidRPr="00DB6543">
                              <w:rPr>
                                <w:rStyle w:val="Hypertextovodkaz"/>
                                <w:rFonts w:asciiTheme="majorHAnsi" w:hAnsiTheme="majorHAnsi" w:cs="Plain-Regular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</w:p>
                        <w:p w14:paraId="5C63246B" w14:textId="3A3E647E" w:rsidR="00CB79CE" w:rsidRPr="008873BF" w:rsidRDefault="00CB79CE" w:rsidP="008873BF">
                          <w:pP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CB79C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C3AD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.6pt;margin-top:778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" filled="f" stroked="f" strokeweight=".5pt">
              <v:textbox style="mso-fit-shape-to-text:t" inset="0,0,0,0">
                <w:txbxContent>
                  <w:p w14:paraId="759A863F" w14:textId="77777777" w:rsidR="008873BF" w:rsidRPr="008873BF" w:rsidRDefault="008873BF" w:rsidP="008873BF">
                    <w:pPr>
                      <w:autoSpaceDE w:val="0"/>
                      <w:autoSpaceDN w:val="0"/>
                      <w:adjustRightInd w:val="0"/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,</w:t>
                    </w: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.</w:t>
                    </w:r>
                  </w:p>
                  <w:p w14:paraId="441D1F64" w14:textId="64FC12D2" w:rsidR="008873BF" w:rsidRDefault="008873BF" w:rsidP="008873BF">
                    <w:pPr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Zelný trh 9, 602 00 Brno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CB79CE" w:rsidRPr="00DB6543">
                        <w:rPr>
                          <w:rStyle w:val="Hypertextovodkaz"/>
                          <w:rFonts w:asciiTheme="majorHAnsi" w:hAnsiTheme="majorHAnsi" w:cs="Plain-Regular"/>
                          <w:sz w:val="16"/>
                          <w:szCs w:val="16"/>
                        </w:rPr>
                        <w:t>www.ced-brno.cz</w:t>
                      </w:r>
                    </w:hyperlink>
                  </w:p>
                  <w:p w14:paraId="5C63246B" w14:textId="3A3E647E" w:rsidR="00CB79CE" w:rsidRPr="008873BF" w:rsidRDefault="00CB79CE" w:rsidP="008873BF">
                    <w:pPr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CB79CE">
                      <w:rPr>
                        <w:rFonts w:asciiTheme="majorHAnsi" w:hAnsiTheme="majorHAnsi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34578" w14:textId="77777777" w:rsidR="002625C0" w:rsidRDefault="002625C0" w:rsidP="00FB039B">
      <w:r>
        <w:separator/>
      </w:r>
    </w:p>
  </w:footnote>
  <w:footnote w:type="continuationSeparator" w:id="0">
    <w:p w14:paraId="7742FE10" w14:textId="77777777" w:rsidR="002625C0" w:rsidRDefault="002625C0" w:rsidP="00FB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5FAF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1D9C5" wp14:editId="6EFC1A5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588AF875" wp14:editId="666A88BA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492876"/>
    <w:multiLevelType w:val="multilevel"/>
    <w:tmpl w:val="E3C0CFF4"/>
    <w:styleLink w:val="WW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0875700"/>
    <w:multiLevelType w:val="multilevel"/>
    <w:tmpl w:val="B788846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4710187"/>
    <w:multiLevelType w:val="multilevel"/>
    <w:tmpl w:val="7250CE6C"/>
    <w:styleLink w:val="WWNum1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8" w15:restartNumberingAfterBreak="0">
    <w:nsid w:val="054E1E16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61878E0"/>
    <w:multiLevelType w:val="multilevel"/>
    <w:tmpl w:val="DBD6225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3392612"/>
    <w:multiLevelType w:val="multilevel"/>
    <w:tmpl w:val="5C3CF2B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E24B96"/>
    <w:multiLevelType w:val="multilevel"/>
    <w:tmpl w:val="03C60DC0"/>
    <w:styleLink w:val="WWNum2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CAB0D7F"/>
    <w:multiLevelType w:val="hybridMultilevel"/>
    <w:tmpl w:val="079E75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F0251C"/>
    <w:multiLevelType w:val="multilevel"/>
    <w:tmpl w:val="A2B6C8D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2ED0BF5"/>
    <w:multiLevelType w:val="hybridMultilevel"/>
    <w:tmpl w:val="C74AED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3731EFA"/>
    <w:multiLevelType w:val="multilevel"/>
    <w:tmpl w:val="370AF4F8"/>
    <w:styleLink w:val="WWNum28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 w15:restartNumberingAfterBreak="0">
    <w:nsid w:val="25E74521"/>
    <w:multiLevelType w:val="hybridMultilevel"/>
    <w:tmpl w:val="D7F682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F1877"/>
    <w:multiLevelType w:val="hybridMultilevel"/>
    <w:tmpl w:val="AB08D60C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2DF2618F"/>
    <w:multiLevelType w:val="multilevel"/>
    <w:tmpl w:val="E77C0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F7B2BBB"/>
    <w:multiLevelType w:val="multilevel"/>
    <w:tmpl w:val="B49EB74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FF62D1C"/>
    <w:multiLevelType w:val="multilevel"/>
    <w:tmpl w:val="76F656DE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317F0E0C"/>
    <w:multiLevelType w:val="hybridMultilevel"/>
    <w:tmpl w:val="3CC47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B63C4"/>
    <w:multiLevelType w:val="multilevel"/>
    <w:tmpl w:val="50C04CC0"/>
    <w:styleLink w:val="WWNum29"/>
    <w:lvl w:ilvl="0">
      <w:numFmt w:val="bullet"/>
      <w:lvlText w:val=""/>
      <w:lvlJc w:val="left"/>
      <w:pPr>
        <w:ind w:left="142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58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0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74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46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  <w:sz w:val="20"/>
      </w:rPr>
    </w:lvl>
  </w:abstractNum>
  <w:abstractNum w:abstractNumId="23" w15:restartNumberingAfterBreak="0">
    <w:nsid w:val="32D13626"/>
    <w:multiLevelType w:val="hybridMultilevel"/>
    <w:tmpl w:val="32B83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91DFD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8C32CA"/>
    <w:multiLevelType w:val="hybridMultilevel"/>
    <w:tmpl w:val="3490D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EA0021"/>
    <w:multiLevelType w:val="multilevel"/>
    <w:tmpl w:val="53462762"/>
    <w:styleLink w:val="WWNum3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 w15:restartNumberingAfterBreak="0">
    <w:nsid w:val="3EA90CFB"/>
    <w:multiLevelType w:val="hybridMultilevel"/>
    <w:tmpl w:val="7A6E2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93A20"/>
    <w:multiLevelType w:val="hybridMultilevel"/>
    <w:tmpl w:val="5DFC00E4"/>
    <w:lvl w:ilvl="0" w:tplc="727CA1C0">
      <w:start w:val="1"/>
      <w:numFmt w:val="decimal"/>
      <w:lvlText w:val="%1."/>
      <w:lvlJc w:val="left"/>
      <w:pPr>
        <w:ind w:left="44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3F9046BE"/>
    <w:multiLevelType w:val="hybridMultilevel"/>
    <w:tmpl w:val="9F6433E2"/>
    <w:lvl w:ilvl="0" w:tplc="BE06939E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610094F"/>
    <w:multiLevelType w:val="hybridMultilevel"/>
    <w:tmpl w:val="A9525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3C6DAE"/>
    <w:multiLevelType w:val="multilevel"/>
    <w:tmpl w:val="15CEBD8A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1E87D43"/>
    <w:multiLevelType w:val="multilevel"/>
    <w:tmpl w:val="84BEF61C"/>
    <w:styleLink w:val="WWNum27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3" w15:restartNumberingAfterBreak="0">
    <w:nsid w:val="569A0D0E"/>
    <w:multiLevelType w:val="hybridMultilevel"/>
    <w:tmpl w:val="E68A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75FCC"/>
    <w:multiLevelType w:val="multilevel"/>
    <w:tmpl w:val="AF42F8DA"/>
    <w:styleLink w:val="WWNum3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5" w15:restartNumberingAfterBreak="0">
    <w:nsid w:val="5CAE36DB"/>
    <w:multiLevelType w:val="multilevel"/>
    <w:tmpl w:val="4FDAC4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EF11751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0A7C38"/>
    <w:multiLevelType w:val="multilevel"/>
    <w:tmpl w:val="7512AD5A"/>
    <w:styleLink w:val="WWNum1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5F709F7"/>
    <w:multiLevelType w:val="multilevel"/>
    <w:tmpl w:val="EFB8E95C"/>
    <w:styleLink w:val="WWNum2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84D0E99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027C30"/>
    <w:multiLevelType w:val="multilevel"/>
    <w:tmpl w:val="280848B8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1" w15:restartNumberingAfterBreak="0">
    <w:nsid w:val="740D5CBF"/>
    <w:multiLevelType w:val="multilevel"/>
    <w:tmpl w:val="8F3A4A50"/>
    <w:styleLink w:val="WWNum25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2" w15:restartNumberingAfterBreak="0">
    <w:nsid w:val="756E5490"/>
    <w:multiLevelType w:val="multilevel"/>
    <w:tmpl w:val="B87AAC64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3" w15:restartNumberingAfterBreak="0">
    <w:nsid w:val="7CE40E9B"/>
    <w:multiLevelType w:val="hybridMultilevel"/>
    <w:tmpl w:val="F78EC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39"/>
  </w:num>
  <w:num w:numId="4">
    <w:abstractNumId w:val="16"/>
  </w:num>
  <w:num w:numId="5">
    <w:abstractNumId w:val="13"/>
  </w:num>
  <w:num w:numId="6">
    <w:abstractNumId w:val="5"/>
  </w:num>
  <w:num w:numId="7">
    <w:abstractNumId w:val="20"/>
  </w:num>
  <w:num w:numId="8">
    <w:abstractNumId w:val="40"/>
  </w:num>
  <w:num w:numId="9">
    <w:abstractNumId w:val="10"/>
  </w:num>
  <w:num w:numId="10">
    <w:abstractNumId w:val="42"/>
  </w:num>
  <w:num w:numId="11">
    <w:abstractNumId w:val="7"/>
  </w:num>
  <w:num w:numId="12">
    <w:abstractNumId w:val="31"/>
  </w:num>
  <w:num w:numId="13">
    <w:abstractNumId w:val="37"/>
  </w:num>
  <w:num w:numId="14">
    <w:abstractNumId w:val="6"/>
  </w:num>
  <w:num w:numId="15">
    <w:abstractNumId w:val="38"/>
  </w:num>
  <w:num w:numId="16">
    <w:abstractNumId w:val="11"/>
  </w:num>
  <w:num w:numId="17">
    <w:abstractNumId w:val="41"/>
  </w:num>
  <w:num w:numId="18">
    <w:abstractNumId w:val="19"/>
  </w:num>
  <w:num w:numId="19">
    <w:abstractNumId w:val="32"/>
  </w:num>
  <w:num w:numId="20">
    <w:abstractNumId w:val="15"/>
  </w:num>
  <w:num w:numId="21">
    <w:abstractNumId w:val="22"/>
  </w:num>
  <w:num w:numId="22">
    <w:abstractNumId w:val="9"/>
  </w:num>
  <w:num w:numId="23">
    <w:abstractNumId w:val="34"/>
  </w:num>
  <w:num w:numId="24">
    <w:abstractNumId w:val="26"/>
  </w:num>
  <w:num w:numId="25">
    <w:abstractNumId w:val="12"/>
  </w:num>
  <w:num w:numId="26">
    <w:abstractNumId w:val="30"/>
  </w:num>
  <w:num w:numId="27">
    <w:abstractNumId w:val="25"/>
  </w:num>
  <w:num w:numId="28">
    <w:abstractNumId w:val="8"/>
  </w:num>
  <w:num w:numId="29">
    <w:abstractNumId w:val="36"/>
  </w:num>
  <w:num w:numId="30">
    <w:abstractNumId w:val="24"/>
  </w:num>
  <w:num w:numId="31">
    <w:abstractNumId w:val="18"/>
  </w:num>
  <w:num w:numId="32">
    <w:abstractNumId w:val="35"/>
  </w:num>
  <w:num w:numId="33">
    <w:abstractNumId w:val="14"/>
  </w:num>
  <w:num w:numId="34">
    <w:abstractNumId w:val="43"/>
  </w:num>
  <w:num w:numId="35">
    <w:abstractNumId w:val="29"/>
  </w:num>
  <w:num w:numId="36">
    <w:abstractNumId w:val="0"/>
  </w:num>
  <w:num w:numId="37">
    <w:abstractNumId w:val="2"/>
  </w:num>
  <w:num w:numId="38">
    <w:abstractNumId w:val="3"/>
  </w:num>
  <w:num w:numId="39">
    <w:abstractNumId w:val="4"/>
  </w:num>
  <w:num w:numId="40">
    <w:abstractNumId w:val="33"/>
  </w:num>
  <w:num w:numId="41">
    <w:abstractNumId w:val="23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8"/>
    <w:rsid w:val="000409BC"/>
    <w:rsid w:val="000A62B5"/>
    <w:rsid w:val="000B7A95"/>
    <w:rsid w:val="000D3042"/>
    <w:rsid w:val="000F4892"/>
    <w:rsid w:val="00166FBE"/>
    <w:rsid w:val="00193F3C"/>
    <w:rsid w:val="001C13B1"/>
    <w:rsid w:val="001C513F"/>
    <w:rsid w:val="00207033"/>
    <w:rsid w:val="00240939"/>
    <w:rsid w:val="002625C0"/>
    <w:rsid w:val="00277E96"/>
    <w:rsid w:val="0028046C"/>
    <w:rsid w:val="002E1BCA"/>
    <w:rsid w:val="002E2D67"/>
    <w:rsid w:val="002F7936"/>
    <w:rsid w:val="003022F3"/>
    <w:rsid w:val="00305D96"/>
    <w:rsid w:val="00311C96"/>
    <w:rsid w:val="00384237"/>
    <w:rsid w:val="00391576"/>
    <w:rsid w:val="003E2BA2"/>
    <w:rsid w:val="003E2F47"/>
    <w:rsid w:val="00407CEE"/>
    <w:rsid w:val="00443513"/>
    <w:rsid w:val="00467BB2"/>
    <w:rsid w:val="005058BB"/>
    <w:rsid w:val="00531E53"/>
    <w:rsid w:val="00537504"/>
    <w:rsid w:val="005448A7"/>
    <w:rsid w:val="00562B83"/>
    <w:rsid w:val="00564C5C"/>
    <w:rsid w:val="00567249"/>
    <w:rsid w:val="0057469C"/>
    <w:rsid w:val="005A1801"/>
    <w:rsid w:val="005A5EDE"/>
    <w:rsid w:val="005E4EE7"/>
    <w:rsid w:val="0060793B"/>
    <w:rsid w:val="00646D75"/>
    <w:rsid w:val="00681442"/>
    <w:rsid w:val="0068464A"/>
    <w:rsid w:val="006A310A"/>
    <w:rsid w:val="006C07EE"/>
    <w:rsid w:val="006C364F"/>
    <w:rsid w:val="006E1BB8"/>
    <w:rsid w:val="006F525E"/>
    <w:rsid w:val="007268E7"/>
    <w:rsid w:val="00735D96"/>
    <w:rsid w:val="007374BA"/>
    <w:rsid w:val="007647D8"/>
    <w:rsid w:val="007A2D38"/>
    <w:rsid w:val="007B301F"/>
    <w:rsid w:val="007B41D4"/>
    <w:rsid w:val="007B6127"/>
    <w:rsid w:val="007F1A92"/>
    <w:rsid w:val="00810C45"/>
    <w:rsid w:val="008123CE"/>
    <w:rsid w:val="00820770"/>
    <w:rsid w:val="008213E0"/>
    <w:rsid w:val="00841452"/>
    <w:rsid w:val="008516EC"/>
    <w:rsid w:val="008873BF"/>
    <w:rsid w:val="008A2897"/>
    <w:rsid w:val="008D3D52"/>
    <w:rsid w:val="008E0447"/>
    <w:rsid w:val="008F64DC"/>
    <w:rsid w:val="009155BA"/>
    <w:rsid w:val="00936B8A"/>
    <w:rsid w:val="00981988"/>
    <w:rsid w:val="009961E9"/>
    <w:rsid w:val="009A0A0E"/>
    <w:rsid w:val="009B7070"/>
    <w:rsid w:val="009F309A"/>
    <w:rsid w:val="00A12EB2"/>
    <w:rsid w:val="00A256BE"/>
    <w:rsid w:val="00AA7480"/>
    <w:rsid w:val="00AB26DB"/>
    <w:rsid w:val="00B3246D"/>
    <w:rsid w:val="00B36255"/>
    <w:rsid w:val="00B52530"/>
    <w:rsid w:val="00B53A4D"/>
    <w:rsid w:val="00B85A86"/>
    <w:rsid w:val="00BA6227"/>
    <w:rsid w:val="00BD0AEE"/>
    <w:rsid w:val="00BF14DA"/>
    <w:rsid w:val="00BF3097"/>
    <w:rsid w:val="00C16796"/>
    <w:rsid w:val="00C41991"/>
    <w:rsid w:val="00C54754"/>
    <w:rsid w:val="00C5682E"/>
    <w:rsid w:val="00C57A21"/>
    <w:rsid w:val="00C61BB3"/>
    <w:rsid w:val="00C715FD"/>
    <w:rsid w:val="00C824B0"/>
    <w:rsid w:val="00C866FD"/>
    <w:rsid w:val="00CB79CE"/>
    <w:rsid w:val="00CE0650"/>
    <w:rsid w:val="00D23B45"/>
    <w:rsid w:val="00D62A85"/>
    <w:rsid w:val="00D91E62"/>
    <w:rsid w:val="00D93A42"/>
    <w:rsid w:val="00DB2B5A"/>
    <w:rsid w:val="00DC3893"/>
    <w:rsid w:val="00DF2F2D"/>
    <w:rsid w:val="00E01C6E"/>
    <w:rsid w:val="00E14468"/>
    <w:rsid w:val="00E501F6"/>
    <w:rsid w:val="00EB63B0"/>
    <w:rsid w:val="00EF4E9A"/>
    <w:rsid w:val="00F626EB"/>
    <w:rsid w:val="00F76CC3"/>
    <w:rsid w:val="00F77DE3"/>
    <w:rsid w:val="00FA5794"/>
    <w:rsid w:val="00FB039B"/>
    <w:rsid w:val="00FD5A1E"/>
    <w:rsid w:val="00FD68E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9F28"/>
  <w15:chartTrackingRefBased/>
  <w15:docId w15:val="{9B58065E-AE40-4CDC-802E-53A33B4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7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54754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C5475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384237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DB2B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B2B5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443513"/>
    <w:pPr>
      <w:jc w:val="both"/>
    </w:pPr>
    <w:rPr>
      <w:rFonts w:ascii="Arial" w:hAnsi="Arial" w:cs="Arial"/>
      <w:b/>
      <w:bCs/>
      <w:color w:val="000000"/>
      <w:kern w:val="0"/>
      <w:sz w:val="22"/>
      <w:u w:val="single"/>
      <w:lang w:eastAsia="en-US" w:bidi="en-US"/>
    </w:rPr>
  </w:style>
  <w:style w:type="paragraph" w:customStyle="1" w:styleId="Zkladntext21">
    <w:name w:val="Základní text 21"/>
    <w:basedOn w:val="Normln"/>
    <w:rsid w:val="00443513"/>
    <w:pPr>
      <w:jc w:val="both"/>
    </w:pPr>
    <w:rPr>
      <w:rFonts w:cs="Tahoma"/>
      <w:color w:val="000000"/>
      <w:kern w:val="0"/>
      <w:lang w:eastAsia="en-US" w:bidi="en-US"/>
    </w:rPr>
  </w:style>
  <w:style w:type="paragraph" w:customStyle="1" w:styleId="Zkladntext0">
    <w:name w:val="Základní text~"/>
    <w:rsid w:val="0044351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6A3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numbering" w:customStyle="1" w:styleId="WWNum1">
    <w:name w:val="WWNum1"/>
    <w:basedOn w:val="Bezseznamu"/>
    <w:rsid w:val="00B52530"/>
    <w:pPr>
      <w:numPr>
        <w:numId w:val="5"/>
      </w:numPr>
    </w:pPr>
  </w:style>
  <w:style w:type="numbering" w:customStyle="1" w:styleId="WWNum6">
    <w:name w:val="WWNum6"/>
    <w:basedOn w:val="Bezseznamu"/>
    <w:rsid w:val="00B52530"/>
    <w:pPr>
      <w:numPr>
        <w:numId w:val="6"/>
      </w:numPr>
    </w:pPr>
  </w:style>
  <w:style w:type="numbering" w:customStyle="1" w:styleId="WWNum7">
    <w:name w:val="WWNum7"/>
    <w:basedOn w:val="Bezseznamu"/>
    <w:rsid w:val="00B52530"/>
    <w:pPr>
      <w:numPr>
        <w:numId w:val="7"/>
      </w:numPr>
    </w:pPr>
  </w:style>
  <w:style w:type="numbering" w:customStyle="1" w:styleId="WWNum9">
    <w:name w:val="WWNum9"/>
    <w:basedOn w:val="Bezseznamu"/>
    <w:rsid w:val="00B52530"/>
    <w:pPr>
      <w:numPr>
        <w:numId w:val="8"/>
      </w:numPr>
    </w:pPr>
  </w:style>
  <w:style w:type="numbering" w:customStyle="1" w:styleId="WWNum10">
    <w:name w:val="WWNum10"/>
    <w:basedOn w:val="Bezseznamu"/>
    <w:rsid w:val="00B52530"/>
    <w:pPr>
      <w:numPr>
        <w:numId w:val="9"/>
      </w:numPr>
    </w:pPr>
  </w:style>
  <w:style w:type="numbering" w:customStyle="1" w:styleId="WWNum11">
    <w:name w:val="WWNum11"/>
    <w:basedOn w:val="Bezseznamu"/>
    <w:rsid w:val="00B52530"/>
    <w:pPr>
      <w:numPr>
        <w:numId w:val="10"/>
      </w:numPr>
    </w:pPr>
  </w:style>
  <w:style w:type="numbering" w:customStyle="1" w:styleId="WWNum15">
    <w:name w:val="WWNum15"/>
    <w:basedOn w:val="Bezseznamu"/>
    <w:rsid w:val="00B52530"/>
    <w:pPr>
      <w:numPr>
        <w:numId w:val="11"/>
      </w:numPr>
    </w:pPr>
  </w:style>
  <w:style w:type="numbering" w:customStyle="1" w:styleId="WWNum17">
    <w:name w:val="WWNum17"/>
    <w:basedOn w:val="Bezseznamu"/>
    <w:rsid w:val="00B52530"/>
    <w:pPr>
      <w:numPr>
        <w:numId w:val="12"/>
      </w:numPr>
    </w:pPr>
  </w:style>
  <w:style w:type="numbering" w:customStyle="1" w:styleId="WWNum19">
    <w:name w:val="WWNum19"/>
    <w:basedOn w:val="Bezseznamu"/>
    <w:rsid w:val="00B52530"/>
    <w:pPr>
      <w:numPr>
        <w:numId w:val="13"/>
      </w:numPr>
    </w:pPr>
  </w:style>
  <w:style w:type="numbering" w:customStyle="1" w:styleId="WWNum20">
    <w:name w:val="WWNum20"/>
    <w:basedOn w:val="Bezseznamu"/>
    <w:rsid w:val="00B52530"/>
    <w:pPr>
      <w:numPr>
        <w:numId w:val="14"/>
      </w:numPr>
    </w:pPr>
  </w:style>
  <w:style w:type="numbering" w:customStyle="1" w:styleId="WWNum22">
    <w:name w:val="WWNum22"/>
    <w:basedOn w:val="Bezseznamu"/>
    <w:rsid w:val="00B52530"/>
    <w:pPr>
      <w:numPr>
        <w:numId w:val="15"/>
      </w:numPr>
    </w:pPr>
  </w:style>
  <w:style w:type="numbering" w:customStyle="1" w:styleId="WWNum24">
    <w:name w:val="WWNum24"/>
    <w:basedOn w:val="Bezseznamu"/>
    <w:rsid w:val="00B52530"/>
    <w:pPr>
      <w:numPr>
        <w:numId w:val="16"/>
      </w:numPr>
    </w:pPr>
  </w:style>
  <w:style w:type="numbering" w:customStyle="1" w:styleId="WWNum25">
    <w:name w:val="WWNum25"/>
    <w:basedOn w:val="Bezseznamu"/>
    <w:rsid w:val="00B52530"/>
    <w:pPr>
      <w:numPr>
        <w:numId w:val="17"/>
      </w:numPr>
    </w:pPr>
  </w:style>
  <w:style w:type="numbering" w:customStyle="1" w:styleId="WWNum26">
    <w:name w:val="WWNum26"/>
    <w:basedOn w:val="Bezseznamu"/>
    <w:rsid w:val="00B52530"/>
    <w:pPr>
      <w:numPr>
        <w:numId w:val="18"/>
      </w:numPr>
    </w:pPr>
  </w:style>
  <w:style w:type="numbering" w:customStyle="1" w:styleId="WWNum27">
    <w:name w:val="WWNum27"/>
    <w:basedOn w:val="Bezseznamu"/>
    <w:rsid w:val="00B52530"/>
    <w:pPr>
      <w:numPr>
        <w:numId w:val="19"/>
      </w:numPr>
    </w:pPr>
  </w:style>
  <w:style w:type="numbering" w:customStyle="1" w:styleId="WWNum28">
    <w:name w:val="WWNum28"/>
    <w:basedOn w:val="Bezseznamu"/>
    <w:rsid w:val="00B52530"/>
    <w:pPr>
      <w:numPr>
        <w:numId w:val="20"/>
      </w:numPr>
    </w:pPr>
  </w:style>
  <w:style w:type="numbering" w:customStyle="1" w:styleId="WWNum29">
    <w:name w:val="WWNum29"/>
    <w:basedOn w:val="Bezseznamu"/>
    <w:rsid w:val="00B52530"/>
    <w:pPr>
      <w:numPr>
        <w:numId w:val="21"/>
      </w:numPr>
    </w:pPr>
  </w:style>
  <w:style w:type="numbering" w:customStyle="1" w:styleId="WWNum33">
    <w:name w:val="WWNum33"/>
    <w:basedOn w:val="Bezseznamu"/>
    <w:rsid w:val="00B52530"/>
    <w:pPr>
      <w:numPr>
        <w:numId w:val="22"/>
      </w:numPr>
    </w:pPr>
  </w:style>
  <w:style w:type="numbering" w:customStyle="1" w:styleId="WWNum34">
    <w:name w:val="WWNum34"/>
    <w:basedOn w:val="Bezseznamu"/>
    <w:rsid w:val="00B52530"/>
    <w:pPr>
      <w:numPr>
        <w:numId w:val="23"/>
      </w:numPr>
    </w:pPr>
  </w:style>
  <w:style w:type="numbering" w:customStyle="1" w:styleId="WWNum35">
    <w:name w:val="WWNum35"/>
    <w:basedOn w:val="Bezseznamu"/>
    <w:rsid w:val="00B52530"/>
    <w:pPr>
      <w:numPr>
        <w:numId w:val="24"/>
      </w:numPr>
    </w:pPr>
  </w:style>
  <w:style w:type="paragraph" w:styleId="Normlnweb">
    <w:name w:val="Normal (Web)"/>
    <w:basedOn w:val="Normln"/>
    <w:rsid w:val="007B6127"/>
    <w:pPr>
      <w:spacing w:before="280" w:after="28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uditor\Dokumenty\Formul&#225;&#345;e\hlavickove%20papiry%202020\ced-dopis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3">
      <a:majorFont>
        <a:latin typeface="Plain"/>
        <a:ea typeface=""/>
        <a:cs typeface=""/>
      </a:majorFont>
      <a:minorFont>
        <a:latin typeface="Plai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642C-A668-461B-86F6-D832FC20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ced-dopis.dotx</Template>
  <TotalTime>2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Petr</dc:creator>
  <cp:keywords/>
  <dc:description/>
  <cp:lastModifiedBy>Ondřej Petr</cp:lastModifiedBy>
  <cp:revision>3</cp:revision>
  <cp:lastPrinted>2020-02-11T14:10:00Z</cp:lastPrinted>
  <dcterms:created xsi:type="dcterms:W3CDTF">2020-12-16T17:06:00Z</dcterms:created>
  <dcterms:modified xsi:type="dcterms:W3CDTF">2020-12-16T17:07:00Z</dcterms:modified>
</cp:coreProperties>
</file>