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07B8" w14:textId="77777777" w:rsidR="00382C1F" w:rsidRDefault="00D915B0">
      <w:pPr>
        <w:pStyle w:val="Style4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Dodatek č. 1</w:t>
      </w:r>
      <w:bookmarkEnd w:id="0"/>
      <w:bookmarkEnd w:id="1"/>
      <w:bookmarkEnd w:id="2"/>
    </w:p>
    <w:p w14:paraId="72790697" w14:textId="77777777" w:rsidR="00382C1F" w:rsidRDefault="00D915B0">
      <w:pPr>
        <w:pStyle w:val="Style2"/>
        <w:shd w:val="clear" w:color="auto" w:fill="auto"/>
        <w:spacing w:after="940" w:line="240" w:lineRule="auto"/>
        <w:jc w:val="center"/>
      </w:pPr>
      <w:r>
        <w:t>ke Smlouvě č.190976</w:t>
      </w:r>
    </w:p>
    <w:p w14:paraId="27FECC83" w14:textId="77777777" w:rsidR="00382C1F" w:rsidRDefault="00D915B0">
      <w:pPr>
        <w:pStyle w:val="Style6"/>
        <w:keepNext/>
        <w:keepLines/>
        <w:shd w:val="clear" w:color="auto" w:fill="auto"/>
        <w:spacing w:line="317" w:lineRule="auto"/>
      </w:pPr>
      <w:bookmarkStart w:id="3" w:name="bookmark3"/>
      <w:bookmarkStart w:id="4" w:name="bookmark4"/>
      <w:bookmarkStart w:id="5" w:name="bookmark5"/>
      <w:r>
        <w:t>Národní muzeum</w:t>
      </w:r>
      <w:bookmarkEnd w:id="3"/>
      <w:bookmarkEnd w:id="4"/>
      <w:bookmarkEnd w:id="5"/>
    </w:p>
    <w:p w14:paraId="74F88897" w14:textId="77777777" w:rsidR="00382C1F" w:rsidRDefault="00D915B0">
      <w:pPr>
        <w:pStyle w:val="Style2"/>
        <w:shd w:val="clear" w:color="auto" w:fill="auto"/>
        <w:spacing w:line="317" w:lineRule="auto"/>
      </w:pPr>
      <w:r>
        <w:t>se sídlem Václavské náměstí 68, Praha 1 PSČ: 115 79</w:t>
      </w:r>
    </w:p>
    <w:p w14:paraId="7D9D023C" w14:textId="77777777" w:rsidR="00382C1F" w:rsidRDefault="00D915B0">
      <w:pPr>
        <w:pStyle w:val="Style2"/>
        <w:shd w:val="clear" w:color="auto" w:fill="auto"/>
        <w:spacing w:line="317" w:lineRule="auto"/>
      </w:pPr>
      <w:r>
        <w:t>IČ: 00023272, DIČ: CZ00023272</w:t>
      </w:r>
    </w:p>
    <w:p w14:paraId="0B6BC1E5" w14:textId="77777777" w:rsidR="00382C1F" w:rsidRDefault="00D915B0">
      <w:pPr>
        <w:pStyle w:val="Style2"/>
        <w:shd w:val="clear" w:color="auto" w:fill="auto"/>
        <w:spacing w:line="317" w:lineRule="auto"/>
      </w:pPr>
      <w:r>
        <w:t>Příspěvková organizace nepodléhající zápisu do obchodního rejstříku, zřizovací listina MK ČR</w:t>
      </w:r>
    </w:p>
    <w:p w14:paraId="3FFA18AD" w14:textId="77777777" w:rsidR="00382C1F" w:rsidRDefault="00D915B0">
      <w:pPr>
        <w:pStyle w:val="Style2"/>
        <w:shd w:val="clear" w:color="auto" w:fill="auto"/>
        <w:spacing w:line="317" w:lineRule="auto"/>
      </w:pPr>
      <w:r>
        <w:t xml:space="preserve">č.j. 17461/2000 ze dne </w:t>
      </w:r>
      <w:r>
        <w:t>27.12.2000</w:t>
      </w:r>
    </w:p>
    <w:p w14:paraId="78917E4F" w14:textId="77777777" w:rsidR="00382C1F" w:rsidRDefault="00D915B0">
      <w:pPr>
        <w:pStyle w:val="Style2"/>
        <w:shd w:val="clear" w:color="auto" w:fill="auto"/>
        <w:spacing w:line="317" w:lineRule="auto"/>
      </w:pPr>
      <w:r>
        <w:t>IČ: 00023272, DIČ: CZ00023272</w:t>
      </w:r>
    </w:p>
    <w:p w14:paraId="00A79843" w14:textId="77777777" w:rsidR="00382C1F" w:rsidRDefault="00D915B0">
      <w:pPr>
        <w:pStyle w:val="Style2"/>
        <w:shd w:val="clear" w:color="auto" w:fill="auto"/>
        <w:spacing w:after="280" w:line="317" w:lineRule="auto"/>
      </w:pPr>
      <w:r>
        <w:t>zastoupená: Ing. Martinem Součkem, Ph.D., ředitelem Odboru digitalizace a informačních systémů</w:t>
      </w:r>
    </w:p>
    <w:p w14:paraId="3888E3AF" w14:textId="77777777" w:rsidR="00382C1F" w:rsidRDefault="00D915B0">
      <w:pPr>
        <w:pStyle w:val="Style2"/>
        <w:shd w:val="clear" w:color="auto" w:fill="auto"/>
        <w:spacing w:after="280" w:line="317" w:lineRule="auto"/>
      </w:pPr>
      <w:r>
        <w:t>a</w:t>
      </w:r>
    </w:p>
    <w:p w14:paraId="769383E5" w14:textId="77777777" w:rsidR="00382C1F" w:rsidRDefault="00D915B0">
      <w:pPr>
        <w:pStyle w:val="Style6"/>
        <w:keepNext/>
        <w:keepLines/>
        <w:shd w:val="clear" w:color="auto" w:fill="auto"/>
        <w:spacing w:line="317" w:lineRule="auto"/>
      </w:pPr>
      <w:bookmarkStart w:id="6" w:name="bookmark6"/>
      <w:bookmarkStart w:id="7" w:name="bookmark7"/>
      <w:bookmarkStart w:id="8" w:name="bookmark8"/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>, s.r.o.</w:t>
      </w:r>
      <w:bookmarkEnd w:id="6"/>
      <w:bookmarkEnd w:id="7"/>
      <w:bookmarkEnd w:id="8"/>
    </w:p>
    <w:p w14:paraId="1437CCE6" w14:textId="77777777" w:rsidR="00382C1F" w:rsidRDefault="00D915B0">
      <w:pPr>
        <w:pStyle w:val="Style2"/>
        <w:shd w:val="clear" w:color="auto" w:fill="auto"/>
        <w:spacing w:line="317" w:lineRule="auto"/>
      </w:pPr>
      <w:r>
        <w:t>se sídlem Radlická 3301/68,150 00 Praha 5</w:t>
      </w:r>
    </w:p>
    <w:p w14:paraId="3BBC4BD4" w14:textId="77777777" w:rsidR="00382C1F" w:rsidRDefault="00D915B0">
      <w:pPr>
        <w:pStyle w:val="Style2"/>
        <w:shd w:val="clear" w:color="auto" w:fill="auto"/>
        <w:spacing w:line="317" w:lineRule="auto"/>
      </w:pPr>
      <w:r>
        <w:t>IČ:26480981, DIČ: CZ26480981</w:t>
      </w:r>
    </w:p>
    <w:p w14:paraId="41B5C74D" w14:textId="77777777" w:rsidR="00382C1F" w:rsidRDefault="00D915B0">
      <w:pPr>
        <w:pStyle w:val="Style2"/>
        <w:shd w:val="clear" w:color="auto" w:fill="auto"/>
        <w:spacing w:line="317" w:lineRule="auto"/>
      </w:pPr>
      <w:r>
        <w:t>Zapsána u Městského soud</w:t>
      </w:r>
      <w:r>
        <w:t>u v Praze, oddíl C, vložka 84989</w:t>
      </w:r>
    </w:p>
    <w:p w14:paraId="75ABB328" w14:textId="77777777" w:rsidR="00382C1F" w:rsidRDefault="00D915B0">
      <w:pPr>
        <w:pStyle w:val="Style2"/>
        <w:shd w:val="clear" w:color="auto" w:fill="auto"/>
        <w:spacing w:after="560" w:line="317" w:lineRule="auto"/>
      </w:pPr>
      <w:r>
        <w:t>Zastoupená: Ing. Petrem Novotným, jednatelem</w:t>
      </w:r>
    </w:p>
    <w:p w14:paraId="5704EBBB" w14:textId="77777777" w:rsidR="00382C1F" w:rsidRDefault="00D915B0">
      <w:pPr>
        <w:pStyle w:val="Style6"/>
        <w:keepNext/>
        <w:keepLines/>
        <w:shd w:val="clear" w:color="auto" w:fill="auto"/>
        <w:jc w:val="center"/>
      </w:pPr>
      <w:bookmarkStart w:id="9" w:name="bookmark10"/>
      <w:bookmarkStart w:id="10" w:name="bookmark11"/>
      <w:bookmarkStart w:id="11" w:name="bookmark9"/>
      <w:r>
        <w:t>I.</w:t>
      </w:r>
      <w:bookmarkEnd w:id="9"/>
      <w:bookmarkEnd w:id="10"/>
      <w:bookmarkEnd w:id="11"/>
    </w:p>
    <w:p w14:paraId="72D45BD8" w14:textId="77777777" w:rsidR="00382C1F" w:rsidRDefault="00D915B0">
      <w:pPr>
        <w:pStyle w:val="Style2"/>
        <w:shd w:val="clear" w:color="auto" w:fill="auto"/>
        <w:jc w:val="both"/>
      </w:pPr>
      <w:r>
        <w:t xml:space="preserve">Shora jmenované smluvní strany uzavřely dne 16.9.2019 Smlouva o poskytnutí a provozování pokladního vstupenkového systému včetně souvisejících služeb (dále jen </w:t>
      </w:r>
      <w:r>
        <w:t>Smlouva).</w:t>
      </w:r>
    </w:p>
    <w:p w14:paraId="57D4516C" w14:textId="77777777" w:rsidR="00382C1F" w:rsidRDefault="00D915B0">
      <w:pPr>
        <w:pStyle w:val="Style2"/>
        <w:shd w:val="clear" w:color="auto" w:fill="auto"/>
        <w:spacing w:after="560"/>
        <w:jc w:val="both"/>
      </w:pPr>
      <w:r>
        <w:t>S ohledem na občanský zákoník se smluvní strany dohodly na následující změně Smlouvy takto:</w:t>
      </w:r>
    </w:p>
    <w:p w14:paraId="07448211" w14:textId="77777777" w:rsidR="00382C1F" w:rsidRDefault="00D915B0">
      <w:pPr>
        <w:pStyle w:val="Style6"/>
        <w:keepNext/>
        <w:keepLines/>
        <w:shd w:val="clear" w:color="auto" w:fill="auto"/>
        <w:jc w:val="center"/>
      </w:pPr>
      <w:bookmarkStart w:id="12" w:name="bookmark12"/>
      <w:bookmarkStart w:id="13" w:name="bookmark13"/>
      <w:bookmarkStart w:id="14" w:name="bookmark14"/>
      <w:r>
        <w:t>II.</w:t>
      </w:r>
      <w:bookmarkEnd w:id="12"/>
      <w:bookmarkEnd w:id="13"/>
      <w:bookmarkEnd w:id="14"/>
    </w:p>
    <w:p w14:paraId="6A3E73E1" w14:textId="77777777" w:rsidR="00382C1F" w:rsidRDefault="00D915B0">
      <w:pPr>
        <w:pStyle w:val="Style2"/>
        <w:shd w:val="clear" w:color="auto" w:fill="auto"/>
      </w:pPr>
      <w:r>
        <w:rPr>
          <w:u w:val="single"/>
        </w:rPr>
        <w:t>Ustanovení čl. II. Smlouvy: rozšíření předmětu plnění:</w:t>
      </w:r>
    </w:p>
    <w:p w14:paraId="78F0774B" w14:textId="77777777" w:rsidR="00382C1F" w:rsidRDefault="00D915B0">
      <w:pPr>
        <w:pStyle w:val="Style6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15" w:name="bookmark15"/>
      <w:bookmarkStart w:id="16" w:name="bookmark16"/>
      <w:bookmarkStart w:id="17" w:name="bookmark17"/>
      <w:r>
        <w:t>Přenosy dat do ekonomického systému</w:t>
      </w:r>
      <w:bookmarkEnd w:id="15"/>
      <w:bookmarkEnd w:id="16"/>
      <w:bookmarkEnd w:id="17"/>
    </w:p>
    <w:p w14:paraId="3C1D826A" w14:textId="77777777" w:rsidR="00382C1F" w:rsidRDefault="00D915B0">
      <w:pPr>
        <w:pStyle w:val="Style2"/>
        <w:shd w:val="clear" w:color="auto" w:fill="auto"/>
        <w:jc w:val="both"/>
      </w:pPr>
      <w:r>
        <w:t xml:space="preserve">Jde o podporu dodavatele ekonomického systému </w:t>
      </w:r>
      <w:r>
        <w:rPr>
          <w:lang w:val="en-US" w:eastAsia="en-US" w:bidi="en-US"/>
        </w:rPr>
        <w:t xml:space="preserve">Helios Green </w:t>
      </w:r>
      <w:r>
        <w:t xml:space="preserve">zejména v souvislosti s přechodem na vystavování faktur za vstupné z RS </w:t>
      </w:r>
      <w:r>
        <w:rPr>
          <w:lang w:val="en-US" w:eastAsia="en-US" w:bidi="en-US"/>
        </w:rPr>
        <w:t xml:space="preserve">Colosseum </w:t>
      </w:r>
      <w:r>
        <w:t xml:space="preserve">a se zprovozněním </w:t>
      </w:r>
      <w:proofErr w:type="spellStart"/>
      <w:proofErr w:type="gramStart"/>
      <w:r>
        <w:t>eShopu</w:t>
      </w:r>
      <w:proofErr w:type="spellEnd"/>
      <w:proofErr w:type="gramEnd"/>
      <w:r>
        <w:t xml:space="preserve"> na stránkách Objednatele.</w:t>
      </w:r>
    </w:p>
    <w:p w14:paraId="5320F43F" w14:textId="77777777" w:rsidR="00382C1F" w:rsidRDefault="00D915B0">
      <w:pPr>
        <w:pStyle w:val="Style2"/>
        <w:shd w:val="clear" w:color="auto" w:fill="auto"/>
      </w:pPr>
      <w:r>
        <w:rPr>
          <w:u w:val="single"/>
        </w:rPr>
        <w:t>Půjde zejména o:</w:t>
      </w:r>
    </w:p>
    <w:p w14:paraId="324709A0" w14:textId="77777777" w:rsidR="00382C1F" w:rsidRDefault="00D915B0">
      <w:pPr>
        <w:pStyle w:val="Style2"/>
        <w:shd w:val="clear" w:color="auto" w:fill="auto"/>
        <w:ind w:left="740"/>
        <w:jc w:val="both"/>
      </w:pPr>
      <w:r>
        <w:t xml:space="preserve">Podporu dodavatele při rozšíření importu dat z </w:t>
      </w:r>
      <w:proofErr w:type="spellStart"/>
      <w:r>
        <w:t>Colossea</w:t>
      </w:r>
      <w:proofErr w:type="spellEnd"/>
      <w:r>
        <w:t xml:space="preserve"> na straně ekonomického </w:t>
      </w:r>
      <w:r>
        <w:t>s</w:t>
      </w:r>
      <w:r>
        <w:t>y</w:t>
      </w:r>
      <w:r>
        <w:t>stému o vystavené faktury</w:t>
      </w:r>
    </w:p>
    <w:p w14:paraId="6A4918D0" w14:textId="77777777" w:rsidR="00382C1F" w:rsidRDefault="00D915B0">
      <w:pPr>
        <w:pStyle w:val="Style2"/>
        <w:shd w:val="clear" w:color="auto" w:fill="auto"/>
        <w:spacing w:after="280"/>
        <w:ind w:left="740"/>
        <w:jc w:val="both"/>
      </w:pPr>
      <w:r>
        <w:t>Podporu dodavatele při přenosech dat z internetového obchodu Objednatele Součinnost při vyrovnávání rozdílů v přenosech</w:t>
      </w:r>
    </w:p>
    <w:p w14:paraId="1149CDAA" w14:textId="77777777" w:rsidR="00382C1F" w:rsidRDefault="00D915B0">
      <w:pPr>
        <w:pStyle w:val="Style6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02" w:lineRule="auto"/>
      </w:pPr>
      <w:bookmarkStart w:id="18" w:name="bookmark18"/>
      <w:bookmarkStart w:id="19" w:name="bookmark19"/>
      <w:bookmarkStart w:id="20" w:name="bookmark20"/>
      <w:r>
        <w:t xml:space="preserve">Propojení RS </w:t>
      </w:r>
      <w:r>
        <w:rPr>
          <w:lang w:val="en-US" w:eastAsia="en-US" w:bidi="en-US"/>
        </w:rPr>
        <w:t xml:space="preserve">Colosseum </w:t>
      </w:r>
      <w:r>
        <w:t>s mobilní aplikací Objednatele</w:t>
      </w:r>
      <w:bookmarkEnd w:id="18"/>
      <w:bookmarkEnd w:id="19"/>
      <w:bookmarkEnd w:id="20"/>
    </w:p>
    <w:p w14:paraId="5763AE06" w14:textId="77777777" w:rsidR="00382C1F" w:rsidRDefault="00D915B0">
      <w:pPr>
        <w:pStyle w:val="Style2"/>
        <w:shd w:val="clear" w:color="auto" w:fill="auto"/>
        <w:spacing w:line="302" w:lineRule="auto"/>
        <w:jc w:val="both"/>
      </w:pPr>
      <w:r>
        <w:t>V rámci propojení vstupenkového systému s mobilní aplikací Objednatele budeme řeš</w:t>
      </w:r>
      <w:r>
        <w:t xml:space="preserve">it dvě oblasti. První je možnost přihlašování do aplikace </w:t>
      </w:r>
      <w:r>
        <w:lastRenderedPageBreak/>
        <w:t>(rezervačního vstupenkového systému) prostřednictvím sociálních sítí a druhou oblastí je příprava, rozšíření a konfigurace API pro</w:t>
      </w:r>
      <w:r>
        <w:br w:type="page"/>
      </w:r>
      <w:r>
        <w:lastRenderedPageBreak/>
        <w:t xml:space="preserve">možnost nákupu vstupenek do muzea v mobilní aplikace Objednatele a </w:t>
      </w:r>
      <w:r>
        <w:t>poskytnutí součinnosti vývojářům aplikace.</w:t>
      </w:r>
    </w:p>
    <w:p w14:paraId="26181005" w14:textId="77777777" w:rsidR="00382C1F" w:rsidRDefault="00D915B0">
      <w:pPr>
        <w:pStyle w:val="Style2"/>
        <w:shd w:val="clear" w:color="auto" w:fill="auto"/>
        <w:spacing w:line="319" w:lineRule="auto"/>
        <w:jc w:val="both"/>
      </w:pPr>
      <w:r>
        <w:t xml:space="preserve">Systém nově umožní přihlašování přes sociální sítě, a to i v rámci mobilní aplikace a provázání s účtem v RS </w:t>
      </w:r>
      <w:r>
        <w:rPr>
          <w:lang w:val="en-US" w:eastAsia="en-US" w:bidi="en-US"/>
        </w:rPr>
        <w:t>Colosseum.</w:t>
      </w:r>
    </w:p>
    <w:p w14:paraId="042B629E" w14:textId="77777777" w:rsidR="00382C1F" w:rsidRDefault="00D915B0">
      <w:pPr>
        <w:pStyle w:val="Style2"/>
        <w:shd w:val="clear" w:color="auto" w:fill="auto"/>
        <w:spacing w:after="580" w:line="310" w:lineRule="auto"/>
        <w:jc w:val="both"/>
      </w:pPr>
      <w:r>
        <w:t>Prodej vstupenek v mobilní aplikaci bude umožněn v rozsahu nákupu vstupenek na nečasované prohlídky bez možnosti vytváření rezervací. Dá</w:t>
      </w:r>
      <w:r>
        <w:t>le bude poskytována součinnost tvůrcům mobilní aplikace.</w:t>
      </w:r>
    </w:p>
    <w:p w14:paraId="0F72EFDD" w14:textId="77777777" w:rsidR="00382C1F" w:rsidRDefault="00D915B0">
      <w:pPr>
        <w:pStyle w:val="Style6"/>
        <w:keepNext/>
        <w:keepLines/>
        <w:shd w:val="clear" w:color="auto" w:fill="auto"/>
        <w:spacing w:line="307" w:lineRule="auto"/>
        <w:jc w:val="center"/>
      </w:pPr>
      <w:bookmarkStart w:id="21" w:name="bookmark21"/>
      <w:bookmarkStart w:id="22" w:name="bookmark22"/>
      <w:bookmarkStart w:id="23" w:name="bookmark23"/>
      <w:r>
        <w:rPr>
          <w:lang w:val="en-US" w:eastAsia="en-US" w:bidi="en-US"/>
        </w:rPr>
        <w:t>III.</w:t>
      </w:r>
      <w:bookmarkEnd w:id="21"/>
      <w:bookmarkEnd w:id="22"/>
      <w:bookmarkEnd w:id="23"/>
    </w:p>
    <w:p w14:paraId="4768A80F" w14:textId="77777777" w:rsidR="00382C1F" w:rsidRDefault="00D915B0">
      <w:pPr>
        <w:pStyle w:val="Style2"/>
        <w:shd w:val="clear" w:color="auto" w:fill="auto"/>
        <w:spacing w:line="307" w:lineRule="auto"/>
        <w:jc w:val="both"/>
      </w:pPr>
      <w:r>
        <w:rPr>
          <w:u w:val="single"/>
        </w:rPr>
        <w:t>Ustanovení čl. IV. Smlouvy se mění:</w:t>
      </w:r>
    </w:p>
    <w:p w14:paraId="150418D3" w14:textId="77777777" w:rsidR="00382C1F" w:rsidRDefault="00D915B0">
      <w:pPr>
        <w:pStyle w:val="Style2"/>
        <w:shd w:val="clear" w:color="auto" w:fill="auto"/>
        <w:spacing w:after="580" w:line="307" w:lineRule="auto"/>
        <w:jc w:val="both"/>
      </w:pPr>
      <w:r>
        <w:t xml:space="preserve">11. Navýšení smluvní ceny o rozšíření předmětu plnění dle čl. II o </w:t>
      </w:r>
      <w:proofErr w:type="gramStart"/>
      <w:r>
        <w:t>227.500,-</w:t>
      </w:r>
      <w:proofErr w:type="gramEnd"/>
      <w:r>
        <w:t xml:space="preserve"> Kč bez DPH.</w:t>
      </w:r>
    </w:p>
    <w:p w14:paraId="5939142B" w14:textId="77777777" w:rsidR="00382C1F" w:rsidRDefault="00D915B0">
      <w:pPr>
        <w:pStyle w:val="Style6"/>
        <w:keepNext/>
        <w:keepLines/>
        <w:shd w:val="clear" w:color="auto" w:fill="auto"/>
        <w:spacing w:line="307" w:lineRule="auto"/>
        <w:jc w:val="center"/>
      </w:pPr>
      <w:bookmarkStart w:id="24" w:name="bookmark24"/>
      <w:bookmarkStart w:id="25" w:name="bookmark25"/>
      <w:bookmarkStart w:id="26" w:name="bookmark26"/>
      <w:r>
        <w:t>IV.</w:t>
      </w:r>
      <w:bookmarkEnd w:id="24"/>
      <w:bookmarkEnd w:id="25"/>
      <w:bookmarkEnd w:id="26"/>
    </w:p>
    <w:p w14:paraId="7DC79454" w14:textId="77777777" w:rsidR="00382C1F" w:rsidRDefault="00D915B0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line="307" w:lineRule="auto"/>
        <w:jc w:val="both"/>
      </w:pPr>
      <w:r>
        <w:t>Ostatní ustanovení a přílohy Smlouvy se nemění</w:t>
      </w:r>
    </w:p>
    <w:p w14:paraId="6C924B21" w14:textId="77777777" w:rsidR="00382C1F" w:rsidRDefault="00D915B0">
      <w:pPr>
        <w:pStyle w:val="Style2"/>
        <w:numPr>
          <w:ilvl w:val="0"/>
          <w:numId w:val="2"/>
        </w:numPr>
        <w:shd w:val="clear" w:color="auto" w:fill="auto"/>
        <w:tabs>
          <w:tab w:val="left" w:pos="354"/>
        </w:tabs>
        <w:spacing w:line="307" w:lineRule="auto"/>
        <w:ind w:left="280" w:hanging="280"/>
        <w:jc w:val="both"/>
      </w:pPr>
      <w:r>
        <w:t xml:space="preserve">Otázky </w:t>
      </w:r>
      <w:r>
        <w:t>výslovně tímto dodatkem neupravené se řídí zejména ustanoveními zákona č. 89/2012 Sb., občanský zákoník, ve znění pozdějších předpisů.</w:t>
      </w:r>
    </w:p>
    <w:p w14:paraId="4359317E" w14:textId="77777777" w:rsidR="00382C1F" w:rsidRDefault="00D915B0">
      <w:pPr>
        <w:pStyle w:val="Style2"/>
        <w:numPr>
          <w:ilvl w:val="0"/>
          <w:numId w:val="2"/>
        </w:numPr>
        <w:shd w:val="clear" w:color="auto" w:fill="auto"/>
        <w:tabs>
          <w:tab w:val="left" w:pos="354"/>
        </w:tabs>
        <w:spacing w:line="307" w:lineRule="auto"/>
        <w:ind w:left="280" w:hanging="280"/>
        <w:jc w:val="both"/>
      </w:pPr>
      <w:r>
        <w:t>Tento dodatek je vyhotoven ve čtyřech vyhotoveních, z nichž každá smluvní strana obdrží po dvou vyhotoveních.</w:t>
      </w:r>
    </w:p>
    <w:p w14:paraId="4FCC7608" w14:textId="77777777" w:rsidR="00382C1F" w:rsidRDefault="00D915B0">
      <w:pPr>
        <w:pStyle w:val="Style2"/>
        <w:numPr>
          <w:ilvl w:val="0"/>
          <w:numId w:val="2"/>
        </w:numPr>
        <w:shd w:val="clear" w:color="auto" w:fill="auto"/>
        <w:tabs>
          <w:tab w:val="left" w:pos="363"/>
        </w:tabs>
        <w:spacing w:line="307" w:lineRule="auto"/>
        <w:ind w:left="280" w:hanging="280"/>
        <w:jc w:val="both"/>
      </w:pPr>
      <w:r>
        <w:t xml:space="preserve">Tento </w:t>
      </w:r>
      <w:r>
        <w:t>dodatek nabývá platnosti dnem jeho podpisu oběma smluvními stranami a účinnosti dnem jeho uveřejnění v registru smluv.</w:t>
      </w:r>
    </w:p>
    <w:p w14:paraId="71D8E0C7" w14:textId="77777777" w:rsidR="00382C1F" w:rsidRDefault="00D915B0">
      <w:pPr>
        <w:pStyle w:val="Style2"/>
        <w:numPr>
          <w:ilvl w:val="0"/>
          <w:numId w:val="2"/>
        </w:numPr>
        <w:shd w:val="clear" w:color="auto" w:fill="auto"/>
        <w:tabs>
          <w:tab w:val="left" w:pos="363"/>
        </w:tabs>
        <w:spacing w:after="580" w:line="307" w:lineRule="auto"/>
        <w:ind w:left="280" w:hanging="280"/>
        <w:jc w:val="both"/>
      </w:pPr>
      <w:r>
        <w:t>Smluvní strany prohlašují, že tento dodatek ke smlouvě byl sepsán podle jejich pravé a svobodné vůle, nikoli v tísni nebo za jinak jednos</w:t>
      </w:r>
      <w:r>
        <w:t>tranně nevýhodných podmínek. Dodatek si přečetli, souhlasí bez výhrad s jeho obsahem a na důkaz toho připojují své podpisy.</w:t>
      </w:r>
    </w:p>
    <w:p w14:paraId="28342443" w14:textId="77777777" w:rsidR="00382C1F" w:rsidRDefault="00D915B0">
      <w:pPr>
        <w:pStyle w:val="Style2"/>
        <w:shd w:val="clear" w:color="auto" w:fill="auto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5684D3" wp14:editId="5C328571">
                <wp:simplePos x="0" y="0"/>
                <wp:positionH relativeFrom="page">
                  <wp:posOffset>4130675</wp:posOffset>
                </wp:positionH>
                <wp:positionV relativeFrom="paragraph">
                  <wp:posOffset>12700</wp:posOffset>
                </wp:positionV>
                <wp:extent cx="762000" cy="1612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FCE00" w14:textId="77777777" w:rsidR="00382C1F" w:rsidRDefault="00D915B0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5684D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5.25pt;margin-top:1pt;width:60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" filled="f" stroked="f">
                <v:textbox inset="0,0,0,0">
                  <w:txbxContent>
                    <w:p w14:paraId="3BAFCE00" w14:textId="77777777" w:rsidR="00382C1F" w:rsidRDefault="00D915B0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Praze dne </w:t>
      </w:r>
    </w:p>
    <w:p w14:paraId="735FDC74" w14:textId="77777777" w:rsidR="00691A76" w:rsidRDefault="00691A76">
      <w:pPr>
        <w:pStyle w:val="Style2"/>
        <w:shd w:val="clear" w:color="auto" w:fill="auto"/>
        <w:spacing w:line="240" w:lineRule="auto"/>
        <w:jc w:val="both"/>
      </w:pPr>
    </w:p>
    <w:p w14:paraId="3F993E3C" w14:textId="77777777" w:rsidR="00691A76" w:rsidRDefault="00691A76">
      <w:pPr>
        <w:pStyle w:val="Style2"/>
        <w:shd w:val="clear" w:color="auto" w:fill="auto"/>
        <w:spacing w:line="240" w:lineRule="auto"/>
        <w:jc w:val="both"/>
      </w:pPr>
    </w:p>
    <w:p w14:paraId="74F55371" w14:textId="77777777" w:rsidR="00691A76" w:rsidRDefault="00D915B0">
      <w:pPr>
        <w:pStyle w:val="Style2"/>
        <w:shd w:val="clear" w:color="auto" w:fill="auto"/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14:paraId="028F197B" w14:textId="77777777" w:rsidR="00691A76" w:rsidRDefault="00691A76">
      <w:pPr>
        <w:pStyle w:val="Style2"/>
        <w:shd w:val="clear" w:color="auto" w:fill="auto"/>
        <w:spacing w:line="240" w:lineRule="auto"/>
        <w:jc w:val="both"/>
      </w:pPr>
    </w:p>
    <w:p w14:paraId="46D127E0" w14:textId="77777777" w:rsidR="00691A76" w:rsidRDefault="00691A76">
      <w:pPr>
        <w:pStyle w:val="Style2"/>
        <w:shd w:val="clear" w:color="auto" w:fill="auto"/>
        <w:spacing w:line="240" w:lineRule="auto"/>
        <w:jc w:val="both"/>
      </w:pPr>
      <w:r>
        <w:t xml:space="preserve">Ing. </w:t>
      </w:r>
      <w:r w:rsidR="00D915B0">
        <w:t xml:space="preserve">Petr </w:t>
      </w:r>
      <w:r>
        <w:t>Novotný</w:t>
      </w:r>
      <w:r w:rsidR="00D915B0">
        <w:t>, jednatel</w:t>
      </w:r>
      <w:r w:rsidR="00D915B0">
        <w:tab/>
      </w:r>
      <w:r w:rsidR="00D915B0">
        <w:tab/>
      </w:r>
      <w:r w:rsidR="00D915B0">
        <w:tab/>
      </w:r>
      <w:r w:rsidR="00D915B0">
        <w:tab/>
        <w:t>Ing. Martin Souček, PhD.</w:t>
      </w:r>
      <w:bookmarkStart w:id="27" w:name="_GoBack"/>
      <w:bookmarkEnd w:id="27"/>
    </w:p>
    <w:p w14:paraId="60F38BF3" w14:textId="77777777" w:rsidR="00691A76" w:rsidRDefault="00691A76">
      <w:pPr>
        <w:pStyle w:val="Style2"/>
        <w:shd w:val="clear" w:color="auto" w:fill="auto"/>
        <w:spacing w:line="240" w:lineRule="auto"/>
        <w:jc w:val="both"/>
      </w:pPr>
    </w:p>
    <w:p w14:paraId="7A4CD65F" w14:textId="77777777" w:rsidR="00691A76" w:rsidRDefault="00691A76" w:rsidP="00691A76">
      <w:pPr>
        <w:spacing w:after="537" w:line="1" w:lineRule="exact"/>
      </w:pPr>
    </w:p>
    <w:p w14:paraId="70C8E655" w14:textId="77777777" w:rsidR="00691A76" w:rsidRDefault="00691A76" w:rsidP="00691A76">
      <w:pPr>
        <w:spacing w:line="1" w:lineRule="exact"/>
        <w:sectPr w:rsidR="00691A76" w:rsidSect="00691A76">
          <w:pgSz w:w="11966" w:h="16877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66393367" w14:textId="77777777" w:rsidR="00691A76" w:rsidRDefault="00691A76" w:rsidP="00691A7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362462" wp14:editId="4D1E7F65">
                <wp:simplePos x="0" y="0"/>
                <wp:positionH relativeFrom="page">
                  <wp:posOffset>5234305</wp:posOffset>
                </wp:positionH>
                <wp:positionV relativeFrom="paragraph">
                  <wp:posOffset>30480</wp:posOffset>
                </wp:positionV>
                <wp:extent cx="1261745" cy="173990"/>
                <wp:effectExtent l="0" t="0" r="0" b="0"/>
                <wp:wrapSquare wrapText="bothSides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866D8" w14:textId="77777777" w:rsidR="00691A76" w:rsidRDefault="00691A76" w:rsidP="00691A76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362462" id="Shape 3" o:spid="_x0000_s1027" type="#_x0000_t202" style="position:absolute;margin-left:412.15pt;margin-top:2.4pt;width:99.35pt;height:13.7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" filled="f" stroked="f">
                <v:textbox inset="0,0,0,0">
                  <w:txbxContent>
                    <w:p w14:paraId="765866D8" w14:textId="77777777" w:rsidR="00691A76" w:rsidRDefault="00691A76" w:rsidP="00691A76">
                      <w:pPr>
                        <w:pStyle w:val="Style2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B75DF3E" w14:textId="77777777" w:rsidR="00382C1F" w:rsidRDefault="00382C1F">
      <w:pPr>
        <w:pStyle w:val="Style9"/>
        <w:keepNext/>
        <w:keepLines/>
        <w:framePr w:w="1363" w:h="869" w:wrap="none" w:vAnchor="text" w:hAnchor="page" w:x="1389" w:y="21"/>
        <w:shd w:val="clear" w:color="auto" w:fill="auto"/>
        <w:spacing w:after="0"/>
      </w:pPr>
    </w:p>
    <w:p w14:paraId="34022BC9" w14:textId="77777777" w:rsidR="00382C1F" w:rsidRDefault="00382C1F" w:rsidP="00691A76">
      <w:pPr>
        <w:spacing w:after="537" w:line="1" w:lineRule="exact"/>
      </w:pPr>
    </w:p>
    <w:sectPr w:rsidR="00382C1F">
      <w:type w:val="continuous"/>
      <w:pgSz w:w="11966" w:h="16877"/>
      <w:pgMar w:top="1474" w:right="3781" w:bottom="1474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702A" w14:textId="77777777" w:rsidR="00000000" w:rsidRDefault="00D915B0">
      <w:r>
        <w:separator/>
      </w:r>
    </w:p>
  </w:endnote>
  <w:endnote w:type="continuationSeparator" w:id="0">
    <w:p w14:paraId="55614F18" w14:textId="77777777" w:rsidR="00000000" w:rsidRDefault="00D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77E1D" w14:textId="77777777" w:rsidR="00382C1F" w:rsidRDefault="00382C1F"/>
  </w:footnote>
  <w:footnote w:type="continuationSeparator" w:id="0">
    <w:p w14:paraId="4EDD6458" w14:textId="77777777" w:rsidR="00382C1F" w:rsidRDefault="00382C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312"/>
    <w:multiLevelType w:val="multilevel"/>
    <w:tmpl w:val="FDC8A1B6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436FF"/>
    <w:multiLevelType w:val="multilevel"/>
    <w:tmpl w:val="44E207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1F"/>
    <w:rsid w:val="00382C1F"/>
    <w:rsid w:val="00691A76"/>
    <w:rsid w:val="00D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D025"/>
  <w15:docId w15:val="{4AE8A3A3-08BD-48E0-8B30-A7AE68F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6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12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71" w:lineRule="auto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691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A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91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A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C1FCC-E1DE-4A70-98E3-BD5E3E1A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33552-49DC-4248-A1F7-B83341272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DF9BA-5B13-4650-898C-17726CC5D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Tousson</dc:creator>
  <cp:lastModifiedBy>Jolana Tousson</cp:lastModifiedBy>
  <cp:revision>2</cp:revision>
  <dcterms:created xsi:type="dcterms:W3CDTF">2020-12-15T12:44:00Z</dcterms:created>
  <dcterms:modified xsi:type="dcterms:W3CDTF">2020-12-15T12:44:00Z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