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1B6E2BA9" w:rsidR="00726B26" w:rsidRPr="00726B26" w:rsidRDefault="0050779D" w:rsidP="00726B26">
      <w:pPr>
        <w:rPr>
          <w:b/>
        </w:rPr>
      </w:pPr>
      <w:r>
        <w:rPr>
          <w:b/>
        </w:rPr>
        <w:t>ROCHE s. r. o.</w:t>
      </w:r>
    </w:p>
    <w:p w14:paraId="2723C1F6" w14:textId="559C6F16" w:rsidR="00726B26" w:rsidRDefault="00726B26" w:rsidP="00726B26">
      <w:r>
        <w:t xml:space="preserve">IČ: </w:t>
      </w:r>
      <w:r w:rsidR="0050779D" w:rsidRPr="0050779D">
        <w:t>49617052</w:t>
      </w:r>
    </w:p>
    <w:p w14:paraId="21D4C825" w14:textId="27B69257" w:rsidR="00726B26" w:rsidRPr="00512AB9" w:rsidRDefault="00726B26" w:rsidP="00726B26">
      <w:r>
        <w:t xml:space="preserve">DIČ: </w:t>
      </w:r>
      <w:r w:rsidR="0050779D" w:rsidRPr="0050779D">
        <w:t>CZ49617052</w:t>
      </w:r>
    </w:p>
    <w:p w14:paraId="7B0EFBBE" w14:textId="4AE318A3" w:rsidR="00726B26" w:rsidRPr="00512AB9" w:rsidRDefault="00726B26" w:rsidP="00726B26">
      <w:r>
        <w:t>se sídlem</w:t>
      </w:r>
      <w:r w:rsidRPr="00512AB9">
        <w:t xml:space="preserve">:  </w:t>
      </w:r>
      <w:r w:rsidR="0050779D" w:rsidRPr="0050779D">
        <w:t>Sokolovská 685/136f, Karlín, 186 00 Praha 8</w:t>
      </w:r>
    </w:p>
    <w:p w14:paraId="08DCB318" w14:textId="600B5E96" w:rsidR="00726B26" w:rsidRPr="00512AB9" w:rsidRDefault="00726B26" w:rsidP="00726B26">
      <w:r>
        <w:t>zastoupena</w:t>
      </w:r>
      <w:r w:rsidRPr="00512AB9">
        <w:t xml:space="preserve">: </w:t>
      </w:r>
      <w:r w:rsidR="00030440">
        <w:t>XXXXXXXXXXXXXXXXXX, jednateli</w:t>
      </w:r>
    </w:p>
    <w:p w14:paraId="15CF57FE" w14:textId="60B94D28" w:rsidR="00726B26" w:rsidRPr="00512AB9" w:rsidRDefault="00726B26" w:rsidP="00726B26">
      <w:r w:rsidRPr="00512AB9">
        <w:t xml:space="preserve">bankovní spojení: </w:t>
      </w:r>
      <w:proofErr w:type="spellStart"/>
      <w:r w:rsidR="0050779D" w:rsidRPr="0050779D">
        <w:t>UniCredit</w:t>
      </w:r>
      <w:proofErr w:type="spellEnd"/>
      <w:r w:rsidR="0050779D" w:rsidRPr="0050779D">
        <w:t xml:space="preserve"> Bank Czech Republic and Slovakia, a.s.,</w:t>
      </w:r>
    </w:p>
    <w:p w14:paraId="4E6F6E8F" w14:textId="5C3CC77E" w:rsidR="00726B26" w:rsidRPr="00512AB9" w:rsidRDefault="00726B26" w:rsidP="00726B26">
      <w:r w:rsidRPr="00512AB9">
        <w:t xml:space="preserve">číslo účtu: </w:t>
      </w:r>
      <w:r w:rsidR="0050779D" w:rsidRPr="0050779D">
        <w:t>2102556818/2700</w:t>
      </w:r>
    </w:p>
    <w:p w14:paraId="23F14223" w14:textId="3E2219FB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50779D" w:rsidRPr="0050779D">
        <w:t xml:space="preserve">Městským </w:t>
      </w:r>
      <w:r w:rsidRPr="00652864">
        <w:t>soudem v </w:t>
      </w:r>
      <w:r w:rsidR="0050779D">
        <w:t>Praze</w:t>
      </w:r>
      <w:r w:rsidRPr="00652864">
        <w:t xml:space="preserve"> oddíl </w:t>
      </w:r>
      <w:r w:rsidR="0050779D">
        <w:t xml:space="preserve">C, </w:t>
      </w:r>
      <w:r w:rsidRPr="00652864">
        <w:t xml:space="preserve">vložka </w:t>
      </w:r>
      <w:r w:rsidR="0050779D">
        <w:t>13202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77777777" w:rsidR="00726B26" w:rsidRPr="002B77A6" w:rsidRDefault="00726B26" w:rsidP="00726B26">
      <w:r w:rsidRPr="002B77A6">
        <w:t>IČ: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30B8CC8A" w:rsidR="00726B26" w:rsidRPr="002B77A6" w:rsidRDefault="00726B26" w:rsidP="00726B26">
      <w:r>
        <w:t>zastoupena</w:t>
      </w:r>
      <w:r w:rsidR="00900439">
        <w:t xml:space="preserve">: </w:t>
      </w:r>
      <w:r w:rsidR="00030440">
        <w:t>XXXXXXXXXXXXXXXX</w:t>
      </w:r>
      <w:r w:rsidR="00CA52D1">
        <w:t xml:space="preserve"> ředitel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61E667BA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BE5CC0">
        <w:t xml:space="preserve"> malého rozsahu</w:t>
      </w:r>
      <w:r w:rsidR="000D35F4">
        <w:t xml:space="preserve"> </w:t>
      </w:r>
      <w:r w:rsidRPr="00F60CFD">
        <w:rPr>
          <w:u w:val="single"/>
        </w:rPr>
        <w:t>„</w:t>
      </w:r>
      <w:proofErr w:type="spellStart"/>
      <w:r w:rsidR="00F60CFD" w:rsidRPr="00F60CFD">
        <w:rPr>
          <w:u w:val="single"/>
        </w:rPr>
        <w:t>Kit</w:t>
      </w:r>
      <w:r w:rsidR="00691AC9" w:rsidRPr="00F60CFD">
        <w:rPr>
          <w:u w:val="single"/>
        </w:rPr>
        <w:t>y</w:t>
      </w:r>
      <w:proofErr w:type="spellEnd"/>
      <w:r w:rsidR="00691AC9" w:rsidRPr="00F60CFD">
        <w:rPr>
          <w:u w:val="single"/>
        </w:rPr>
        <w:t xml:space="preserve"> pro </w:t>
      </w:r>
      <w:r w:rsidR="00F60CFD" w:rsidRPr="00F60CFD">
        <w:rPr>
          <w:u w:val="single"/>
        </w:rPr>
        <w:t>automat</w:t>
      </w:r>
      <w:r w:rsidR="00691AC9" w:rsidRPr="00F60CFD">
        <w:rPr>
          <w:u w:val="single"/>
        </w:rPr>
        <w:t>izo</w:t>
      </w:r>
      <w:r w:rsidR="00F60CFD" w:rsidRPr="00F60CFD">
        <w:rPr>
          <w:u w:val="single"/>
        </w:rPr>
        <w:t>v</w:t>
      </w:r>
      <w:r w:rsidR="00691AC9" w:rsidRPr="00F60CFD">
        <w:rPr>
          <w:u w:val="single"/>
        </w:rPr>
        <w:t>a</w:t>
      </w:r>
      <w:r w:rsidR="00F60CFD" w:rsidRPr="00F60CFD">
        <w:rPr>
          <w:u w:val="single"/>
        </w:rPr>
        <w:t>nou</w:t>
      </w:r>
      <w:r w:rsidR="00691AC9" w:rsidRPr="00F60CFD">
        <w:rPr>
          <w:u w:val="single"/>
        </w:rPr>
        <w:t xml:space="preserve"> </w:t>
      </w:r>
      <w:r w:rsidR="00F60CFD" w:rsidRPr="00F60CFD">
        <w:rPr>
          <w:u w:val="single"/>
        </w:rPr>
        <w:t xml:space="preserve">extrakci </w:t>
      </w:r>
      <w:r w:rsidR="00691AC9" w:rsidRPr="00F60CFD">
        <w:rPr>
          <w:u w:val="single"/>
        </w:rPr>
        <w:t>virové RNA</w:t>
      </w:r>
      <w:r w:rsidRPr="00F60CFD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74626DBD" w14:textId="77777777" w:rsidR="00014CFB" w:rsidRDefault="00014CFB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CA52D1" w:rsidRDefault="00014CFB" w:rsidP="00CA52D1">
      <w:pPr>
        <w:jc w:val="center"/>
        <w:rPr>
          <w:b/>
          <w:bCs/>
        </w:rPr>
      </w:pPr>
    </w:p>
    <w:p w14:paraId="522874FB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6540492D" w14:textId="7CDA1A92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 w:rsidR="00CA52D1">
        <w:t>“).</w:t>
      </w:r>
    </w:p>
    <w:p w14:paraId="6E44408D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019E36B1" w14:textId="0BB3CEFE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77777777" w:rsidR="00014CFB" w:rsidRDefault="00014CFB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081BD94F" w:rsidR="00014CFB" w:rsidRDefault="00014CFB" w:rsidP="0050779D">
      <w:pPr>
        <w:pStyle w:val="Psmenoodstavce"/>
      </w:pPr>
      <w:r>
        <w:t>e-mailem na adresu</w:t>
      </w:r>
      <w:r w:rsidR="002D5435">
        <w:t>:</w:t>
      </w:r>
      <w:r>
        <w:t xml:space="preserve"> </w:t>
      </w:r>
      <w:r w:rsidR="0050779D" w:rsidRPr="0050779D">
        <w:t>prague.objednavkydia@roche.com</w:t>
      </w:r>
    </w:p>
    <w:p w14:paraId="6188391D" w14:textId="0F94EF5A" w:rsidR="00014CFB" w:rsidRDefault="00014CFB" w:rsidP="0050779D">
      <w:pPr>
        <w:pStyle w:val="Psmenoodstavce"/>
      </w:pPr>
      <w:r>
        <w:t xml:space="preserve">faxem na telefonní </w:t>
      </w:r>
      <w:r w:rsidRPr="0050779D">
        <w:t>číslo</w:t>
      </w:r>
      <w:r w:rsidR="002D5435">
        <w:t>:</w:t>
      </w:r>
      <w:r w:rsidRPr="0050779D">
        <w:t xml:space="preserve"> </w:t>
      </w:r>
      <w:r w:rsidR="0050779D" w:rsidRPr="0050779D">
        <w:t>220 382 500</w:t>
      </w:r>
      <w:r w:rsidRPr="0050779D">
        <w:t>,</w:t>
      </w:r>
      <w:r w:rsidR="0050779D" w:rsidRPr="0050779D">
        <w:t xml:space="preserve"> 220 382 501</w:t>
      </w:r>
      <w:r>
        <w:t>;</w:t>
      </w:r>
    </w:p>
    <w:p w14:paraId="2E11BA0B" w14:textId="77777777" w:rsidR="00014CFB" w:rsidRDefault="00014CFB" w:rsidP="00CA52D1">
      <w:pPr>
        <w:pStyle w:val="Odstavecsmlouvy"/>
        <w:numPr>
          <w:ilvl w:val="0"/>
          <w:numId w:val="0"/>
        </w:numPr>
        <w:ind w:left="567" w:hanging="567"/>
      </w:pPr>
    </w:p>
    <w:p w14:paraId="791B0B8A" w14:textId="76A806AC" w:rsidR="00014CFB" w:rsidRDefault="00014CFB" w:rsidP="0050779D">
      <w:pPr>
        <w:pStyle w:val="Odstavecsmlouvy"/>
      </w:pPr>
      <w:r>
        <w:t xml:space="preserve">V naléhavých případech je Kupující oprávněn učinit Objednávku rovněž telefonicky na čísle </w:t>
      </w:r>
      <w:r w:rsidR="0050779D" w:rsidRPr="0050779D">
        <w:t>220 382 500</w:t>
      </w:r>
    </w:p>
    <w:p w14:paraId="0EB9222F" w14:textId="77777777" w:rsidR="00431D7D" w:rsidRDefault="00431D7D" w:rsidP="00CA52D1">
      <w:pPr>
        <w:pStyle w:val="Odstavecsmlouvy"/>
        <w:numPr>
          <w:ilvl w:val="0"/>
          <w:numId w:val="0"/>
        </w:numPr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CA52D1">
      <w:pPr>
        <w:pStyle w:val="Odstavecsmlouvy"/>
        <w:numPr>
          <w:ilvl w:val="0"/>
          <w:numId w:val="0"/>
        </w:numPr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5CFCD3B" w14:textId="77777777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971D32" w:rsidRPr="00BC5B3B">
        <w:rPr>
          <w:b/>
        </w:rPr>
        <w:t>labochem@fnbrno.cz</w:t>
      </w:r>
    </w:p>
    <w:p w14:paraId="0001337E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CA52D1">
      <w:pPr>
        <w:pStyle w:val="Psmenoodstavce"/>
        <w:numPr>
          <w:ilvl w:val="0"/>
          <w:numId w:val="0"/>
        </w:numPr>
      </w:pPr>
    </w:p>
    <w:p w14:paraId="3D4D178D" w14:textId="16BBEAEA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CA52D1">
        <w:rPr>
          <w:b/>
        </w:rPr>
        <w:t>III.7</w:t>
      </w:r>
      <w:r w:rsidR="00CA52D1" w:rsidRPr="00CA52D1">
        <w:tab/>
      </w:r>
      <w:r w:rsidRPr="00CA52D1">
        <w:t>V</w:t>
      </w:r>
      <w:r w:rsidR="00CA52D1" w:rsidRPr="00CA52D1">
        <w:t> </w:t>
      </w:r>
      <w:r w:rsidRPr="00CA52D1">
        <w:t>případě</w:t>
      </w:r>
      <w:proofErr w:type="gramEnd"/>
      <w:r w:rsidR="00CA52D1" w:rsidRPr="00CA52D1">
        <w:t>,</w:t>
      </w:r>
      <w:r w:rsidRPr="00CA52D1">
        <w:t xml:space="preserve"> že Prodávající není schopen (při splnění podmínek smlouvy) dílčí plnění dodat či jej není</w:t>
      </w:r>
      <w:r w:rsidRPr="00DC4A6D">
        <w:t xml:space="preserve">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14:paraId="3E2F8897" w14:textId="33C6C1BF" w:rsidR="00DC4A6D" w:rsidRPr="00CA52D1" w:rsidRDefault="00DC4A6D" w:rsidP="00CA52D1">
      <w:pPr>
        <w:jc w:val="center"/>
        <w:rPr>
          <w:b/>
          <w:bCs/>
        </w:rPr>
      </w:pPr>
    </w:p>
    <w:p w14:paraId="61C83176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581E61D8" w14:textId="77777777" w:rsidR="00014CFB" w:rsidRPr="00CA52D1" w:rsidRDefault="00014CFB" w:rsidP="00CA52D1">
      <w:pPr>
        <w:jc w:val="center"/>
        <w:rPr>
          <w:b/>
          <w:bCs/>
        </w:rPr>
      </w:pPr>
    </w:p>
    <w:p w14:paraId="209C7D7A" w14:textId="1EC33571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2470C7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14:paraId="2E867B47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783410FB" w14:textId="41E5FE20" w:rsidR="00014CFB" w:rsidRDefault="00014CFB" w:rsidP="00014CFB">
      <w:pPr>
        <w:pStyle w:val="Odstavecsmlouvy"/>
      </w:pPr>
      <w:bookmarkStart w:id="5" w:name="_Ref525635743"/>
      <w:bookmarkStart w:id="6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>:00 hodin do 15:00 hodin nebo v sobotu v době od 8:00 hodin do 12:00 hodin, ledaže se smluvní strany dohodnou jinak.</w:t>
      </w:r>
      <w:bookmarkEnd w:id="6"/>
    </w:p>
    <w:p w14:paraId="007C6440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F1E907D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1299EFD1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691F327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34744920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0D944A2C" w14:textId="77777777" w:rsidR="00EA4C8B" w:rsidRDefault="00EA4C8B" w:rsidP="00CA52D1">
      <w:pPr>
        <w:pStyle w:val="Odstavecsmlouvy"/>
        <w:numPr>
          <w:ilvl w:val="0"/>
          <w:numId w:val="0"/>
        </w:numPr>
        <w:ind w:left="567" w:hanging="567"/>
      </w:pPr>
    </w:p>
    <w:p w14:paraId="3A39F9AD" w14:textId="2F449682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CA52D1">
        <w:t xml:space="preserve">elektronické </w:t>
      </w:r>
      <w:r w:rsidR="003241AA" w:rsidRPr="00CA52D1">
        <w:t>formě</w:t>
      </w:r>
      <w:r w:rsidR="00616996" w:rsidRPr="00CA52D1">
        <w:t xml:space="preserve"> a </w:t>
      </w:r>
      <w:r w:rsidR="00616996" w:rsidRPr="00CA52D1">
        <w:rPr>
          <w:b/>
        </w:rPr>
        <w:t>faktury</w:t>
      </w:r>
      <w:r w:rsidR="00616996" w:rsidRPr="00CA52D1">
        <w:t>.</w:t>
      </w:r>
      <w:r w:rsidR="00DD6BC3" w:rsidRPr="00CA52D1">
        <w:rPr>
          <w:color w:val="000000"/>
        </w:rPr>
        <w:t xml:space="preserve"> P</w:t>
      </w:r>
      <w:r w:rsidR="00DD6BC3" w:rsidRPr="00CA52D1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14:paraId="601BDFC0" w14:textId="77777777" w:rsidR="004739E2" w:rsidRDefault="004739E2" w:rsidP="00CA52D1">
      <w:pPr>
        <w:pStyle w:val="Odstavecsmlouvy"/>
        <w:numPr>
          <w:ilvl w:val="0"/>
          <w:numId w:val="0"/>
        </w:numPr>
      </w:pPr>
    </w:p>
    <w:p w14:paraId="13C54ACE" w14:textId="18989AAF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CA52D1">
      <w:pPr>
        <w:pStyle w:val="Odstavecsmlouvy"/>
        <w:numPr>
          <w:ilvl w:val="0"/>
          <w:numId w:val="0"/>
        </w:numPr>
      </w:pPr>
    </w:p>
    <w:p w14:paraId="40716C41" w14:textId="5E2F434F"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14:paraId="2B77B554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2A742DE9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</w:t>
      </w:r>
      <w:r w:rsidR="003D3584">
        <w:lastRenderedPageBreak/>
        <w:t xml:space="preserve">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CA52D1">
      <w:pPr>
        <w:pStyle w:val="Odstavecsmlouvy"/>
        <w:numPr>
          <w:ilvl w:val="0"/>
          <w:numId w:val="0"/>
        </w:numPr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43D24307" w14:textId="187534EB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77B44BF4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5AD2B850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CA52D1">
      <w:pPr>
        <w:pStyle w:val="Odstavecsmlouvy"/>
        <w:numPr>
          <w:ilvl w:val="0"/>
          <w:numId w:val="0"/>
        </w:numPr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77777777" w:rsidR="00014CFB" w:rsidRPr="00CA52D1" w:rsidRDefault="00014CFB" w:rsidP="00CA52D1">
      <w:pPr>
        <w:jc w:val="center"/>
        <w:rPr>
          <w:b/>
          <w:bCs/>
        </w:rPr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Pr="00CA52D1" w:rsidRDefault="000C1FD1" w:rsidP="00CA52D1">
      <w:pPr>
        <w:jc w:val="center"/>
        <w:rPr>
          <w:b/>
          <w:bCs/>
        </w:rPr>
      </w:pPr>
    </w:p>
    <w:p w14:paraId="4939886D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3F338BAC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378229AA" w14:textId="469A8B09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 w:rsidR="00CA52D1">
        <w:t>.</w:t>
      </w:r>
    </w:p>
    <w:p w14:paraId="178532FB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6C0180F3" w14:textId="104CB2D5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</w:t>
      </w:r>
      <w:r w:rsidR="00CA52D1">
        <w:t>písemného návrhu Prodávajícího.</w:t>
      </w:r>
    </w:p>
    <w:p w14:paraId="60514FD8" w14:textId="77777777" w:rsidR="00805C52" w:rsidRDefault="00805C52" w:rsidP="00CA52D1">
      <w:pPr>
        <w:pStyle w:val="Odstavecsmlouvy"/>
        <w:numPr>
          <w:ilvl w:val="0"/>
          <w:numId w:val="0"/>
        </w:numPr>
      </w:pPr>
    </w:p>
    <w:p w14:paraId="76A3E4DB" w14:textId="4C60F25D" w:rsidR="00805C52" w:rsidRPr="00CA52D1" w:rsidRDefault="00805C52" w:rsidP="00BA6B9D">
      <w:pPr>
        <w:pStyle w:val="Odstavecsmlouvy"/>
      </w:pPr>
      <w:r w:rsidRPr="00CA52D1">
        <w:t>Prodávající je oprávněn zvýšit jednotkové ceny dle Přílohy č. 1 této smlouvy každoročně o</w:t>
      </w:r>
      <w:r w:rsidRPr="00CA52D1">
        <w:rPr>
          <w:b/>
        </w:rPr>
        <w:t xml:space="preserve"> </w:t>
      </w:r>
      <w:r w:rsidR="00731336" w:rsidRPr="00CA52D1">
        <w:rPr>
          <w:b/>
        </w:rPr>
        <w:t xml:space="preserve">průměrnou roční míru </w:t>
      </w:r>
      <w:r w:rsidRPr="00CA52D1">
        <w:rPr>
          <w:b/>
        </w:rPr>
        <w:t>inflac</w:t>
      </w:r>
      <w:r w:rsidR="00731336" w:rsidRPr="00CA52D1">
        <w:rPr>
          <w:b/>
        </w:rPr>
        <w:t>e za předchozí kalendářní rok</w:t>
      </w:r>
      <w:r w:rsidR="00731336" w:rsidRPr="00CA52D1">
        <w:t xml:space="preserve"> zveřejněnou Českým statistickým úřadem</w:t>
      </w:r>
      <w:r w:rsidRPr="00CA52D1">
        <w:t xml:space="preserve">, </w:t>
      </w:r>
      <w:r w:rsidR="00BA6B9D" w:rsidRPr="00CA52D1">
        <w:t xml:space="preserve">nejvýše však o 5 % (i v případě, že míra inflace za předchozí kalendářní rok bude vyšší) </w:t>
      </w:r>
      <w:r w:rsidRPr="00CA52D1">
        <w:lastRenderedPageBreak/>
        <w:t>a to vždy k 1. 4. příslušného roku, počínaje 1. 4. 2021</w:t>
      </w:r>
      <w:r w:rsidR="00731336" w:rsidRPr="00CA52D1">
        <w:t xml:space="preserve">. </w:t>
      </w:r>
      <w:r w:rsidRPr="00CA52D1">
        <w:t>Zvýšení jednotkových cen dle Přílohy č. 1 této smlouvy o inflaci je</w:t>
      </w:r>
      <w:r w:rsidR="000D33A4" w:rsidRPr="00CA52D1">
        <w:t xml:space="preserve"> Prodávající</w:t>
      </w:r>
      <w:r w:rsidRPr="00CA52D1">
        <w:t xml:space="preserve"> povinen </w:t>
      </w:r>
      <w:r w:rsidR="000D33A4" w:rsidRPr="00CA52D1">
        <w:t>Kupujícímu</w:t>
      </w:r>
      <w:r w:rsidRPr="00CA52D1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DE0994" w:rsidRDefault="00805C52" w:rsidP="00CA52D1">
      <w:pPr>
        <w:pStyle w:val="Odstavecsmlouvy"/>
        <w:numPr>
          <w:ilvl w:val="0"/>
          <w:numId w:val="0"/>
        </w:numPr>
        <w:rPr>
          <w:highlight w:val="cyan"/>
        </w:rPr>
      </w:pPr>
    </w:p>
    <w:p w14:paraId="6D518679" w14:textId="3D7B3BD1" w:rsidR="00805C52" w:rsidRPr="00CA52D1" w:rsidRDefault="00805C52" w:rsidP="00BA6B9D">
      <w:pPr>
        <w:pStyle w:val="Odstavecsmlouvy"/>
      </w:pPr>
      <w:r w:rsidRPr="00CA52D1">
        <w:t xml:space="preserve">Ustanovení </w:t>
      </w:r>
      <w:proofErr w:type="gramStart"/>
      <w:r w:rsidRPr="00CA52D1">
        <w:t>čl.</w:t>
      </w:r>
      <w:r w:rsidR="000D33A4" w:rsidRPr="00CA52D1">
        <w:t xml:space="preserve"> </w:t>
      </w:r>
      <w:r w:rsidRPr="00CA52D1">
        <w:t xml:space="preserve">V.4 </w:t>
      </w:r>
      <w:r w:rsidR="00661900" w:rsidRPr="00CA52D1">
        <w:t>této</w:t>
      </w:r>
      <w:proofErr w:type="gramEnd"/>
      <w:r w:rsidR="00661900" w:rsidRPr="00CA52D1">
        <w:t xml:space="preserve"> </w:t>
      </w:r>
      <w:r w:rsidRPr="00CA52D1">
        <w:t xml:space="preserve">smlouvy se použije pouze v případě, že průměrná roční míra inflace za předchozí kalendářní rok bude vyšší nebo rovna </w:t>
      </w:r>
      <w:r w:rsidR="00BA6B9D" w:rsidRPr="00CA52D1">
        <w:t>2</w:t>
      </w:r>
      <w:r w:rsidRPr="00CA52D1">
        <w:t xml:space="preserve"> %.</w:t>
      </w:r>
      <w:r w:rsidR="00BA6B9D" w:rsidRPr="00CA52D1">
        <w:t xml:space="preserve"> V případě záporné míry inflace se kupní cena nesnižuje.</w:t>
      </w:r>
    </w:p>
    <w:p w14:paraId="10BCEC35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3ABE5F88" w14:textId="77777777" w:rsidR="002C69B1" w:rsidRDefault="002C69B1" w:rsidP="00115F51">
      <w:pPr>
        <w:pStyle w:val="Odstavecsmlouvy"/>
      </w:pPr>
      <w:bookmarkStart w:id="9" w:name="_Ref13486689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</w:t>
      </w:r>
      <w:r w:rsidR="00115F51">
        <w:t xml:space="preserve"> </w:t>
      </w:r>
      <w:r w:rsidR="00115F51" w:rsidRPr="00115F51">
        <w:t xml:space="preserve">a </w:t>
      </w:r>
      <w:r w:rsidR="00115F51" w:rsidRPr="00C132D1">
        <w:rPr>
          <w:b/>
        </w:rPr>
        <w:t xml:space="preserve">současně se </w:t>
      </w:r>
      <w:r w:rsidR="00115F51">
        <w:rPr>
          <w:b/>
        </w:rPr>
        <w:t xml:space="preserve">tím </w:t>
      </w:r>
      <w:r w:rsidR="00115F51" w:rsidRPr="00C132D1">
        <w:rPr>
          <w:b/>
        </w:rPr>
        <w:t>tato úhrada snížila pod tuto jednotkovou kupní cenu</w:t>
      </w:r>
      <w:r>
        <w:t xml:space="preserve">, je Kupující oprávněn požadovat snížení této jednotkové kupní ceny tak, že tato </w:t>
      </w:r>
      <w:r w:rsidRPr="002C69B1">
        <w:rPr>
          <w:b/>
          <w:bCs/>
        </w:rPr>
        <w:t>kupní cena se snižuje na tuto výši úhrady</w:t>
      </w:r>
      <w:r>
        <w:t xml:space="preserve"> Všeobecné zdravotní pojišťovny. Prodávající je povinen v takovém případě na výzvu Kupujícího uzavřít dodatek k této Smlouvě, jehož předmětem bude toto snížení jednotkové kupní ceny položky Zboží.</w:t>
      </w:r>
      <w:bookmarkEnd w:id="9"/>
    </w:p>
    <w:p w14:paraId="3463B9AD" w14:textId="77777777" w:rsidR="002C69B1" w:rsidRDefault="002C69B1" w:rsidP="00CA52D1">
      <w:pPr>
        <w:pStyle w:val="Odstavecsmlouvy"/>
        <w:numPr>
          <w:ilvl w:val="0"/>
          <w:numId w:val="0"/>
        </w:numPr>
      </w:pPr>
    </w:p>
    <w:p w14:paraId="70D6F072" w14:textId="77777777" w:rsidR="002C69B1" w:rsidRDefault="002C69B1" w:rsidP="002C69B1">
      <w:pPr>
        <w:pStyle w:val="Odstavecsmlouvy"/>
      </w:pPr>
      <w:bookmarkStart w:id="10" w:name="_Ref13486690"/>
      <w:r>
        <w:t>V</w:t>
      </w:r>
      <w:r w:rsidRPr="001E4F33">
        <w:t xml:space="preserve"> </w:t>
      </w:r>
      <w:r>
        <w:t xml:space="preserve">případě, že </w:t>
      </w:r>
      <w:r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C63592">
        <w:rPr>
          <w:b/>
        </w:rPr>
        <w:t xml:space="preserve">výše této úhrady </w:t>
      </w:r>
      <w:r w:rsidR="00115F51">
        <w:rPr>
          <w:b/>
        </w:rPr>
        <w:t>byla před tímto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je Kupující oprávněn požadovat snížení této jednotkové kupní ceny tak</w:t>
      </w:r>
      <w:r w:rsidRPr="001E4F33">
        <w:t xml:space="preserve">, že tato kupní cena se </w:t>
      </w:r>
      <w:r w:rsidRPr="00C63592">
        <w:rPr>
          <w:b/>
        </w:rPr>
        <w:t>snižuje o částku, o kterou se snížila tato úhrada</w:t>
      </w:r>
      <w:r w:rsidRPr="001E4F33">
        <w:t xml:space="preserve"> Všeobecné zdravotní pojišťovny</w:t>
      </w:r>
      <w:r>
        <w:t>. Prodávající je povinen v takovém případě na výzvu Kupujícího uzavřít dodatek k této Smlouvě, jehož předmětem bude toto snížení jednotkové kupní ceny položky Zboží.</w:t>
      </w:r>
      <w:bookmarkEnd w:id="10"/>
    </w:p>
    <w:p w14:paraId="00D33403" w14:textId="77777777" w:rsidR="002C69B1" w:rsidRDefault="002C69B1" w:rsidP="00CA52D1">
      <w:pPr>
        <w:pStyle w:val="Odstavecsmlouvy"/>
        <w:numPr>
          <w:ilvl w:val="0"/>
          <w:numId w:val="0"/>
        </w:numPr>
      </w:pPr>
    </w:p>
    <w:p w14:paraId="417F0E76" w14:textId="2846D8DD" w:rsidR="000C1FD1" w:rsidRDefault="000C1FD1" w:rsidP="000C1FD1">
      <w:pPr>
        <w:pStyle w:val="Odstavecsmlouvy"/>
      </w:pPr>
      <w:r>
        <w:t>Pro vyloučení pochybností se uvádí, že příslušná jednotková kupní cena je</w:t>
      </w:r>
      <w:r w:rsidR="002C69B1">
        <w:t xml:space="preserve"> dle </w:t>
      </w:r>
      <w:proofErr w:type="gramStart"/>
      <w:r w:rsidR="002C69B1">
        <w:t xml:space="preserve">odst. </w:t>
      </w:r>
      <w:r w:rsidR="002C69B1">
        <w:fldChar w:fldCharType="begin"/>
      </w:r>
      <w:r w:rsidR="002C69B1">
        <w:instrText xml:space="preserve"> REF _Ref13486689 \n \h </w:instrText>
      </w:r>
      <w:r w:rsidR="002C69B1">
        <w:fldChar w:fldCharType="separate"/>
      </w:r>
      <w:r w:rsidR="002A1875">
        <w:t>V.6</w:t>
      </w:r>
      <w:r w:rsidR="002C69B1">
        <w:fldChar w:fldCharType="end"/>
      </w:r>
      <w:r w:rsidR="00805C52">
        <w:t>6</w:t>
      </w:r>
      <w:proofErr w:type="gramEnd"/>
      <w:r w:rsidR="002C69B1">
        <w:t xml:space="preserve"> </w:t>
      </w:r>
      <w:r w:rsidR="00CF0935">
        <w:t xml:space="preserve"> </w:t>
      </w:r>
      <w:r w:rsidR="002C69B1">
        <w:t xml:space="preserve">resp. </w:t>
      </w:r>
      <w:r w:rsidR="002C69B1">
        <w:fldChar w:fldCharType="begin"/>
      </w:r>
      <w:r w:rsidR="002C69B1">
        <w:instrText xml:space="preserve"> REF _Ref13486690 \n \h </w:instrText>
      </w:r>
      <w:r w:rsidR="002C69B1">
        <w:fldChar w:fldCharType="separate"/>
      </w:r>
      <w:r w:rsidR="002A1875">
        <w:t>V.7</w:t>
      </w:r>
      <w:r w:rsidR="002C69B1">
        <w:fldChar w:fldCharType="end"/>
      </w:r>
      <w:r w:rsidR="00805C52">
        <w:t>7</w:t>
      </w:r>
      <w:r>
        <w:t xml:space="preserve"> </w:t>
      </w:r>
      <w:r w:rsidR="002C69B1">
        <w:t xml:space="preserve">této smlouvy </w:t>
      </w:r>
      <w:r>
        <w:t>snížena i bez uzavření dodatku</w:t>
      </w:r>
      <w:r w:rsidR="002C69B1">
        <w:t xml:space="preserve"> k této smlouvě</w:t>
      </w:r>
      <w:r>
        <w:t xml:space="preserve">, tj. již okamžikem snížení úhrady ze strany </w:t>
      </w:r>
      <w:r w:rsidR="002C69B1">
        <w:t xml:space="preserve">Všeobecné </w:t>
      </w:r>
      <w:r>
        <w:t>zdravotní pojišťovn</w:t>
      </w:r>
      <w:r w:rsidR="002C69B1">
        <w:t>y</w:t>
      </w:r>
      <w:r>
        <w:t>.</w:t>
      </w:r>
    </w:p>
    <w:p w14:paraId="425AA7A0" w14:textId="77777777" w:rsidR="000C1FD1" w:rsidRPr="00CA52D1" w:rsidRDefault="000C1FD1" w:rsidP="00CA52D1">
      <w:pPr>
        <w:jc w:val="center"/>
        <w:rPr>
          <w:b/>
          <w:bCs/>
        </w:rPr>
      </w:pPr>
    </w:p>
    <w:p w14:paraId="2ADD7380" w14:textId="77777777" w:rsidR="000C1FD1" w:rsidRDefault="000C1FD1" w:rsidP="000C1FD1">
      <w:pPr>
        <w:pStyle w:val="Nadpis3"/>
      </w:pPr>
      <w:r>
        <w:t>Platební podmínky</w:t>
      </w:r>
    </w:p>
    <w:p w14:paraId="0CA4CF31" w14:textId="77777777" w:rsidR="000C1FD1" w:rsidRPr="00CA52D1" w:rsidRDefault="000C1FD1" w:rsidP="00CA52D1">
      <w:pPr>
        <w:jc w:val="center"/>
        <w:rPr>
          <w:b/>
          <w:bCs/>
        </w:rPr>
      </w:pPr>
    </w:p>
    <w:p w14:paraId="29AD4E8A" w14:textId="65C4CC46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</w:p>
    <w:p w14:paraId="78AABF66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497D9FE5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736BE722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0C1FAFF3" w:rsidR="008A3DBA" w:rsidRDefault="00027D33" w:rsidP="000C1FD1">
      <w:pPr>
        <w:pStyle w:val="Psmenoodstavce"/>
      </w:pPr>
      <w:r>
        <w:t>číslo Objednávky Kupujícího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77777777" w:rsidR="000C1FD1" w:rsidRDefault="000C1FD1" w:rsidP="000C1FD1">
      <w:pPr>
        <w:pStyle w:val="Psmenoodstavce"/>
      </w:pPr>
      <w:r w:rsidRPr="00512AB9">
        <w:lastRenderedPageBreak/>
        <w:t>údaje o kódech 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5789BE5E" w14:textId="77777777" w:rsidR="000C1FD1" w:rsidRDefault="000C1FD1" w:rsidP="00CA52D1">
      <w:pPr>
        <w:pStyle w:val="Odstavecsmlouvy"/>
        <w:numPr>
          <w:ilvl w:val="0"/>
          <w:numId w:val="0"/>
        </w:numPr>
        <w:ind w:left="567" w:hanging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CA52D1">
      <w:pPr>
        <w:pStyle w:val="Odstavecsmlouvy"/>
        <w:numPr>
          <w:ilvl w:val="0"/>
          <w:numId w:val="0"/>
        </w:numPr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CA52D1">
      <w:pPr>
        <w:pStyle w:val="Odstavecsmlouvy"/>
        <w:numPr>
          <w:ilvl w:val="0"/>
          <w:numId w:val="0"/>
        </w:numPr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CA52D1">
      <w:pPr>
        <w:pStyle w:val="Odstavecsmlouvy"/>
        <w:numPr>
          <w:ilvl w:val="0"/>
          <w:numId w:val="0"/>
        </w:numPr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CA52D1">
      <w:pPr>
        <w:pStyle w:val="Odstavecsmlouvy"/>
        <w:numPr>
          <w:ilvl w:val="0"/>
          <w:numId w:val="0"/>
        </w:numPr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77777777" w:rsidR="00EE6269" w:rsidRDefault="00EE6269" w:rsidP="00CA52D1">
      <w:pPr>
        <w:jc w:val="center"/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Pr="00CA52D1" w:rsidRDefault="00763381" w:rsidP="00CA52D1">
      <w:pPr>
        <w:jc w:val="center"/>
        <w:rPr>
          <w:b/>
          <w:bCs/>
        </w:rPr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CA52D1">
      <w:pPr>
        <w:pStyle w:val="Odstavecsmlouvy"/>
        <w:numPr>
          <w:ilvl w:val="0"/>
          <w:numId w:val="0"/>
        </w:numPr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CA52D1">
      <w:pPr>
        <w:pStyle w:val="Odstavecsmlouvy"/>
        <w:numPr>
          <w:ilvl w:val="0"/>
          <w:numId w:val="0"/>
        </w:numPr>
      </w:pPr>
    </w:p>
    <w:p w14:paraId="5F50418B" w14:textId="686535C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</w:t>
      </w:r>
      <w:r w:rsidR="00CA52D1">
        <w:t xml:space="preserve"> vad faktických i právních.</w:t>
      </w:r>
    </w:p>
    <w:p w14:paraId="24EF5F91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0E321100" w14:textId="129C7292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</w:t>
      </w:r>
      <w:r w:rsidRPr="003348D0">
        <w:t xml:space="preserve">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30866C5D" w14:textId="29A05144" w:rsidR="0070760F" w:rsidRDefault="0070760F" w:rsidP="0070760F">
      <w:pPr>
        <w:pStyle w:val="Odstavecsmlouvy"/>
      </w:pPr>
      <w:r w:rsidRPr="00512AB9">
        <w:lastRenderedPageBreak/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A52D1">
      <w:pPr>
        <w:pStyle w:val="Odstavecsmlouvy"/>
        <w:numPr>
          <w:ilvl w:val="0"/>
          <w:numId w:val="0"/>
        </w:numPr>
      </w:pPr>
    </w:p>
    <w:p w14:paraId="555946B3" w14:textId="37B217C0"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646054E" w14:textId="77777777" w:rsidR="009E2476" w:rsidRPr="00CA52D1" w:rsidRDefault="009E2476" w:rsidP="00CA52D1">
      <w:pPr>
        <w:jc w:val="center"/>
        <w:rPr>
          <w:b/>
          <w:bCs/>
        </w:rPr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CA52D1">
      <w:pPr>
        <w:pStyle w:val="Odstavecsmlouvy"/>
        <w:numPr>
          <w:ilvl w:val="0"/>
          <w:numId w:val="0"/>
        </w:numPr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CA52D1">
      <w:pPr>
        <w:pStyle w:val="Odstavecsmlouvy"/>
        <w:numPr>
          <w:ilvl w:val="0"/>
          <w:numId w:val="0"/>
        </w:numPr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CA52D1">
      <w:pPr>
        <w:pStyle w:val="Odstavecsmlouvy"/>
        <w:numPr>
          <w:ilvl w:val="0"/>
          <w:numId w:val="0"/>
        </w:numPr>
      </w:pPr>
    </w:p>
    <w:p w14:paraId="5867514F" w14:textId="046BC58A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CA52D1">
      <w:pPr>
        <w:pStyle w:val="Odstavecsmlouvy"/>
        <w:numPr>
          <w:ilvl w:val="0"/>
          <w:numId w:val="0"/>
        </w:numPr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A52D1">
      <w:pPr>
        <w:pStyle w:val="Odstavecsmlouvy"/>
        <w:numPr>
          <w:ilvl w:val="0"/>
          <w:numId w:val="0"/>
        </w:numPr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CA52D1">
      <w:pPr>
        <w:pStyle w:val="Odstavecsmlouvy"/>
        <w:numPr>
          <w:ilvl w:val="0"/>
          <w:numId w:val="0"/>
        </w:numPr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77777777" w:rsidR="009233F4" w:rsidRPr="00CA52D1" w:rsidRDefault="009233F4" w:rsidP="00CA52D1">
      <w:pPr>
        <w:jc w:val="center"/>
        <w:rPr>
          <w:b/>
          <w:bCs/>
        </w:rPr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CA52D1">
      <w:pPr>
        <w:pStyle w:val="Odstavecsmlouvy"/>
        <w:numPr>
          <w:ilvl w:val="0"/>
          <w:numId w:val="0"/>
        </w:numPr>
      </w:pPr>
    </w:p>
    <w:p w14:paraId="5F78EF2E" w14:textId="682418F5" w:rsidR="009F5A27" w:rsidRPr="00CA52D1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</w:t>
      </w:r>
      <w:r w:rsidR="00575F84" w:rsidRPr="00CA52D1">
        <w:t xml:space="preserve">o registru smluv a </w:t>
      </w:r>
      <w:r w:rsidRPr="00CA52D1">
        <w:t xml:space="preserve">je uzavřena </w:t>
      </w:r>
      <w:r w:rsidRPr="00CA52D1">
        <w:rPr>
          <w:b/>
        </w:rPr>
        <w:t xml:space="preserve">na </w:t>
      </w:r>
      <w:r w:rsidR="00CA52D1" w:rsidRPr="00CA52D1">
        <w:rPr>
          <w:b/>
        </w:rPr>
        <w:t>1 rok</w:t>
      </w:r>
      <w:r w:rsidRPr="00CA52D1">
        <w:t>.</w:t>
      </w:r>
    </w:p>
    <w:p w14:paraId="3D7CA375" w14:textId="77777777" w:rsidR="009F5A27" w:rsidRDefault="009F5A27" w:rsidP="00CA52D1">
      <w:pPr>
        <w:pStyle w:val="Odstavecsmlouvy"/>
        <w:numPr>
          <w:ilvl w:val="0"/>
          <w:numId w:val="0"/>
        </w:numPr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CA52D1">
      <w:pPr>
        <w:pStyle w:val="Odstavecsmlouvy"/>
        <w:numPr>
          <w:ilvl w:val="0"/>
          <w:numId w:val="0"/>
        </w:numPr>
      </w:pPr>
    </w:p>
    <w:p w14:paraId="02C81BD2" w14:textId="11BE366C" w:rsidR="001E166C" w:rsidRDefault="001E166C" w:rsidP="001E166C">
      <w:pPr>
        <w:pStyle w:val="Odstavecsmlouvy"/>
      </w:pPr>
      <w:r>
        <w:t>Prodávající na sebe přebírá nebezpečí změny okolností dle § 17</w:t>
      </w:r>
      <w:r w:rsidR="00CA52D1">
        <w:t>65 odst. 2 občanského zákoníku.</w:t>
      </w:r>
    </w:p>
    <w:p w14:paraId="51DFEF00" w14:textId="77777777" w:rsidR="00544FA6" w:rsidRDefault="00544FA6" w:rsidP="00CA52D1">
      <w:pPr>
        <w:pStyle w:val="Odstavecsmlouvy"/>
        <w:numPr>
          <w:ilvl w:val="0"/>
          <w:numId w:val="0"/>
        </w:numPr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CA52D1">
      <w:pPr>
        <w:pStyle w:val="Odstavecsmlouvy"/>
        <w:numPr>
          <w:ilvl w:val="0"/>
          <w:numId w:val="0"/>
        </w:numPr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A52D1">
      <w:pPr>
        <w:pStyle w:val="Odstavecsmlouvy"/>
        <w:numPr>
          <w:ilvl w:val="0"/>
          <w:numId w:val="0"/>
        </w:numPr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CA52D1">
      <w:pPr>
        <w:pStyle w:val="Odstavecsmlouvy"/>
        <w:numPr>
          <w:ilvl w:val="0"/>
          <w:numId w:val="0"/>
        </w:numPr>
      </w:pPr>
    </w:p>
    <w:p w14:paraId="3FB76AD6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CA52D1">
      <w:pPr>
        <w:pStyle w:val="Odstavecsmlouvy"/>
        <w:numPr>
          <w:ilvl w:val="0"/>
          <w:numId w:val="0"/>
        </w:numPr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CA52D1">
      <w:pPr>
        <w:pStyle w:val="Odstavecsmlouvy"/>
        <w:numPr>
          <w:ilvl w:val="0"/>
          <w:numId w:val="0"/>
        </w:numPr>
      </w:pPr>
    </w:p>
    <w:p w14:paraId="75C674D1" w14:textId="633E8DB3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A075CF">
        <w:rPr>
          <w:snapToGrid w:val="0"/>
        </w:rPr>
        <w:t>dvou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>vyhotoveních stejné platnosti a závaznosti, p</w:t>
      </w:r>
      <w:r w:rsidR="00A075CF">
        <w:rPr>
          <w:snapToGrid w:val="0"/>
        </w:rPr>
        <w:t>o jednom pro každou smluvní stranu.</w:t>
      </w:r>
    </w:p>
    <w:p w14:paraId="597C6618" w14:textId="77777777" w:rsidR="007E416F" w:rsidRDefault="007E416F" w:rsidP="00CA52D1">
      <w:pPr>
        <w:pStyle w:val="Odstavecsmlouvy"/>
        <w:numPr>
          <w:ilvl w:val="0"/>
          <w:numId w:val="0"/>
        </w:numPr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1489050E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CA52D1">
      <w:pPr>
        <w:pStyle w:val="Odstavecsmlouvy"/>
        <w:numPr>
          <w:ilvl w:val="0"/>
          <w:numId w:val="0"/>
        </w:numPr>
        <w:ind w:left="567" w:hanging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77777777" w:rsidR="009233F4" w:rsidRPr="001D71E3" w:rsidRDefault="009233F4" w:rsidP="00CA52D1">
      <w:pPr>
        <w:pStyle w:val="Odstavecsmlouvy"/>
        <w:numPr>
          <w:ilvl w:val="0"/>
          <w:numId w:val="0"/>
        </w:num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39D45FCE" w:rsidR="004A45B0" w:rsidRPr="00D722DC" w:rsidRDefault="004A45B0" w:rsidP="0050779D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50779D">
              <w:rPr>
                <w:sz w:val="22"/>
                <w:szCs w:val="22"/>
              </w:rPr>
              <w:t xml:space="preserve"> Praze </w:t>
            </w:r>
            <w:r w:rsidRPr="00D722DC">
              <w:rPr>
                <w:sz w:val="22"/>
                <w:szCs w:val="22"/>
              </w:rPr>
              <w:t>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58C250F4" w:rsidR="004A45B0" w:rsidRPr="00D722DC" w:rsidRDefault="0050779D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ROCHE s. r. o.</w:t>
            </w:r>
          </w:p>
          <w:p w14:paraId="07A13635" w14:textId="6DCCC5E5" w:rsidR="004A45B0" w:rsidRDefault="0003044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</w:t>
            </w:r>
          </w:p>
          <w:p w14:paraId="6269F717" w14:textId="232FBD65" w:rsidR="0050779D" w:rsidRPr="00D722DC" w:rsidRDefault="00030440" w:rsidP="0003044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bookmarkStart w:id="11" w:name="_GoBack"/>
            <w:bookmarkEnd w:id="11"/>
            <w:r>
              <w:rPr>
                <w:sz w:val="22"/>
                <w:szCs w:val="22"/>
              </w:rPr>
              <w:t>jednatelé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2CBE1822" w14:textId="0C03E196" w:rsidR="004A45B0" w:rsidRPr="00D722DC" w:rsidRDefault="00030440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XXXXXXXXXXXXXXXXXXXXXXX</w:t>
            </w:r>
            <w:r w:rsidR="004A45B0" w:rsidRPr="00D722DC">
              <w:rPr>
                <w:sz w:val="22"/>
                <w:szCs w:val="22"/>
              </w:rPr>
              <w:t xml:space="preserve"> 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tbl>
      <w:tblPr>
        <w:tblW w:w="95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2642"/>
        <w:gridCol w:w="931"/>
        <w:gridCol w:w="1868"/>
      </w:tblGrid>
      <w:tr w:rsidR="0006766E" w:rsidRPr="008B5FB8" w14:paraId="43F43D14" w14:textId="77777777" w:rsidTr="0044315C">
        <w:trPr>
          <w:trHeight w:val="52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7C333215" w14:textId="77777777" w:rsidR="0006766E" w:rsidRPr="008B5FB8" w:rsidRDefault="0006766E" w:rsidP="004431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0"/>
                <w:lang w:eastAsia="zh-CN"/>
              </w:rPr>
            </w:pPr>
            <w:r w:rsidRPr="008B5FB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Název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53153D2C" w14:textId="77777777" w:rsidR="0006766E" w:rsidRPr="008B5FB8" w:rsidRDefault="0006766E" w:rsidP="004431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r w:rsidRPr="008B5FB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Kat. </w:t>
            </w:r>
            <w:proofErr w:type="gramStart"/>
            <w:r w:rsidRPr="008B5FB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číslo</w:t>
            </w:r>
            <w:proofErr w:type="gram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70D8B066" w14:textId="77777777" w:rsidR="0006766E" w:rsidRPr="008B5FB8" w:rsidRDefault="0006766E" w:rsidP="0044315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Cena za balení</w:t>
            </w:r>
            <w:r w:rsidRPr="008B5FB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bez DPH*</w:t>
            </w:r>
          </w:p>
        </w:tc>
      </w:tr>
      <w:tr w:rsidR="0006766E" w:rsidRPr="008B5FB8" w14:paraId="2FA423E2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435" w14:textId="77777777" w:rsidR="0006766E" w:rsidRPr="008B5FB8" w:rsidRDefault="0006766E" w:rsidP="004431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8B5FB8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Hlavní reagencie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3DB" w14:textId="77777777" w:rsidR="0006766E" w:rsidRPr="008B5FB8" w:rsidRDefault="0006766E" w:rsidP="004431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803" w14:textId="77777777" w:rsidR="0006766E" w:rsidRPr="008B5FB8" w:rsidRDefault="0006766E" w:rsidP="0044315C">
            <w:pPr>
              <w:jc w:val="right"/>
              <w:rPr>
                <w:sz w:val="16"/>
                <w:szCs w:val="20"/>
              </w:rPr>
            </w:pPr>
          </w:p>
        </w:tc>
      </w:tr>
      <w:tr w:rsidR="0006766E" w:rsidRPr="008B5FB8" w14:paraId="18266FD7" w14:textId="77777777" w:rsidTr="0044315C">
        <w:trPr>
          <w:trHeight w:val="26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1F1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96 DNA and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Viral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NA SV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Kit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7746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6543588001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168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62 044,88 Kč </w:t>
            </w:r>
          </w:p>
        </w:tc>
      </w:tr>
      <w:tr w:rsidR="0006766E" w:rsidRPr="008B5FB8" w14:paraId="3A648D23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4BA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132" w14:textId="77777777" w:rsidR="0006766E" w:rsidRPr="008B5FB8" w:rsidRDefault="0006766E" w:rsidP="0044315C">
            <w:pPr>
              <w:rPr>
                <w:sz w:val="16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79BE5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766E" w:rsidRPr="008B5FB8" w14:paraId="58ABAE52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59A" w14:textId="77777777" w:rsidR="0006766E" w:rsidRPr="008B5FB8" w:rsidRDefault="0006766E" w:rsidP="004431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8B5FB8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Spotřební materiál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F46" w14:textId="77777777" w:rsidR="0006766E" w:rsidRPr="008B5FB8" w:rsidRDefault="0006766E" w:rsidP="004431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5C176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766E" w:rsidRPr="008B5FB8" w14:paraId="178329E8" w14:textId="77777777" w:rsidTr="0044315C">
        <w:trPr>
          <w:trHeight w:val="26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38E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96 Output Plate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A69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6241611001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E774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5 965,81 Kč </w:t>
            </w:r>
          </w:p>
        </w:tc>
      </w:tr>
      <w:tr w:rsidR="0006766E" w:rsidRPr="008B5FB8" w14:paraId="7E76EE01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7D0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96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Processing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Cartridge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8AF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6241603001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E6A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7 672,20 Kč </w:t>
            </w:r>
          </w:p>
        </w:tc>
      </w:tr>
      <w:tr w:rsidR="0006766E" w:rsidRPr="008B5FB8" w14:paraId="771A7C48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0BA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96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System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Fluid (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Internal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CDC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6430112001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0CDE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3 977,27 Kč </w:t>
            </w:r>
          </w:p>
        </w:tc>
      </w:tr>
      <w:tr w:rsidR="0006766E" w:rsidRPr="008B5FB8" w14:paraId="45FB9E63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BFA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Filter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Tips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(1000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ul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F8C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6241620001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8CA5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32 480,69 Kč </w:t>
            </w:r>
          </w:p>
        </w:tc>
      </w:tr>
      <w:tr w:rsidR="0006766E" w:rsidRPr="008B5FB8" w14:paraId="27ABA0B3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CF6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MagNA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Pure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Sealing</w:t>
            </w:r>
            <w:proofErr w:type="spellEnd"/>
            <w:r w:rsidRPr="008B5FB8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spellStart"/>
            <w:r w:rsidRPr="008B5FB8">
              <w:rPr>
                <w:rFonts w:ascii="Calibri" w:hAnsi="Calibri" w:cs="Calibri"/>
                <w:sz w:val="16"/>
                <w:szCs w:val="20"/>
              </w:rPr>
              <w:t>Foil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0C5" w14:textId="77777777" w:rsidR="0006766E" w:rsidRPr="008B5FB8" w:rsidRDefault="0006766E" w:rsidP="0044315C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  <w:r w:rsidRPr="008B5FB8">
              <w:rPr>
                <w:rFonts w:ascii="Calibri" w:hAnsi="Calibri" w:cs="Calibri"/>
                <w:sz w:val="16"/>
                <w:szCs w:val="20"/>
              </w:rPr>
              <w:t>6241638001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F285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42561">
              <w:rPr>
                <w:rFonts w:ascii="Calibri" w:hAnsi="Calibri" w:cs="Calibri"/>
                <w:sz w:val="16"/>
                <w:szCs w:val="16"/>
              </w:rPr>
              <w:t xml:space="preserve"> 7 126,52 Kč </w:t>
            </w:r>
          </w:p>
        </w:tc>
      </w:tr>
      <w:tr w:rsidR="0006766E" w:rsidRPr="008B5FB8" w14:paraId="08425EFD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855" w14:textId="77777777" w:rsidR="0006766E" w:rsidRPr="008B5FB8" w:rsidRDefault="0006766E" w:rsidP="0044315C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C95C2" w14:textId="77777777" w:rsidR="0006766E" w:rsidRPr="008B5FB8" w:rsidRDefault="0006766E" w:rsidP="0044315C">
            <w:pPr>
              <w:rPr>
                <w:sz w:val="16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F722" w14:textId="77777777" w:rsidR="0006766E" w:rsidRPr="008B5FB8" w:rsidRDefault="0006766E" w:rsidP="0044315C">
            <w:pPr>
              <w:rPr>
                <w:sz w:val="16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AD461" w14:textId="77777777" w:rsidR="0006766E" w:rsidRPr="00D42561" w:rsidRDefault="0006766E" w:rsidP="0044315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766E" w:rsidRPr="008B5FB8" w14:paraId="16AB860C" w14:textId="77777777" w:rsidTr="0044315C">
        <w:trPr>
          <w:trHeight w:val="263"/>
        </w:trPr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9E7" w14:textId="77777777" w:rsidR="0006766E" w:rsidRPr="008B5FB8" w:rsidRDefault="0006766E" w:rsidP="0044315C">
            <w:pPr>
              <w:rPr>
                <w:sz w:val="16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9363" w14:textId="5647DD12" w:rsidR="0006766E" w:rsidRPr="008B5FB8" w:rsidRDefault="0006766E" w:rsidP="004431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8B5FB8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Cena za izolaci bez DPH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92A" w14:textId="77777777" w:rsidR="0006766E" w:rsidRPr="008B5FB8" w:rsidRDefault="0006766E" w:rsidP="004431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8B5FB8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146,56</w:t>
            </w:r>
            <w:r w:rsidRPr="008B5FB8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Kč </w:t>
            </w:r>
          </w:p>
        </w:tc>
      </w:tr>
    </w:tbl>
    <w:p w14:paraId="614CD266" w14:textId="77777777" w:rsidR="00AA34DF" w:rsidRDefault="00AA34DF" w:rsidP="00023008"/>
    <w:sectPr w:rsidR="00AA34DF" w:rsidSect="00D930BD">
      <w:footerReference w:type="default" r:id="rId13"/>
      <w:footerReference w:type="first" r:id="rId14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0E41" w14:textId="77777777" w:rsidR="0013542A" w:rsidRDefault="0013542A" w:rsidP="006337DC">
      <w:r>
        <w:separator/>
      </w:r>
    </w:p>
  </w:endnote>
  <w:endnote w:type="continuationSeparator" w:id="0">
    <w:p w14:paraId="1405AB73" w14:textId="77777777" w:rsidR="0013542A" w:rsidRDefault="0013542A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5E3F6EAE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030440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0A1AD7A5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30440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DC02" w14:textId="77777777" w:rsidR="0013542A" w:rsidRDefault="0013542A" w:rsidP="006337DC">
      <w:r>
        <w:separator/>
      </w:r>
    </w:p>
  </w:footnote>
  <w:footnote w:type="continuationSeparator" w:id="0">
    <w:p w14:paraId="57ACCA98" w14:textId="77777777" w:rsidR="0013542A" w:rsidRDefault="0013542A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27D33"/>
    <w:rsid w:val="00030440"/>
    <w:rsid w:val="000304D3"/>
    <w:rsid w:val="00030B09"/>
    <w:rsid w:val="000313A0"/>
    <w:rsid w:val="0003714D"/>
    <w:rsid w:val="0005321A"/>
    <w:rsid w:val="00061455"/>
    <w:rsid w:val="00064A2C"/>
    <w:rsid w:val="0006766E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542A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551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4CCD"/>
    <w:rsid w:val="0020519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84DD8"/>
    <w:rsid w:val="00286EBA"/>
    <w:rsid w:val="00286F30"/>
    <w:rsid w:val="0029236A"/>
    <w:rsid w:val="002959B0"/>
    <w:rsid w:val="00297F3A"/>
    <w:rsid w:val="002A1875"/>
    <w:rsid w:val="002A5831"/>
    <w:rsid w:val="002B1098"/>
    <w:rsid w:val="002B68E8"/>
    <w:rsid w:val="002C0743"/>
    <w:rsid w:val="002C243A"/>
    <w:rsid w:val="002C69B1"/>
    <w:rsid w:val="002D0792"/>
    <w:rsid w:val="002D48A0"/>
    <w:rsid w:val="002D5435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48D0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4256"/>
    <w:rsid w:val="003874CE"/>
    <w:rsid w:val="00390468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0779D"/>
    <w:rsid w:val="0051341C"/>
    <w:rsid w:val="005237DF"/>
    <w:rsid w:val="0052509C"/>
    <w:rsid w:val="005255AE"/>
    <w:rsid w:val="00530753"/>
    <w:rsid w:val="00530F90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1AC9"/>
    <w:rsid w:val="006925A2"/>
    <w:rsid w:val="00692870"/>
    <w:rsid w:val="00693C07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6F7189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67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E2953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5CF"/>
    <w:rsid w:val="00A07E80"/>
    <w:rsid w:val="00A10247"/>
    <w:rsid w:val="00A1270C"/>
    <w:rsid w:val="00A12D3B"/>
    <w:rsid w:val="00A23D5E"/>
    <w:rsid w:val="00A2783D"/>
    <w:rsid w:val="00A30A84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5CC0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52D1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651"/>
    <w:rsid w:val="00F43EC4"/>
    <w:rsid w:val="00F45871"/>
    <w:rsid w:val="00F45BDE"/>
    <w:rsid w:val="00F51C8E"/>
    <w:rsid w:val="00F55E3B"/>
    <w:rsid w:val="00F60CFD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F45F9-6D3E-4C84-9C0A-22792AD5472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7e37686-00e6-405d-9032-d05dd3ba55a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C9E8FD-EF1F-42D9-949F-101F6F33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3699</Words>
  <Characters>21252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- příloha č. 1 - rámcová dohoda</vt:lpstr>
      <vt:lpstr>Zadávací dokumentace - příloha č. 1 - rámcová dohoda</vt:lpstr>
    </vt:vector>
  </TitlesOfParts>
  <Company>sV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Láníčková Kateřina</cp:lastModifiedBy>
  <cp:revision>3</cp:revision>
  <cp:lastPrinted>2020-10-01T12:19:00Z</cp:lastPrinted>
  <dcterms:created xsi:type="dcterms:W3CDTF">2020-12-14T07:22:00Z</dcterms:created>
  <dcterms:modified xsi:type="dcterms:W3CDTF">2020-12-14T07:24:00Z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