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200000pt;margin-top:0.000000pt;width:464.2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8" w:lineRule="atLeast"/>
                    <w:ind w:left="3835" w:firstLine="0"/>
                    <w:textAlignment w:val="baseline"/>
                  </w:pP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200000pt;margin-top:29.800000pt;width:464.250000pt;height:18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86" w:right="3312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81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3" w:after="0" w:line="273" w:lineRule="atLeast"/>
                    <w:ind w:left="81" w:right="372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3" w:lineRule="atLeast"/>
                    <w:ind w:left="76" w:firstLine="0"/>
                    <w:textAlignment w:val="baseline"/>
                  </w:pP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83" w:lineRule="atLeast"/>
                    <w:ind w:left="67" w:right="7622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Ladislav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Šedina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voda,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Leknínova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1383</w:t>
                  </w:r>
                </w:p>
                <w:p>
                  <w:pPr>
                    <w:pStyle w:val="Style"/>
                    <w:spacing w:before="3" w:after="0" w:line="268" w:lineRule="atLeast"/>
                    <w:ind w:left="62" w:right="7435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65981669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200000pt;margin-top:223.200000pt;width:464.2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(společně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200000pt;margin-top:250.800000pt;width:464.2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uzavírají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200000pt;margin-top:278.400000pt;width:464.2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200000pt;margin-top:319.700000pt;width:464.2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výměna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topných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těles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200000pt;margin-top:347.050000pt;width:464.2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200000pt;margin-top:374.900000pt;width:464.2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027,00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slovy: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Devadesátpěttisícdvacetsedmkorunčeských.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200000pt;margin-top:416.200000pt;width:465.9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dokumentace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hygienické,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zakázkou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nejpozději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31.12.2020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200000pt;margin-top:498.250000pt;width:464.700000pt;height:6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důkladně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prohlédl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konstatuje,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neshledal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žádné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ztěžujících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upozornil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dohodnutá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zohledňuje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ztížený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700000pt;margin-top:566.900000pt;width:464.9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Objeví-li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pomocí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telefonické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informaci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vyčká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200000pt;margin-top:608.400000pt;width:465.200000pt;height:6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nezjistitelné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rozbalovaného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materiálu),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dojednají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způsobu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harmonogramu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Nedohodnou-li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000000pt;margin-top:677.550000pt;width:465.450000pt;height:2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20" w:right="1287" w:bottom="360" w:left="959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250000pt;margin-top:0.000000pt;width:468.300000pt;height:13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62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0" w:after="0" w:line="278" w:lineRule="atLeast"/>
                    <w:ind w:left="62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250000pt;margin-top:138.700000pt;width:467.100000pt;height:5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250000pt;margin-top:208.050000pt;width:466.9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250000pt;margin-top:235.650000pt;width:466.9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250000pt;margin-top:276.950000pt;width:466.90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83" w:lineRule="atLeast"/>
                    <w:ind w:left="57" w:right="2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250000pt;margin-top:332.400000pt;width:466.9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250000pt;margin-top:359.750000pt;width:466.90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000000pt;margin-top:415.200000pt;width:467.100000pt;height:10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0.000000pt;margin-top:524.400000pt;width:467.100000pt;height:174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8" w:lineRule="atLeast"/>
                    <w:ind w:left="19" w:right="160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  <w:p>
                  <w:pPr>
                    <w:pStyle w:val="Style"/>
                    <w:spacing w:before="0" w:after="0" w:line="230" w:lineRule="atLeast"/>
                    <w:ind w:left="769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right" w:leader="none" w:pos="9240"/>
                    </w:tabs>
                    <w:spacing w:before="0" w:after="0" w:line="369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Ve.Strakonicích/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14.12.2020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91"/>
                      <w:szCs w:val="91"/>
                      <w:lang w:val="cs"/>
                    </w:rPr>
                    <w:t xml:space="preserve">&lt;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91"/>
                      <w:szCs w:val="9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91"/>
                      <w:szCs w:val="91"/>
                      <w:lang w:val="cs"/>
                    </w:rPr>
                    <w:t xml:space="preserve">_</w:t>
                  </w:r>
                  <w:r>
                    <w:rPr>
                      <w:rFonts w:ascii="Arial" w:eastAsia="Arial" w:hAnsi="Arial" w:cs="Arial"/>
                      <w:w w:val="106"/>
                      <w:sz w:val="91"/>
                      <w:szCs w:val="9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91"/>
                      <w:szCs w:val="91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106"/>
                      <w:sz w:val="91"/>
                      <w:szCs w:val="9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4"/>
                      <w:sz w:val="15"/>
                      <w:szCs w:val="15"/>
                      <w:lang w:val="cs"/>
                    </w:rPr>
                    <w:t xml:space="preserve">~l,</w:t>
                  </w:r>
                  <w:r>
                    <w:rPr>
                      <w:rFonts w:ascii="Arial" w:eastAsia="Arial" w:hAnsi="Arial" w:cs="Arial"/>
                      <w:i/>
                      <w:iCs/>
                      <w:w w:val="114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72"/>
                      <w:sz w:val="22"/>
                      <w:szCs w:val="22"/>
                      <w:lang w:val="cs"/>
                    </w:rPr>
                    <w:t xml:space="preserve">'.A</w:t>
                  </w:r>
                  <w:r>
                    <w:rPr>
                      <w:i/>
                      <w:iCs/>
                      <w:w w:val="72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200"/>
                      <w:sz w:val="10"/>
                      <w:szCs w:val="10"/>
                      <w:lang w:val="cs"/>
                    </w:rPr>
                    <w:t xml:space="preserve">?</w:t>
                  </w:r>
                  <w:r>
                    <w:rPr>
                      <w:i/>
                      <w:iCs/>
                      <w:w w:val="200"/>
                      <w:sz w:val="10"/>
                      <w:szCs w:val="1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862"/>
                      <w:tab w:val="left" w:leader="none" w:pos="2361"/>
                      <w:tab w:val="right" w:leader="none" w:pos="9249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Objednatel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21"/>
                      <w:sz w:val="65"/>
                      <w:szCs w:val="65"/>
                      <w:lang w:val="cs"/>
                    </w:rPr>
                    <w:t xml:space="preserve">h</w:t>
                  </w:r>
                  <w:r>
                    <w:rPr>
                      <w:rFonts w:ascii="Arial" w:eastAsia="Arial" w:hAnsi="Arial" w:cs="Arial"/>
                      <w:i/>
                      <w:iCs/>
                      <w:w w:val="121"/>
                      <w:sz w:val="65"/>
                      <w:szCs w:val="65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Zhotovitel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58"/>
                      <w:sz w:val="14"/>
                      <w:szCs w:val="14"/>
                      <w:lang w:val="cs"/>
                    </w:rPr>
                    <w:t xml:space="preserve">r:</w:t>
                  </w:r>
                  <w:r>
                    <w:rPr>
                      <w:i/>
                      <w:iCs/>
                      <w:w w:val="158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58"/>
                      <w:sz w:val="14"/>
                      <w:szCs w:val="14"/>
                      <w:lang w:val="cs"/>
                    </w:rPr>
                    <w:t xml:space="preserve">-</w:t>
                  </w:r>
                  <w:r>
                    <w:rPr>
                      <w:w w:val="158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20"/>
                      <w:sz w:val="25"/>
                      <w:szCs w:val="25"/>
                      <w:lang w:val="cs"/>
                    </w:rPr>
                    <w:t xml:space="preserve">c</w:t>
                  </w:r>
                  <w:r>
                    <w:rPr>
                      <w:w w:val="120"/>
                      <w:sz w:val="25"/>
                      <w:szCs w:val="2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06"/>
                      <w:sz w:val="22"/>
                      <w:szCs w:val="22"/>
                      <w:lang w:val="cs"/>
                    </w:rPr>
                    <w:t xml:space="preserve">c::-ť</w:t>
                  </w:r>
                  <w:r>
                    <w:rPr>
                      <w:i/>
                      <w:iCs/>
                      <w:w w:val="106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06"/>
                      <w:sz w:val="22"/>
                      <w:szCs w:val="22"/>
                      <w:lang w:val="cs"/>
                    </w:rPr>
                    <w:t xml:space="preserve">,/</w:t>
                  </w:r>
                  <w:r>
                    <w:rPr>
                      <w:i/>
                      <w:iCs/>
                      <w:w w:val="106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sz w:val="18"/>
                      <w:szCs w:val="18"/>
                      <w:lang w:val="cs"/>
                    </w:rPr>
                    <w:t xml:space="preserve">/?-</w:t>
                  </w:r>
                  <w:r>
                    <w:rPr>
                      <w:i/>
                      <w:iCs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S,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867"/>
                      <w:tab w:val="left" w:leader="none" w:pos="2361"/>
                      <w:tab w:val="right" w:leader="none" w:pos="9249"/>
                    </w:tabs>
                    <w:spacing w:before="0" w:after="0" w:line="54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52"/>
                      <w:sz w:val="35"/>
                      <w:szCs w:val="35"/>
                      <w:lang w:val="cs"/>
                    </w:rPr>
                    <w:tab/>
                    <w:t xml:space="preserve">y</w:t>
                  </w:r>
                  <w:r>
                    <w:rPr>
                      <w:rFonts w:ascii="Arial" w:eastAsia="Arial" w:hAnsi="Arial" w:cs="Arial"/>
                      <w:w w:val="52"/>
                      <w:sz w:val="35"/>
                      <w:szCs w:val="3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ab/>
                    <w:t xml:space="preserve">"]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•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'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'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-,</w:t>
                  </w:r>
                  <w:r>
                    <w:rPr>
                      <w:rFonts w:ascii="Arial" w:eastAsia="Arial" w:hAnsi="Arial" w:cs="Arial"/>
                      <w:w w:val="88"/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5"/>
                      <w:sz w:val="15"/>
                      <w:szCs w:val="15"/>
                      <w:lang w:val="cs"/>
                    </w:rPr>
                    <w:t xml:space="preserve">!</w:t>
                  </w:r>
                  <w:r>
                    <w:rPr>
                      <w:rFonts w:ascii="Arial" w:eastAsia="Arial" w:hAnsi="Arial" w:cs="Arial"/>
                      <w:w w:val="135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Z'k'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d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5"/>
                      <w:szCs w:val="5"/>
                      <w:lang w:val="cs"/>
                    </w:rPr>
                    <w:t xml:space="preserve">í</w:t>
                  </w:r>
                  <w:r>
                    <w:rPr>
                      <w:rFonts w:ascii="Arial" w:eastAsia="Arial" w:hAnsi="Arial" w:cs="Arial"/>
                      <w:w w:val="200"/>
                      <w:sz w:val="5"/>
                      <w:szCs w:val="5"/>
                      <w:lang w:val="cs"/>
                    </w:rPr>
                    <w:t xml:space="preserve"> 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šk</w:t>
                  </w:r>
                  <w:r>
                    <w:rPr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115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809"/>
                      <w:tab w:val="left" w:leader="none" w:pos="1843"/>
                      <w:tab w:val="right" w:leader="none" w:pos="2433"/>
                      <w:tab w:val="left" w:leader="none" w:pos="2529"/>
                      <w:tab w:val="right" w:leader="none" w:pos="9249"/>
                    </w:tabs>
                    <w:spacing w:before="0" w:after="0" w:line="3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62"/>
                      <w:sz w:val="2"/>
                      <w:szCs w:val="2"/>
                      <w:vertAlign w:val="subscript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w w:val="62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2"/>
                      <w:sz w:val="8"/>
                      <w:szCs w:val="8"/>
                      <w:lang w:val="cs"/>
                    </w:rPr>
                    <w:tab/>
                    <w:t xml:space="preserve">.~</w:t>
                  </w:r>
                  <w:r>
                    <w:rPr>
                      <w:rFonts w:ascii="Arial" w:eastAsia="Arial" w:hAnsi="Arial" w:cs="Arial"/>
                      <w:w w:val="62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7"/>
                      <w:szCs w:val="7"/>
                      <w:lang w:val="cs"/>
                    </w:rPr>
                    <w:tab/>
                    <w:t xml:space="preserve">:1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7"/>
                      <w:szCs w:val="7"/>
                      <w:lang w:val="cs"/>
                    </w:rPr>
                    <w:t xml:space="preserve">•..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7"/>
                      <w:szCs w:val="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-etSK~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b/>
                      <w:w w:val="127"/>
                      <w:sz w:val="11"/>
                      <w:szCs w:val="11"/>
                      <w:lang w:val="cs"/>
                    </w:rPr>
                    <w:t xml:space="preserve">-~/:O</w:t>
                  </w:r>
                  <w:r>
                    <w:rPr>
                      <w:b/>
                      <w:w w:val="127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a,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8: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.,3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b/>
                      <w:sz w:val="13"/>
                      <w:szCs w:val="13"/>
                      <w:lang w:val="cs"/>
                    </w:rPr>
                    <w:t xml:space="preserve">nt</w:t>
                  </w:r>
                  <w:r>
                    <w:rPr>
                      <w:b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S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O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b/>
                      <w:w w:val="112"/>
                      <w:sz w:val="11"/>
                      <w:szCs w:val="1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823"/>
                      <w:tab w:val="left" w:leader="none" w:pos="1833"/>
                      <w:tab w:val="left" w:leader="none" w:pos="1828"/>
                      <w:tab w:val="right" w:leader="none" w:pos="2433"/>
                      <w:tab w:val="left" w:leader="none" w:pos="2860"/>
                      <w:tab w:val="right" w:leader="none" w:pos="9249"/>
                    </w:tabs>
                    <w:spacing w:before="0" w:after="0" w:line="16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50"/>
                      <w:sz w:val="18"/>
                      <w:szCs w:val="18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w w:val="50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15"/>
                      <w:szCs w:val="15"/>
                      <w:lang w:val="cs"/>
                    </w:rPr>
                    <w:tab/>
                    <w:t xml:space="preserve">a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15"/>
                      <w:szCs w:val="15"/>
                      <w:lang w:val="cs"/>
                    </w:rPr>
                    <w:t xml:space="preserve">:':ln:ktick.'.:1</w:t>
                  </w:r>
                  <w:r>
                    <w:rPr>
                      <w:rFonts w:ascii="Arial" w:eastAsia="Arial" w:hAnsi="Arial" w:cs="Arial"/>
                      <w:b/>
                      <w:w w:val="78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828"/>
                      <w:tab w:val="left" w:leader="none" w:pos="1828"/>
                      <w:tab w:val="right" w:leader="none" w:pos="2433"/>
                      <w:tab w:val="left" w:leader="none" w:pos="2520"/>
                      <w:tab w:val="right" w:leader="none" w:pos="9249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cs"/>
                    </w:rPr>
                    <w:tab/>
                    <w:t xml:space="preserve">'</w:t>
                  </w:r>
                  <w:r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cs"/>
                    </w:rPr>
                    <w:tab/>
                    <w:t xml:space="preserve">.St·.&lt;i,c.;11ce.</w:t>
                  </w:r>
                  <w:r>
                    <w:rPr>
                      <w:rFonts w:ascii="Arial" w:eastAsia="Arial" w:hAnsi="Arial" w:cs="Arial"/>
                      <w:w w:val="83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u:énkova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828"/>
                      <w:tab w:val="left" w:leader="none" w:pos="1828"/>
                      <w:tab w:val="right" w:leader="none" w:pos="2433"/>
                      <w:tab w:val="left" w:leader="none" w:pos="2932"/>
                      <w:tab w:val="left" w:leader="none" w:pos="4416"/>
                      <w:tab w:val="right" w:leader="none" w:pos="9249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75"/>
                      <w:sz w:val="15"/>
                      <w:szCs w:val="15"/>
                      <w:lang w:val="cs"/>
                    </w:rPr>
                    <w:tab/>
                    <w:t xml:space="preserve">i{:</w:t>
                  </w:r>
                  <w:r>
                    <w:rPr>
                      <w:rFonts w:ascii="Arial" w:eastAsia="Arial" w:hAnsi="Arial" w:cs="Arial"/>
                      <w:w w:val="175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6:J::::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89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920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ab/>
                    <w:t xml:space="preserve">~</w:t>
                  </w:r>
                  <w:r>
                    <w:rPr>
                      <w:w w:val="92"/>
                      <w:sz w:val="17"/>
                      <w:szCs w:val="1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811" w:right="1253" w:bottom="360" w:left="964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2020-12-16T08:03:09Z</dcterms:created>
  <dcterms:modified xsi:type="dcterms:W3CDTF">2020-12-16T08:03:09Z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