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5B" w:rsidRDefault="00F81D5B" w:rsidP="00F81D5B">
      <w:pPr>
        <w:spacing w:before="100" w:beforeAutospacing="1" w:after="100" w:afterAutospacing="1"/>
      </w:pPr>
      <w:r>
        <w:rPr>
          <w:rFonts w:ascii="UnitPro" w:hAnsi="UnitPro" w:cs="UnitPro"/>
          <w:b/>
          <w:bCs/>
          <w:color w:val="282828"/>
          <w:sz w:val="20"/>
          <w:szCs w:val="20"/>
        </w:rPr>
        <w:t>Cenová nabídka:</w:t>
      </w:r>
    </w:p>
    <w:p w:rsidR="00F81D5B" w:rsidRDefault="00F81D5B" w:rsidP="00F81D5B">
      <w:pPr>
        <w:spacing w:before="100" w:beforeAutospacing="1" w:after="100" w:afterAutospacing="1"/>
      </w:pPr>
      <w:r>
        <w:rPr>
          <w:rFonts w:ascii="UnitPro" w:hAnsi="UnitPro" w:cs="UnitPro"/>
          <w:color w:val="282828"/>
          <w:sz w:val="20"/>
          <w:szCs w:val="20"/>
        </w:rPr>
        <w:t> </w:t>
      </w:r>
    </w:p>
    <w:tbl>
      <w:tblPr>
        <w:tblW w:w="1368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0"/>
        <w:gridCol w:w="960"/>
        <w:gridCol w:w="2140"/>
        <w:gridCol w:w="2340"/>
        <w:gridCol w:w="2080"/>
      </w:tblGrid>
      <w:tr w:rsidR="00F81D5B" w:rsidTr="00F81D5B">
        <w:trPr>
          <w:trHeight w:val="1020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b/>
                <w:bCs/>
                <w:color w:val="000000"/>
                <w:sz w:val="20"/>
                <w:szCs w:val="20"/>
                <w:lang w:eastAsia="en-US"/>
              </w:rPr>
              <w:t>Doplnění dokumentační techniky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b/>
                <w:bCs/>
                <w:color w:val="000000"/>
                <w:sz w:val="20"/>
                <w:szCs w:val="20"/>
                <w:lang w:eastAsia="en-US"/>
              </w:rPr>
              <w:t>Počet ks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b/>
                <w:bCs/>
                <w:color w:val="000000"/>
                <w:sz w:val="20"/>
                <w:szCs w:val="20"/>
                <w:lang w:eastAsia="en-US"/>
              </w:rPr>
              <w:t>Cena za ks bez DPH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b/>
                <w:bCs/>
                <w:color w:val="000000"/>
                <w:sz w:val="20"/>
                <w:szCs w:val="20"/>
                <w:lang w:eastAsia="en-US"/>
              </w:rPr>
              <w:t>Cena celkem bez DPH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b/>
                <w:bCs/>
                <w:color w:val="000000"/>
                <w:sz w:val="20"/>
                <w:szCs w:val="20"/>
                <w:lang w:eastAsia="en-US"/>
              </w:rPr>
              <w:t>Cena celkem s DPH</w:t>
            </w:r>
          </w:p>
        </w:tc>
      </w:tr>
      <w:tr w:rsidR="00F81D5B" w:rsidTr="00F81D5B">
        <w:trPr>
          <w:trHeight w:val="1020"/>
        </w:trPr>
        <w:tc>
          <w:tcPr>
            <w:tcW w:w="6160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Baterie typu LP E6N</w:t>
            </w:r>
          </w:p>
        </w:tc>
        <w:tc>
          <w:tcPr>
            <w:tcW w:w="96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jc w:val="center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 1645 Kč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 3290 Kč</w:t>
            </w:r>
          </w:p>
        </w:tc>
        <w:tc>
          <w:tcPr>
            <w:tcW w:w="208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 3981 Kč</w:t>
            </w:r>
          </w:p>
        </w:tc>
      </w:tr>
      <w:tr w:rsidR="00F81D5B" w:rsidTr="00F81D5B">
        <w:trPr>
          <w:trHeight w:val="1020"/>
        </w:trPr>
        <w:tc>
          <w:tcPr>
            <w:tcW w:w="6160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Objektiv s ohniskovou vzdáleností 70 – 200mm a světelnosti f/2.8 L</w:t>
            </w:r>
          </w:p>
        </w:tc>
        <w:tc>
          <w:tcPr>
            <w:tcW w:w="96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jc w:val="center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 46314 Kč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 46314 Kč</w:t>
            </w:r>
          </w:p>
        </w:tc>
        <w:tc>
          <w:tcPr>
            <w:tcW w:w="208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 56041 Kč</w:t>
            </w:r>
          </w:p>
        </w:tc>
      </w:tr>
      <w:tr w:rsidR="00F81D5B" w:rsidTr="00F81D5B">
        <w:trPr>
          <w:trHeight w:val="102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Video stativ s fluidní hlavou a nosností 8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jc w:val="center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 17926 Kč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 17926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lang w:eastAsia="en-US"/>
              </w:rPr>
              <w:t xml:space="preserve"> 21690 </w:t>
            </w: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 Kč</w:t>
            </w:r>
          </w:p>
        </w:tc>
      </w:tr>
      <w:tr w:rsidR="00F81D5B" w:rsidTr="00F81D5B">
        <w:trPr>
          <w:trHeight w:val="1020"/>
        </w:trPr>
        <w:tc>
          <w:tcPr>
            <w:tcW w:w="7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b/>
                <w:bCs/>
                <w:color w:val="000000"/>
                <w:sz w:val="20"/>
                <w:szCs w:val="20"/>
                <w:lang w:eastAsia="en-US"/>
              </w:rPr>
              <w:t>Cena celkem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UnitPro" w:hAnsi="UnitPro" w:cs="UnitPro"/>
                <w:b/>
                <w:bCs/>
                <w:color w:val="000000"/>
                <w:sz w:val="20"/>
                <w:szCs w:val="20"/>
                <w:lang w:eastAsia="en-US"/>
              </w:rPr>
              <w:t>67530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1D5B" w:rsidRDefault="00F81D5B">
            <w:pPr>
              <w:spacing w:before="100" w:beforeAutospacing="1" w:after="100" w:afterAutospacing="1" w:line="252" w:lineRule="auto"/>
              <w:rPr>
                <w:lang w:eastAsia="en-US"/>
              </w:rPr>
            </w:pPr>
            <w:r>
              <w:rPr>
                <w:rFonts w:ascii="UnitPro" w:hAnsi="UnitPro" w:cs="UnitPro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UnitPro" w:hAnsi="UnitPro" w:cs="UnitPro"/>
                <w:b/>
                <w:bCs/>
                <w:color w:val="000000"/>
                <w:sz w:val="20"/>
                <w:szCs w:val="20"/>
                <w:lang w:eastAsia="en-US"/>
              </w:rPr>
              <w:t>81712 Kč</w:t>
            </w:r>
          </w:p>
        </w:tc>
      </w:tr>
    </w:tbl>
    <w:p w:rsidR="00F81D5B" w:rsidRDefault="00F81D5B" w:rsidP="00F81D5B">
      <w:pPr>
        <w:spacing w:before="100" w:beforeAutospacing="1" w:after="100" w:afterAutospacing="1"/>
      </w:pPr>
      <w:r>
        <w:rPr>
          <w:rFonts w:ascii="UnitPro" w:hAnsi="UnitPro" w:cs="UnitPro"/>
          <w:color w:val="282828"/>
          <w:sz w:val="20"/>
          <w:szCs w:val="20"/>
        </w:rPr>
        <w:t> </w:t>
      </w:r>
    </w:p>
    <w:p w:rsidR="003D58DF" w:rsidRPr="00F81D5B" w:rsidRDefault="003D58DF" w:rsidP="00F81D5B">
      <w:bookmarkStart w:id="0" w:name="_GoBack"/>
      <w:bookmarkEnd w:id="0"/>
    </w:p>
    <w:sectPr w:rsidR="003D58DF" w:rsidRPr="00F81D5B" w:rsidSect="00F81D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5B"/>
    <w:rsid w:val="003D58DF"/>
    <w:rsid w:val="006D3709"/>
    <w:rsid w:val="00DA6F35"/>
    <w:rsid w:val="00ED3B1D"/>
    <w:rsid w:val="00F8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B191"/>
  <w15:chartTrackingRefBased/>
  <w15:docId w15:val="{E688AD48-60F2-4287-BBAC-41ED1C6D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1D5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1D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1D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D5B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Tereza (SVV/CAMP)</dc:creator>
  <cp:keywords/>
  <dc:description/>
  <cp:lastModifiedBy>Kyselová Karolína Ing. (SPR/VEZ)</cp:lastModifiedBy>
  <cp:revision>4</cp:revision>
  <cp:lastPrinted>2020-12-03T09:38:00Z</cp:lastPrinted>
  <dcterms:created xsi:type="dcterms:W3CDTF">2020-12-03T09:33:00Z</dcterms:created>
  <dcterms:modified xsi:type="dcterms:W3CDTF">2020-12-14T10:17:00Z</dcterms:modified>
</cp:coreProperties>
</file>