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77330" cy="85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77330" cy="85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II/405 Brtnice - Zašovice, ze dne 31. 7. 2020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ZMR-ST-29-2020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sídlem: Kosovská 1122/16, 58601 Jihlava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SILSTAP - silniční stavební práce,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5275/16a, 586 01 Jihlava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Brně, oddíl C, vložka 26760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Michalem Matouškem, jednatelem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25334611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CZ25334611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provedení části opravovaného úseku jinou technologií, a tak i změny podmínek záruky za jakost, uzavírají smluvní strany v souladu s ustanovením § 222 odst. 6 zákona č. 134/2016 Sb., o zadávání veřejných zakázek (dále jen „zákon“) tento dodatek č. 2 ke smlouvě o dílo číslo objednatele ZMR-ST-29-2020, ze dne 31. 7. 2020, ve znění dodatku č. 1 ze dne 8. 10. 2020.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 za vady díla a záruka za jakost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X.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10.1.,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poskytuje na dílo, které je předmětem této Smlouvy, záruku za jakost v délce trvání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 měsíců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poskytuje na dílo, které je předmětem této Smlouvy, záruku za jakost v délce trvání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 měsíců s výjimkou úseku 0,000 - 0,340 km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na který poskytuje záruku v trvání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 měsíců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77330" cy="8534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577330" cy="85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39" w:line="1" w:lineRule="exact"/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tohoto dodatku je změna závazku z původní smlouvy na veřejnou zakázku, která se nepovažuje za podstatnou změnu závazku, neboť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222 odst. 6 zákona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nepovažuje změna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jejíž potřeba vznikla v důsledku okolností, které zadavatel jednající s náležitou péčí nemohl předvídat,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nemění celkovou povahu veřejné zakázky 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hodnota změny nepřekročí 50 % původní hodnoty závazku.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změnou závazku smlouvy je prodloužení záruky na část díla (úsek 0,000 - 0,340 km), který byl oproti opravě emulzním mikrokobercem nahrazen opravu frézováním a výměnou obrusné vrstvy. Hodnota navrhovaných změn byla zohledněna v dodatku č. 1.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8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ustanovení shora citované smlouvy se nemění a zůstávají v platnosti.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stávající smlouvy.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účinný dnem jeho uveřejnění v registru smluv.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ho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2240" w:h="15840"/>
      <w:pgMar w:top="422" w:left="1147" w:right="710" w:bottom="1086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5916295</wp:posOffset>
              </wp:positionH>
              <wp:positionV relativeFrom="page">
                <wp:posOffset>9570720</wp:posOffset>
              </wp:positionV>
              <wp:extent cx="60325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32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5.85000000000002pt;margin-top:753.60000000000002pt;width:47.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9529445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50.35000000000002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Nadpis #2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28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line="254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