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FE3F2" w14:textId="77777777" w:rsidR="0092008B" w:rsidRPr="0092008B" w:rsidRDefault="0092008B" w:rsidP="0092008B">
      <w:pPr>
        <w:keepNext/>
        <w:tabs>
          <w:tab w:val="num" w:pos="360"/>
        </w:tabs>
        <w:spacing w:before="360" w:after="120" w:line="240" w:lineRule="auto"/>
        <w:jc w:val="center"/>
        <w:outlineLvl w:val="1"/>
        <w:rPr>
          <w:rFonts w:ascii="Arial" w:eastAsia="Calibri" w:hAnsi="Arial" w:cs="Arial"/>
          <w:b/>
        </w:rPr>
      </w:pPr>
      <w:bookmarkStart w:id="0" w:name="_GoBack"/>
      <w:bookmarkEnd w:id="0"/>
      <w:r w:rsidRPr="0092008B">
        <w:rPr>
          <w:rFonts w:ascii="Arial" w:eastAsia="Calibri" w:hAnsi="Arial" w:cs="Arial"/>
          <w:b/>
        </w:rPr>
        <w:t>Obchodní a jiné smluvní podmínky</w:t>
      </w:r>
    </w:p>
    <w:p w14:paraId="4E789FEB" w14:textId="77777777" w:rsidR="0092008B" w:rsidRPr="0092008B" w:rsidRDefault="0092008B" w:rsidP="0092008B">
      <w:pPr>
        <w:spacing w:after="120" w:line="240" w:lineRule="auto"/>
        <w:jc w:val="both"/>
        <w:rPr>
          <w:rFonts w:ascii="Arial" w:eastAsia="Calibri" w:hAnsi="Arial" w:cs="Arial"/>
          <w:b/>
        </w:rPr>
      </w:pPr>
      <w:r w:rsidRPr="0092008B">
        <w:rPr>
          <w:rFonts w:ascii="Arial" w:eastAsia="Calibri" w:hAnsi="Arial" w:cs="Arial"/>
          <w:b/>
        </w:rPr>
        <w:t xml:space="preserve">Dodavatel je povinen v nabídce předložit návrh smlouvy zpracovaný v souladu s touto zadávací dokumentací. </w:t>
      </w:r>
    </w:p>
    <w:p w14:paraId="049BCE85" w14:textId="77777777" w:rsidR="0092008B" w:rsidRPr="0092008B" w:rsidRDefault="0092008B" w:rsidP="0092008B">
      <w:pPr>
        <w:spacing w:after="120" w:line="240" w:lineRule="auto"/>
        <w:jc w:val="both"/>
        <w:rPr>
          <w:rFonts w:ascii="Arial" w:eastAsia="Calibri" w:hAnsi="Arial" w:cs="Arial"/>
        </w:rPr>
      </w:pPr>
      <w:r w:rsidRPr="0092008B">
        <w:rPr>
          <w:rFonts w:ascii="Arial" w:eastAsia="Calibri" w:hAnsi="Arial" w:cs="Arial"/>
          <w:b/>
        </w:rPr>
        <w:t>Dle § 104 písm. e) ZZVZ bude vybraný dodavatel povinen na základě výzvy zadavatele zaslané dle § 122 odst. 3 ZZVZ poskytnout zadavateli potřebnou součinnost při zpracování finálního znění smlouvy</w:t>
      </w:r>
      <w:r w:rsidRPr="0092008B">
        <w:rPr>
          <w:rFonts w:ascii="Arial" w:eastAsia="Calibri" w:hAnsi="Arial" w:cs="Arial"/>
        </w:rPr>
        <w:t xml:space="preserve"> </w:t>
      </w:r>
      <w:r w:rsidRPr="0092008B">
        <w:rPr>
          <w:rFonts w:ascii="Arial" w:eastAsia="Calibri" w:hAnsi="Arial" w:cs="Arial"/>
          <w:b/>
          <w:lang w:eastAsia="cs-CZ"/>
        </w:rPr>
        <w:t>a</w:t>
      </w:r>
      <w:r w:rsidRPr="0092008B">
        <w:rPr>
          <w:rFonts w:ascii="Arial" w:eastAsia="Calibri" w:hAnsi="Arial" w:cs="Arial"/>
          <w:lang w:eastAsia="cs-CZ"/>
        </w:rPr>
        <w:t xml:space="preserve"> </w:t>
      </w:r>
      <w:r w:rsidRPr="0092008B">
        <w:rPr>
          <w:rFonts w:ascii="Arial" w:eastAsia="Calibri" w:hAnsi="Arial" w:cs="Arial"/>
          <w:b/>
          <w:lang w:eastAsia="cs-CZ"/>
        </w:rPr>
        <w:t xml:space="preserve">předložit </w:t>
      </w:r>
      <w:r w:rsidRPr="0092008B">
        <w:rPr>
          <w:rFonts w:ascii="Arial" w:eastAsia="Calibri" w:hAnsi="Arial" w:cs="Arial"/>
          <w:b/>
        </w:rPr>
        <w:t>podepsaný návrh smlouvy zpracovaný zadavatelem v souladu s obchodními podmínkami uvedenými v tomto článku zadávací dokumentace a v souladu s nabídkou vybraného dodavatele. V případě, že vybraný dodavatel nepředloží na základě výzvy zadavatele podepsaný návrh smlouvy, bude ze zadávacího řízení vyloučen dle § 122 odst. 7 ZZVZ.</w:t>
      </w:r>
    </w:p>
    <w:p w14:paraId="684E771E" w14:textId="77777777" w:rsidR="0092008B" w:rsidRPr="0092008B" w:rsidRDefault="0092008B" w:rsidP="0092008B">
      <w:pPr>
        <w:spacing w:after="240" w:line="240" w:lineRule="auto"/>
        <w:jc w:val="both"/>
        <w:rPr>
          <w:rFonts w:ascii="Arial" w:eastAsia="Calibri" w:hAnsi="Arial" w:cs="Arial"/>
          <w:b/>
          <w:lang w:eastAsia="cs-CZ"/>
        </w:rPr>
      </w:pPr>
      <w:r w:rsidRPr="0092008B">
        <w:rPr>
          <w:rFonts w:ascii="Arial" w:eastAsia="Calibri" w:hAnsi="Arial" w:cs="Arial"/>
          <w:lang w:eastAsia="cs-CZ"/>
        </w:rPr>
        <w:t xml:space="preserve">Pokud budou součástí smlouvy Všeobecné (obchodní) podmínky, Provozní podmínky, Reklamační řády či jiné obdobné doklady, které bývají pravidelnou přílohou smluv uzavíraných dodavatelem a do jejichž textu dodavatel nemůže nebo nechce zasahovat (dále jen „adhezní přílohy“), nesmí žádné z ustanovení těchto adhezních příloh odporovat níže uvedeným požadavkům zadavatele na obsah smlouvy, ani tyto požadavky vylučovat. </w:t>
      </w:r>
      <w:r w:rsidRPr="0092008B">
        <w:rPr>
          <w:rFonts w:ascii="Arial" w:eastAsia="Calibri" w:hAnsi="Arial" w:cs="Arial"/>
          <w:b/>
          <w:lang w:eastAsia="cs-CZ"/>
        </w:rPr>
        <w:t xml:space="preserve">V případě, že některé ustanovení těchto adhezních příloh odporuje požadavkům zadavatele na obsah smlouvy nebo je vylučuje, bude ve smlouvě výslovně účinnost takovýchto ustanovení adhezních příloh vyloučena. </w:t>
      </w:r>
    </w:p>
    <w:p w14:paraId="253C9995" w14:textId="77777777" w:rsidR="0092008B" w:rsidRPr="0092008B" w:rsidRDefault="0092008B" w:rsidP="0092008B">
      <w:pPr>
        <w:spacing w:after="240" w:line="240" w:lineRule="auto"/>
        <w:jc w:val="both"/>
        <w:rPr>
          <w:rFonts w:ascii="Arial" w:eastAsia="Calibri" w:hAnsi="Arial" w:cs="Arial"/>
          <w:b/>
          <w:lang w:eastAsia="cs-CZ"/>
        </w:rPr>
      </w:pPr>
      <w:r w:rsidRPr="0092008B">
        <w:rPr>
          <w:rFonts w:ascii="Arial" w:eastAsia="Calibri" w:hAnsi="Arial" w:cs="Arial"/>
          <w:b/>
          <w:lang w:eastAsia="cs-CZ"/>
        </w:rPr>
        <w:t>Vymezení obchodních a jiných smluvních podmínek:</w:t>
      </w:r>
    </w:p>
    <w:p w14:paraId="20DCC13F"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 xml:space="preserve"> Identifikace smluvních stran</w:t>
      </w:r>
    </w:p>
    <w:p w14:paraId="4FEE58BD"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 xml:space="preserve"> Předmět smlouvy</w:t>
      </w:r>
    </w:p>
    <w:p w14:paraId="05CF361C" w14:textId="77777777" w:rsidR="0092008B" w:rsidRPr="0092008B" w:rsidRDefault="0092008B" w:rsidP="0092008B">
      <w:pPr>
        <w:numPr>
          <w:ilvl w:val="0"/>
          <w:numId w:val="2"/>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Závazek dodavatele dodávat plyn zadavateli (dále také jen „zákazník“) ve sjednaném rozsahu.</w:t>
      </w:r>
    </w:p>
    <w:p w14:paraId="795B95C7" w14:textId="77777777" w:rsidR="0092008B" w:rsidRPr="0092008B" w:rsidRDefault="0092008B" w:rsidP="0092008B">
      <w:pPr>
        <w:numPr>
          <w:ilvl w:val="0"/>
          <w:numId w:val="2"/>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Závazek dodavatele zajistit distribuci sjednaného množství plynu do odběrných míst a systémové služby distribuční soustavy v kvalitě garantované v Pravidlech provozování distribuční soustavy příslušného provozovatele distribuční soustavy.</w:t>
      </w:r>
    </w:p>
    <w:p w14:paraId="498DE9AE" w14:textId="77777777" w:rsidR="0092008B" w:rsidRPr="0092008B" w:rsidRDefault="0092008B" w:rsidP="0092008B">
      <w:pPr>
        <w:numPr>
          <w:ilvl w:val="0"/>
          <w:numId w:val="2"/>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Závazek zákazníka platit dodavateli za dodávku plynu, distribuci plynu, systémové služby a ostatní související služby (dále jen „sdružené služby dodávky plynu“) dle smlouvy.</w:t>
      </w:r>
    </w:p>
    <w:p w14:paraId="644A91C0" w14:textId="77777777" w:rsidR="0092008B" w:rsidRPr="0092008B" w:rsidRDefault="0092008B" w:rsidP="0092008B">
      <w:pPr>
        <w:numPr>
          <w:ilvl w:val="0"/>
          <w:numId w:val="2"/>
        </w:numPr>
        <w:suppressAutoHyphens/>
        <w:spacing w:after="240" w:line="240" w:lineRule="auto"/>
        <w:ind w:left="357" w:hanging="357"/>
        <w:jc w:val="both"/>
        <w:rPr>
          <w:rFonts w:ascii="Arial" w:eastAsia="Calibri" w:hAnsi="Arial" w:cs="Arial"/>
          <w:lang w:eastAsia="cs-CZ"/>
        </w:rPr>
      </w:pPr>
      <w:r w:rsidRPr="0092008B">
        <w:rPr>
          <w:rFonts w:ascii="Arial" w:eastAsia="Calibri" w:hAnsi="Arial" w:cs="Arial"/>
          <w:lang w:eastAsia="cs-CZ"/>
        </w:rPr>
        <w:t>Závazek dodavatele poskytovat zákazníkovi zákaznickou podporu po telefonu a e-mailu. Tento závazek je zahrnut v ceně plnění této smlouvy.</w:t>
      </w:r>
    </w:p>
    <w:p w14:paraId="1BC64EEA"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 xml:space="preserve"> Místo dodávky</w:t>
      </w:r>
    </w:p>
    <w:p w14:paraId="21CE2A85" w14:textId="77777777" w:rsidR="0092008B" w:rsidRPr="0092008B" w:rsidRDefault="0092008B" w:rsidP="0092008B">
      <w:pPr>
        <w:numPr>
          <w:ilvl w:val="0"/>
          <w:numId w:val="8"/>
        </w:numPr>
        <w:spacing w:after="240" w:line="240" w:lineRule="auto"/>
        <w:ind w:left="357" w:hanging="357"/>
        <w:jc w:val="both"/>
        <w:rPr>
          <w:rFonts w:ascii="Arial" w:eastAsia="Calibri" w:hAnsi="Arial" w:cs="Arial"/>
          <w:color w:val="000000"/>
          <w:kern w:val="28"/>
          <w:lang w:eastAsia="cs-CZ"/>
        </w:rPr>
      </w:pPr>
      <w:r w:rsidRPr="0092008B">
        <w:rPr>
          <w:rFonts w:ascii="Arial" w:eastAsia="Calibri" w:hAnsi="Arial" w:cs="Arial"/>
          <w:kern w:val="28"/>
          <w:lang w:eastAsia="cs-CZ"/>
        </w:rPr>
        <w:t xml:space="preserve">Údaje o jednotlivých odběrných místech budou uvedeny v příloze </w:t>
      </w:r>
      <w:r w:rsidRPr="0092008B">
        <w:rPr>
          <w:rFonts w:ascii="Arial" w:eastAsia="Calibri" w:hAnsi="Arial" w:cs="Arial"/>
          <w:color w:val="000000"/>
          <w:kern w:val="28"/>
          <w:lang w:eastAsia="cs-CZ"/>
        </w:rPr>
        <w:t>č. 1 smlouvy nazvané „Seznam odběrných míst pro dodávku plynu.“</w:t>
      </w:r>
    </w:p>
    <w:p w14:paraId="7D41FD0A"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 xml:space="preserve"> Produkt, cena a vyhodnocení dodávky plynu</w:t>
      </w:r>
    </w:p>
    <w:p w14:paraId="679568D5" w14:textId="77777777" w:rsidR="0092008B" w:rsidRPr="0092008B" w:rsidRDefault="0092008B" w:rsidP="0092008B">
      <w:pPr>
        <w:numPr>
          <w:ilvl w:val="0"/>
          <w:numId w:val="3"/>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cs-CZ"/>
        </w:rPr>
        <w:t>Odběr plynu dodaného zákazníkovi bude dodavatel vyhodnocovat pro jeho vyúčtování takto: Z naměřených údajů se stanoví celkové množství odebraného plynu a vynásobí se sjednanou cenou za 1 MWh.</w:t>
      </w:r>
    </w:p>
    <w:p w14:paraId="69E3AB7D" w14:textId="77777777" w:rsidR="0092008B" w:rsidRPr="0092008B" w:rsidRDefault="0092008B" w:rsidP="0092008B">
      <w:pPr>
        <w:numPr>
          <w:ilvl w:val="0"/>
          <w:numId w:val="3"/>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 xml:space="preserve">Cena plnění veřejné zakázky bude rozepsána v příloze č. 2 nazvané „Rozpis ceny plnění“, která bude nedílnou součástí smlouvy. </w:t>
      </w:r>
    </w:p>
    <w:p w14:paraId="5E36BAC4" w14:textId="77777777" w:rsidR="0092008B" w:rsidRPr="0092008B" w:rsidRDefault="0092008B" w:rsidP="0092008B">
      <w:pPr>
        <w:numPr>
          <w:ilvl w:val="0"/>
          <w:numId w:val="3"/>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Platbu za distribuci a přepravu plynu, systémové služby a ostatní související služby bude dodavatel účtovat zákazníkovi podle cen platného cenového rozhodnutí ERÚ.</w:t>
      </w:r>
    </w:p>
    <w:p w14:paraId="74A7E1AB" w14:textId="77777777" w:rsidR="0092008B" w:rsidRPr="0092008B" w:rsidRDefault="0092008B" w:rsidP="0092008B">
      <w:pPr>
        <w:numPr>
          <w:ilvl w:val="0"/>
          <w:numId w:val="3"/>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lastRenderedPageBreak/>
        <w:t>Dodavatel nebude účtovat</w:t>
      </w:r>
      <w:r w:rsidRPr="0092008B">
        <w:rPr>
          <w:rFonts w:ascii="Arial" w:eastAsia="Times New Roman" w:hAnsi="Arial" w:cs="Arial"/>
          <w:kern w:val="1"/>
          <w:lang w:eastAsia="ar-SA"/>
        </w:rPr>
        <w:t xml:space="preserve"> </w:t>
      </w:r>
      <w:r w:rsidRPr="0092008B">
        <w:rPr>
          <w:rFonts w:ascii="Arial" w:eastAsia="Times New Roman" w:hAnsi="Arial" w:cs="Arial"/>
          <w:color w:val="000000"/>
          <w:kern w:val="1"/>
          <w:lang w:eastAsia="ar-SA"/>
        </w:rPr>
        <w:t>zákazníkovi žádné další poplatky, zejména poplatek za odběrné místo atd. Dodavatel si nebude nárokovat jakékoliv sankce za překročení či neodebrání předpokládaného množství plynu.</w:t>
      </w:r>
    </w:p>
    <w:p w14:paraId="67894F9C" w14:textId="77777777" w:rsidR="0092008B" w:rsidRPr="0092008B" w:rsidRDefault="0092008B" w:rsidP="0092008B">
      <w:pPr>
        <w:numPr>
          <w:ilvl w:val="0"/>
          <w:numId w:val="3"/>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Dodavatel poskytne po skončení období plnění veřejné zakázky zákazníkovi na základě jeho požadavku soubor dat v elektronické podobě, obsahující údaje o realizované dodávce plynu.</w:t>
      </w:r>
    </w:p>
    <w:p w14:paraId="19C0027E" w14:textId="77777777" w:rsidR="0092008B" w:rsidRPr="0092008B" w:rsidRDefault="0092008B" w:rsidP="0092008B">
      <w:pPr>
        <w:numPr>
          <w:ilvl w:val="0"/>
          <w:numId w:val="3"/>
        </w:numPr>
        <w:suppressAutoHyphens/>
        <w:spacing w:after="240" w:line="240" w:lineRule="auto"/>
        <w:ind w:left="357" w:hanging="357"/>
        <w:jc w:val="both"/>
        <w:rPr>
          <w:rFonts w:ascii="Arial" w:eastAsia="Calibri" w:hAnsi="Arial" w:cs="Arial"/>
          <w:color w:val="000000"/>
          <w:kern w:val="1"/>
        </w:rPr>
      </w:pPr>
      <w:r w:rsidRPr="0092008B">
        <w:rPr>
          <w:rFonts w:ascii="Arial" w:eastAsia="Calibri" w:hAnsi="Arial" w:cs="Arial"/>
          <w:color w:val="000000"/>
          <w:kern w:val="1"/>
        </w:rPr>
        <w:t>Smluvní strany výslovně sjednají, že po dobu termínu dodávek přebírá dodavatel jako subjekt zúčtování za zákazníka odpovědnost za odchylku.</w:t>
      </w:r>
    </w:p>
    <w:p w14:paraId="762C680C"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 xml:space="preserve"> Platební podmínky odběrných míst </w:t>
      </w:r>
    </w:p>
    <w:p w14:paraId="20A0911E" w14:textId="3F433AC8" w:rsidR="0092008B" w:rsidRPr="0092008B" w:rsidRDefault="0092008B" w:rsidP="0092008B">
      <w:pPr>
        <w:numPr>
          <w:ilvl w:val="0"/>
          <w:numId w:val="9"/>
        </w:numPr>
        <w:suppressAutoHyphens/>
        <w:spacing w:after="120" w:line="240" w:lineRule="auto"/>
        <w:ind w:left="357" w:hanging="357"/>
        <w:jc w:val="both"/>
        <w:rPr>
          <w:rFonts w:ascii="Arial" w:eastAsia="Times New Roman" w:hAnsi="Arial" w:cs="Arial"/>
          <w:kern w:val="1"/>
          <w:lang w:eastAsia="ar-SA"/>
        </w:rPr>
      </w:pPr>
      <w:r w:rsidRPr="0092008B">
        <w:rPr>
          <w:rFonts w:ascii="Arial" w:eastAsia="Times New Roman" w:hAnsi="Arial" w:cs="Arial"/>
          <w:color w:val="000000"/>
          <w:kern w:val="1"/>
          <w:lang w:eastAsia="ar-SA"/>
        </w:rPr>
        <w:t xml:space="preserve">Fakturu </w:t>
      </w:r>
      <w:r w:rsidRPr="0092008B">
        <w:rPr>
          <w:rFonts w:ascii="Arial" w:eastAsia="Times New Roman" w:hAnsi="Arial" w:cs="Arial"/>
          <w:kern w:val="1"/>
          <w:lang w:eastAsia="ar-SA"/>
        </w:rPr>
        <w:t xml:space="preserve">(daňový doklad) </w:t>
      </w:r>
      <w:r w:rsidRPr="0092008B">
        <w:rPr>
          <w:rFonts w:ascii="Arial" w:eastAsia="Times New Roman" w:hAnsi="Arial" w:cs="Arial"/>
          <w:color w:val="000000"/>
          <w:kern w:val="1"/>
          <w:lang w:eastAsia="ar-SA"/>
        </w:rPr>
        <w:t xml:space="preserve">včetně všech jejích příloh lze vystavit v elektronické formě dle § 26 odst. 4 zákona č. 235/2004 Sb., o dani z přidané hodnoty, ve znění pozdějších předpisů, a to ve formátu ISDOC nebo ISDOCX verze 5.2 nebo vyšší. Elektronickou fakturu je možné zaslat </w:t>
      </w:r>
      <w:r w:rsidRPr="0092008B">
        <w:rPr>
          <w:rFonts w:ascii="Arial" w:eastAsia="Times New Roman" w:hAnsi="Arial" w:cs="Arial"/>
          <w:kern w:val="1"/>
          <w:lang w:eastAsia="ar-SA"/>
        </w:rPr>
        <w:t xml:space="preserve">datovou schránkou (identifikace: </w:t>
      </w:r>
      <w:r w:rsidRPr="0092008B">
        <w:rPr>
          <w:rFonts w:ascii="Arial" w:eastAsia="Times New Roman" w:hAnsi="Arial" w:cs="Arial"/>
          <w:kern w:val="1"/>
          <w:shd w:val="clear" w:color="auto" w:fill="FFFFFF"/>
          <w:lang w:eastAsia="ar-SA"/>
        </w:rPr>
        <w:t>trfaa33)</w:t>
      </w:r>
      <w:r w:rsidRPr="0092008B">
        <w:rPr>
          <w:rFonts w:ascii="Arial" w:eastAsia="Times New Roman" w:hAnsi="Arial" w:cs="Arial"/>
          <w:b/>
          <w:kern w:val="1"/>
          <w:shd w:val="clear" w:color="auto" w:fill="FFFFFF"/>
          <w:lang w:eastAsia="ar-SA"/>
        </w:rPr>
        <w:t xml:space="preserve"> </w:t>
      </w:r>
      <w:r w:rsidRPr="0092008B">
        <w:rPr>
          <w:rFonts w:ascii="Arial" w:eastAsia="Times New Roman" w:hAnsi="Arial" w:cs="Arial"/>
          <w:kern w:val="1"/>
          <w:lang w:eastAsia="ar-SA"/>
        </w:rPr>
        <w:t xml:space="preserve">nebo elektronickou poštou na adresu </w:t>
      </w:r>
      <w:hyperlink r:id="rId5" w:history="1">
        <w:r w:rsidRPr="0092008B">
          <w:rPr>
            <w:rFonts w:ascii="Arial" w:eastAsia="Times New Roman" w:hAnsi="Arial" w:cs="Arial"/>
            <w:kern w:val="1"/>
            <w:u w:val="single"/>
            <w:lang w:eastAsia="ar-SA"/>
          </w:rPr>
          <w:t>posta@vlada.cz.</w:t>
        </w:r>
      </w:hyperlink>
      <w:r w:rsidRPr="0092008B">
        <w:rPr>
          <w:rFonts w:ascii="Arial" w:eastAsia="Times New Roman" w:hAnsi="Arial" w:cs="Arial"/>
          <w:kern w:val="1"/>
          <w:lang w:eastAsia="ar-SA"/>
        </w:rPr>
        <w:t xml:space="preserve"> </w:t>
      </w:r>
    </w:p>
    <w:p w14:paraId="4AEBF002" w14:textId="77777777" w:rsidR="0092008B" w:rsidRPr="0092008B" w:rsidRDefault="0092008B" w:rsidP="0092008B">
      <w:pPr>
        <w:numPr>
          <w:ilvl w:val="0"/>
          <w:numId w:val="9"/>
        </w:numPr>
        <w:suppressAutoHyphens/>
        <w:spacing w:after="120" w:line="240" w:lineRule="auto"/>
        <w:ind w:left="357" w:hanging="357"/>
        <w:jc w:val="both"/>
        <w:rPr>
          <w:rFonts w:ascii="Arial" w:eastAsia="Times New Roman" w:hAnsi="Arial" w:cs="Arial"/>
          <w:kern w:val="1"/>
          <w:lang w:eastAsia="ar-SA"/>
        </w:rPr>
      </w:pPr>
      <w:r w:rsidRPr="0092008B">
        <w:rPr>
          <w:rFonts w:ascii="Arial" w:eastAsia="Times New Roman" w:hAnsi="Arial" w:cs="Arial"/>
          <w:color w:val="000000"/>
          <w:kern w:val="1"/>
          <w:lang w:eastAsia="ar-SA"/>
        </w:rPr>
        <w:t>Zúčtovacím obdobím je kalendářní měsíc, dodavatel je povinen provést celkové vyúčtování služeb a dodávek plynu (s vyúčtováním přeplatku či nedoplatku) ve formě tzv. zúčtovací faktury, a to nejpozději do 15 kalendářních dnů po ukončení zúčtovacího období, popř. po ukončení smluvního vztahu, přičemž lhůta splatnosti pro úhradu přeplatku zákazníkovi (objednateli) je 21 dní ode dne doručení zúčtovací faktury. Dodavatel je oprávněn do návrhu smlouvy stanovit způsob a účtování zálohových plateb.</w:t>
      </w:r>
    </w:p>
    <w:p w14:paraId="58635AD6" w14:textId="77777777" w:rsidR="0092008B" w:rsidRPr="0092008B" w:rsidRDefault="0092008B" w:rsidP="0092008B">
      <w:pPr>
        <w:numPr>
          <w:ilvl w:val="0"/>
          <w:numId w:val="9"/>
        </w:numPr>
        <w:suppressAutoHyphens/>
        <w:spacing w:after="240" w:line="240" w:lineRule="auto"/>
        <w:ind w:left="357" w:hanging="357"/>
        <w:jc w:val="both"/>
        <w:rPr>
          <w:rFonts w:ascii="Arial" w:eastAsia="Times New Roman" w:hAnsi="Arial" w:cs="Arial"/>
          <w:kern w:val="1"/>
          <w:lang w:eastAsia="ar-SA"/>
        </w:rPr>
      </w:pPr>
      <w:r w:rsidRPr="0092008B">
        <w:rPr>
          <w:rFonts w:ascii="Arial" w:eastAsia="Times New Roman" w:hAnsi="Arial" w:cs="Arial"/>
          <w:color w:val="000000"/>
          <w:kern w:val="1"/>
          <w:lang w:eastAsia="ar-SA"/>
        </w:rPr>
        <w:t xml:space="preserve">Dodavatel je povinen vystavovat zákazníkovi zúčtovací fakturu i předpis zálohových plateb (v případě, že dodavatel bude zálohové platby požadovat) za všechna odběrná místa samostatně s přiloženým vyúčtováním jednotlivých odběrných míst. Vyúčtování jednotlivých odběrných míst bude provedeno na základě samoodečtů zaslaných zákazníkem. </w:t>
      </w:r>
    </w:p>
    <w:p w14:paraId="76A0A2F9"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Zvláštní ustanovení</w:t>
      </w:r>
    </w:p>
    <w:p w14:paraId="0B99257E" w14:textId="77777777" w:rsidR="0092008B" w:rsidRPr="0092008B" w:rsidRDefault="0092008B" w:rsidP="0092008B">
      <w:pPr>
        <w:numPr>
          <w:ilvl w:val="0"/>
          <w:numId w:val="4"/>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Zákazník může od smlouvy odstoupit, pokud dodavatel neplní své závazky, které pro něj vyplývají ze smlouvy.</w:t>
      </w:r>
    </w:p>
    <w:p w14:paraId="0D401025" w14:textId="77777777" w:rsidR="0092008B" w:rsidRPr="0092008B" w:rsidRDefault="0092008B" w:rsidP="0092008B">
      <w:pPr>
        <w:numPr>
          <w:ilvl w:val="0"/>
          <w:numId w:val="4"/>
        </w:numPr>
        <w:spacing w:after="120" w:line="240" w:lineRule="auto"/>
        <w:ind w:left="357" w:hanging="357"/>
        <w:jc w:val="both"/>
        <w:rPr>
          <w:rFonts w:ascii="Arial" w:eastAsia="Calibri" w:hAnsi="Arial" w:cs="Arial"/>
        </w:rPr>
      </w:pPr>
      <w:r w:rsidRPr="0092008B">
        <w:rPr>
          <w:rFonts w:ascii="Arial" w:eastAsia="Calibri" w:hAnsi="Arial" w:cs="Arial"/>
        </w:rPr>
        <w:t>Možnost výpovědi smluvních stran bez udání důvodu s výpovědní lhůtou v délce 6 měsíců, počínající prvním dnem měsíce následujícího po měsíci, ve kterém byla výpověď doručena druhé smluvní straně.</w:t>
      </w:r>
    </w:p>
    <w:p w14:paraId="6DB805D9" w14:textId="77777777" w:rsidR="0092008B" w:rsidRPr="0092008B" w:rsidRDefault="0092008B" w:rsidP="0092008B">
      <w:pPr>
        <w:numPr>
          <w:ilvl w:val="0"/>
          <w:numId w:val="4"/>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Prohlášení dodavatele, že na požádání zákazníka prokáže, že má s operátorem trhu s plynem uzavřeny všechny nezbytné smlouvy, které jej opravňují k činnostem nezbytným k plnění předmětné veřejné zakázky (smlouvy).</w:t>
      </w:r>
    </w:p>
    <w:p w14:paraId="47C54EB1" w14:textId="77777777" w:rsidR="0092008B" w:rsidRPr="0092008B" w:rsidRDefault="0092008B" w:rsidP="0092008B">
      <w:pPr>
        <w:numPr>
          <w:ilvl w:val="0"/>
          <w:numId w:val="4"/>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b/>
          <w:bCs/>
          <w:lang w:eastAsia="cs-CZ"/>
        </w:rPr>
        <w:t>Povinnost mlčenlivosti:</w:t>
      </w:r>
      <w:r w:rsidRPr="0092008B">
        <w:rPr>
          <w:rFonts w:ascii="Arial" w:eastAsia="Calibri" w:hAnsi="Arial" w:cs="Arial"/>
          <w:lang w:eastAsia="cs-CZ"/>
        </w:rPr>
        <w:t xml:space="preserve"> Dodavatel se zavazuje zachovávat ve vztahu ke třetím osobám mlčenlivost o informacích, které při plnění smlouvy získá od zákazníka nebo o zákazníkovi či jeho zaměstnancích a spolupracovnících a nesmí je zpřístupnit bez písemného souhlasu zákazníka žádné třetí osobě ani je použít v rozporu s účelem této smlouvy, ledaže se jedná:</w:t>
      </w:r>
    </w:p>
    <w:p w14:paraId="7768B5B0" w14:textId="77777777" w:rsidR="0092008B" w:rsidRPr="0092008B" w:rsidRDefault="0092008B" w:rsidP="0092008B">
      <w:pPr>
        <w:numPr>
          <w:ilvl w:val="0"/>
          <w:numId w:val="7"/>
        </w:numPr>
        <w:spacing w:after="120" w:line="240" w:lineRule="auto"/>
        <w:ind w:left="992" w:hanging="425"/>
        <w:jc w:val="both"/>
        <w:rPr>
          <w:rFonts w:ascii="Arial" w:eastAsia="Calibri" w:hAnsi="Arial" w:cs="Arial"/>
          <w:lang w:eastAsia="cs-CZ"/>
        </w:rPr>
      </w:pPr>
      <w:r w:rsidRPr="0092008B">
        <w:rPr>
          <w:rFonts w:ascii="Arial" w:eastAsia="Calibri" w:hAnsi="Arial" w:cs="Arial"/>
          <w:lang w:eastAsia="cs-CZ"/>
        </w:rPr>
        <w:t>o informace, které jsou veřejně přístupné, nebo</w:t>
      </w:r>
    </w:p>
    <w:p w14:paraId="070F1588" w14:textId="77777777" w:rsidR="0092008B" w:rsidRPr="0092008B" w:rsidRDefault="0092008B" w:rsidP="0092008B">
      <w:pPr>
        <w:numPr>
          <w:ilvl w:val="0"/>
          <w:numId w:val="7"/>
        </w:numPr>
        <w:spacing w:after="120" w:line="240" w:lineRule="auto"/>
        <w:ind w:left="992" w:hanging="425"/>
        <w:jc w:val="both"/>
        <w:rPr>
          <w:rFonts w:ascii="Arial" w:eastAsia="Calibri" w:hAnsi="Arial" w:cs="Arial"/>
          <w:lang w:eastAsia="cs-CZ"/>
        </w:rPr>
      </w:pPr>
      <w:r w:rsidRPr="0092008B">
        <w:rPr>
          <w:rFonts w:ascii="Arial" w:eastAsia="Calibri" w:hAnsi="Arial" w:cs="Arial"/>
          <w:lang w:eastAsia="cs-CZ"/>
        </w:rPr>
        <w:t xml:space="preserve">o případ, kdy je zpřístupnění informace vyžadováno zákonem nebo závazným rozhodnutím oprávněného orgánu. </w:t>
      </w:r>
    </w:p>
    <w:p w14:paraId="68B9A7CB" w14:textId="77777777" w:rsidR="0092008B" w:rsidRPr="0092008B" w:rsidRDefault="0092008B" w:rsidP="0092008B">
      <w:pPr>
        <w:spacing w:after="120" w:line="240" w:lineRule="auto"/>
        <w:ind w:left="357"/>
        <w:jc w:val="both"/>
        <w:rPr>
          <w:rFonts w:ascii="Arial" w:eastAsia="Calibri" w:hAnsi="Arial" w:cs="Arial"/>
          <w:lang w:eastAsia="cs-CZ"/>
        </w:rPr>
      </w:pPr>
      <w:r w:rsidRPr="0092008B">
        <w:rPr>
          <w:rFonts w:ascii="Arial" w:eastAsia="Calibri" w:hAnsi="Arial" w:cs="Arial"/>
          <w:lang w:eastAsia="cs-CZ"/>
        </w:rPr>
        <w:t>Dodavatel je povinen zavázat povinností mlčenlivosti všechny osoby, které se budou podílet na poskytování služeb zákazníkovi dle smlouvy. Za porušení povinnosti mlčenlivosti osobami, které se budou podílet na plnění dle smlouvy, odpovídá dodavatel, jako by povinnost porušil sám.</w:t>
      </w:r>
    </w:p>
    <w:p w14:paraId="35670916" w14:textId="77777777" w:rsidR="0092008B" w:rsidRPr="0092008B" w:rsidRDefault="0092008B" w:rsidP="0092008B">
      <w:pPr>
        <w:spacing w:after="120" w:line="240" w:lineRule="auto"/>
        <w:ind w:left="357"/>
        <w:jc w:val="both"/>
        <w:rPr>
          <w:rFonts w:ascii="Arial" w:eastAsia="Calibri" w:hAnsi="Arial" w:cs="Arial"/>
          <w:lang w:eastAsia="cs-CZ"/>
        </w:rPr>
      </w:pPr>
      <w:r w:rsidRPr="0092008B">
        <w:rPr>
          <w:rFonts w:ascii="Arial" w:eastAsia="Calibri" w:hAnsi="Arial" w:cs="Arial"/>
          <w:lang w:eastAsia="cs-CZ"/>
        </w:rPr>
        <w:lastRenderedPageBreak/>
        <w:t>Povinnost  mlčenlivosti  trvá  i  po  skončení účinnosti  smlouvy.</w:t>
      </w:r>
    </w:p>
    <w:p w14:paraId="4CD471E0" w14:textId="77777777" w:rsidR="0092008B" w:rsidRPr="0092008B" w:rsidRDefault="0092008B" w:rsidP="0092008B">
      <w:pPr>
        <w:numPr>
          <w:ilvl w:val="0"/>
          <w:numId w:val="4"/>
        </w:numPr>
        <w:suppressAutoHyphens/>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Dodavatel na požádání zákazníka prokáže, že má platnou a účinnou pojistnou smlouvu na škodu vzniklou při plnění předmětu dané veřejné zakázky (smlouvy).</w:t>
      </w:r>
    </w:p>
    <w:p w14:paraId="0D2172E6" w14:textId="77777777" w:rsidR="0092008B" w:rsidRPr="0092008B" w:rsidRDefault="0092008B" w:rsidP="0092008B">
      <w:pPr>
        <w:numPr>
          <w:ilvl w:val="0"/>
          <w:numId w:val="4"/>
        </w:numPr>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Pro jednotlivá odběrná místa nebude skutečné množství plynu odebrané ve smluvním období nijak limitováno. Překročení či neodebrání celkového předpokládaného odběru nebude ze strany dodavatele penalizováno. Zákazník je oprávněn v průběhu smluvního období rušit stávající a zřizovat nová odběrná místa podle svých potřeb. Dodavatel nebude za zrušené odběry požadovat žádnou kompenzaci. Pro nová odběrná místa zahájí dodavatel neprodleně dodávku plynu a sdružených služeb dodávky plynu za podmínek sjednaných v rámci smlouvy, o čemž uzavřou smluvní strany písemnou dohodu formou dodatku ke smlouvě, pokud se smluvní strany nedohodnou jinak, a za podmínek stanovených smlouvou.</w:t>
      </w:r>
    </w:p>
    <w:p w14:paraId="574190D5" w14:textId="77777777" w:rsidR="0092008B" w:rsidRPr="0092008B" w:rsidRDefault="0092008B" w:rsidP="0092008B">
      <w:pPr>
        <w:numPr>
          <w:ilvl w:val="0"/>
          <w:numId w:val="4"/>
        </w:numPr>
        <w:spacing w:after="0" w:line="240" w:lineRule="auto"/>
        <w:ind w:left="357" w:hanging="357"/>
        <w:jc w:val="both"/>
        <w:rPr>
          <w:rFonts w:ascii="Arial" w:eastAsia="Calibri" w:hAnsi="Arial" w:cs="Arial"/>
          <w:lang w:eastAsia="cs-CZ"/>
        </w:rPr>
      </w:pPr>
      <w:r w:rsidRPr="0092008B">
        <w:rPr>
          <w:rFonts w:ascii="Arial" w:eastAsia="Calibri" w:hAnsi="Arial" w:cs="Arial"/>
          <w:lang w:eastAsia="cs-CZ"/>
        </w:rPr>
        <w:t>Pro účely technické, smluvní a fakturační dodavatel ustanoví kontaktní osobu:</w:t>
      </w:r>
    </w:p>
    <w:p w14:paraId="69D9DFB3" w14:textId="17F0E3F9" w:rsidR="003B2C1E" w:rsidRPr="003B2C1E" w:rsidRDefault="003B2C1E" w:rsidP="003B2C1E">
      <w:pPr>
        <w:spacing w:line="276" w:lineRule="auto"/>
        <w:ind w:left="344"/>
        <w:rPr>
          <w:rFonts w:ascii="Arial" w:hAnsi="Arial" w:cs="Arial"/>
        </w:rPr>
      </w:pPr>
      <w:r w:rsidRPr="003B2C1E">
        <w:rPr>
          <w:rFonts w:ascii="Arial" w:hAnsi="Arial" w:cs="Arial"/>
        </w:rPr>
        <w:t xml:space="preserve">Kontaktní osoba: Jiří Kunc, manažer pro veřejné zakázky a el. aukce, tel.: 267175402, 724315918, e-mail: </w:t>
      </w:r>
      <w:hyperlink r:id="rId6" w:history="1">
        <w:r w:rsidRPr="003B2C1E">
          <w:rPr>
            <w:rFonts w:ascii="Arial" w:hAnsi="Arial" w:cs="Arial"/>
          </w:rPr>
          <w:t>jiri.kunc@ppas.cz</w:t>
        </w:r>
      </w:hyperlink>
      <w:r w:rsidRPr="003B2C1E">
        <w:rPr>
          <w:rFonts w:ascii="Arial" w:hAnsi="Arial" w:cs="Arial"/>
        </w:rPr>
        <w:t>, místo stálého pracoviště: U Plynárny 500,   Praha 4 - Michle</w:t>
      </w:r>
    </w:p>
    <w:p w14:paraId="7CEA4E46"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Podmínky sdružených služeb dodávky plynu</w:t>
      </w:r>
    </w:p>
    <w:p w14:paraId="43C9D967" w14:textId="7C970327" w:rsidR="0092008B" w:rsidRPr="0092008B" w:rsidRDefault="0092008B" w:rsidP="0092008B">
      <w:pPr>
        <w:numPr>
          <w:ilvl w:val="0"/>
          <w:numId w:val="5"/>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Sdružené služby dodávky plynu se uskuteční v souladu s Obchodními podmínkami dodávky</w:t>
      </w:r>
      <w:r>
        <w:rPr>
          <w:rFonts w:ascii="Arial" w:eastAsia="Times New Roman" w:hAnsi="Arial" w:cs="Arial"/>
          <w:color w:val="000000"/>
          <w:kern w:val="1"/>
          <w:lang w:eastAsia="ar-SA"/>
        </w:rPr>
        <w:t xml:space="preserve">, za dodavatele, které nejsou pro kategorii VO_SO specifikovány. S </w:t>
      </w:r>
      <w:r w:rsidRPr="0092008B">
        <w:rPr>
          <w:rFonts w:ascii="Arial" w:eastAsia="Times New Roman" w:hAnsi="Arial" w:cs="Arial"/>
          <w:color w:val="000000"/>
          <w:kern w:val="1"/>
          <w:lang w:eastAsia="ar-SA"/>
        </w:rPr>
        <w:t>jejich obsahem smluvní strany souhlasí a zavazují se je dodržovat.</w:t>
      </w:r>
    </w:p>
    <w:p w14:paraId="31A61591" w14:textId="77777777" w:rsidR="0092008B" w:rsidRPr="0092008B" w:rsidRDefault="0092008B" w:rsidP="0092008B">
      <w:pPr>
        <w:numPr>
          <w:ilvl w:val="0"/>
          <w:numId w:val="5"/>
        </w:numPr>
        <w:suppressAutoHyphens/>
        <w:spacing w:after="24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Dodavatel se zaváže, že obchodní podmínky ani změny obchodních podmínek nebudou v případě zákazníka aplikovány, pokud by měly být v rozporu se zadávacími podmínkami veřejné zakázky „</w:t>
      </w:r>
      <w:r w:rsidRPr="0092008B">
        <w:rPr>
          <w:rFonts w:ascii="Arial" w:eastAsia="Times New Roman" w:hAnsi="Arial" w:cs="Arial"/>
          <w:bCs/>
          <w:color w:val="000000"/>
          <w:kern w:val="1"/>
          <w:lang w:eastAsia="ar-SA"/>
        </w:rPr>
        <w:t>Nákup plynu pro objekty Úřadu vlády na roky 2021 a 2022</w:t>
      </w:r>
      <w:r w:rsidRPr="0092008B">
        <w:rPr>
          <w:rFonts w:ascii="Arial" w:eastAsia="Times New Roman" w:hAnsi="Arial" w:cs="Arial"/>
          <w:color w:val="000000"/>
          <w:kern w:val="1"/>
          <w:lang w:eastAsia="ar-SA"/>
        </w:rPr>
        <w:t xml:space="preserve">“. </w:t>
      </w:r>
    </w:p>
    <w:p w14:paraId="4B962AA6" w14:textId="77777777" w:rsidR="0092008B" w:rsidRPr="0092008B" w:rsidRDefault="0092008B" w:rsidP="0092008B">
      <w:pPr>
        <w:numPr>
          <w:ilvl w:val="1"/>
          <w:numId w:val="10"/>
        </w:numPr>
        <w:spacing w:after="240" w:line="240" w:lineRule="auto"/>
        <w:ind w:left="284" w:hanging="284"/>
        <w:jc w:val="both"/>
        <w:rPr>
          <w:rFonts w:ascii="Arial" w:eastAsia="Calibri" w:hAnsi="Arial" w:cs="Arial"/>
          <w:b/>
        </w:rPr>
      </w:pPr>
      <w:r w:rsidRPr="0092008B">
        <w:rPr>
          <w:rFonts w:ascii="Arial" w:eastAsia="Calibri" w:hAnsi="Arial" w:cs="Arial"/>
          <w:b/>
        </w:rPr>
        <w:t>Doba platnosti smlouvy a závěrečná ustanovení</w:t>
      </w:r>
    </w:p>
    <w:p w14:paraId="5AEF0D60"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28"/>
          <w:lang w:eastAsia="cs-CZ"/>
        </w:rPr>
      </w:pPr>
      <w:r w:rsidRPr="0092008B">
        <w:rPr>
          <w:rFonts w:ascii="Arial" w:eastAsia="Times New Roman" w:hAnsi="Arial" w:cs="Arial"/>
          <w:color w:val="000000"/>
          <w:kern w:val="1"/>
          <w:lang w:eastAsia="ar-SA"/>
        </w:rPr>
        <w:t xml:space="preserve">Dodávka se uskuteční od </w:t>
      </w:r>
      <w:r w:rsidRPr="0092008B">
        <w:rPr>
          <w:rFonts w:ascii="Arial" w:eastAsia="Times New Roman" w:hAnsi="Arial" w:cs="Arial"/>
          <w:bCs/>
          <w:color w:val="000000"/>
          <w:kern w:val="1"/>
          <w:lang w:eastAsia="ar-SA"/>
        </w:rPr>
        <w:t>01.01.2021</w:t>
      </w:r>
      <w:r w:rsidRPr="0092008B">
        <w:rPr>
          <w:rFonts w:ascii="Arial" w:eastAsia="Times New Roman" w:hAnsi="Arial" w:cs="Arial"/>
          <w:color w:val="000000"/>
          <w:kern w:val="28"/>
          <w:lang w:eastAsia="cs-CZ"/>
        </w:rPr>
        <w:t>. Smlouva bude uzavřena na dobu určitou do 31.12.2022 bez možnosti automatické prolongace.</w:t>
      </w:r>
    </w:p>
    <w:p w14:paraId="1FE10B5F"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Smlouva je v případě listinné podoby vyhotovena ve 4 stejnopisech s platností originálu, z nichž 3 stejnopisy obdrží zákazník a 1 stejnopis obdrží dodavatel.</w:t>
      </w:r>
    </w:p>
    <w:p w14:paraId="177DF9C8" w14:textId="77777777" w:rsidR="0092008B" w:rsidRPr="0092008B" w:rsidRDefault="0092008B" w:rsidP="0092008B">
      <w:pPr>
        <w:numPr>
          <w:ilvl w:val="0"/>
          <w:numId w:val="6"/>
        </w:numPr>
        <w:suppressAutoHyphens/>
        <w:autoSpaceDE w:val="0"/>
        <w:autoSpaceDN w:val="0"/>
        <w:adjustRightInd w:val="0"/>
        <w:spacing w:after="120" w:line="240" w:lineRule="auto"/>
        <w:ind w:left="357" w:hanging="357"/>
        <w:jc w:val="both"/>
        <w:rPr>
          <w:rFonts w:ascii="Arial" w:eastAsia="Calibri" w:hAnsi="Arial" w:cs="Arial"/>
          <w:lang w:eastAsia="cs-CZ"/>
        </w:rPr>
      </w:pPr>
      <w:r w:rsidRPr="0092008B">
        <w:rPr>
          <w:rFonts w:ascii="Arial" w:eastAsia="Calibri" w:hAnsi="Arial" w:cs="Arial"/>
          <w:lang w:eastAsia="cs-CZ"/>
        </w:rPr>
        <w:t>V případě jakýchkoli nesrovnalostí či kontradikcí mezi zněním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56E41EF5"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Práva a povinnosti smluvních stran vyplývající ze smlouvy přecházejí na případné právní nástupce smluvních stran.</w:t>
      </w:r>
    </w:p>
    <w:p w14:paraId="08848AC7"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Zákazník podpisem smlouvy uděluje souhlas, aby dodavatel uzavřel s příslušným provozovatelem distribuční soustavy smlouvu o distribuci plynu do jednotlivých odběrných míst.</w:t>
      </w:r>
    </w:p>
    <w:p w14:paraId="5FCCABBD" w14:textId="0000F1A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 xml:space="preserve">Smluvní strany souhlasí s uveřejněním smlouvy dle § 219 zákona </w:t>
      </w:r>
      <w:r w:rsidRPr="0092008B">
        <w:rPr>
          <w:rFonts w:ascii="Arial" w:eastAsia="Times New Roman" w:hAnsi="Arial" w:cs="Arial"/>
          <w:color w:val="000000"/>
          <w:kern w:val="1"/>
          <w:lang w:eastAsia="ar-SA"/>
        </w:rPr>
        <w:br/>
        <w:t xml:space="preserve">č. 134/2016 Sb., o veřejných zakázkách, ve znění pozdějších předpisů. </w:t>
      </w:r>
    </w:p>
    <w:p w14:paraId="49E55B62"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Smluvní strany souhlasí s uveřejněním smlouvy v registru smluv dle zákona č. 340/2015 Sb., o registru smluv, ve znění pozdějších předpisů.</w:t>
      </w:r>
    </w:p>
    <w:p w14:paraId="7EEFA3C0" w14:textId="77777777" w:rsidR="0092008B" w:rsidRPr="0092008B" w:rsidRDefault="0092008B" w:rsidP="0092008B">
      <w:pPr>
        <w:numPr>
          <w:ilvl w:val="0"/>
          <w:numId w:val="6"/>
        </w:numPr>
        <w:suppressAutoHyphens/>
        <w:spacing w:after="120" w:line="240" w:lineRule="auto"/>
        <w:ind w:left="357" w:hanging="357"/>
        <w:jc w:val="both"/>
        <w:rPr>
          <w:rFonts w:ascii="Arial" w:eastAsia="Times New Roman" w:hAnsi="Arial" w:cs="Arial"/>
          <w:color w:val="000000"/>
          <w:kern w:val="1"/>
          <w:lang w:eastAsia="ar-SA"/>
        </w:rPr>
      </w:pPr>
      <w:r w:rsidRPr="0092008B">
        <w:rPr>
          <w:rFonts w:ascii="Arial" w:eastAsia="Times New Roman" w:hAnsi="Arial" w:cs="Arial"/>
          <w:color w:val="000000"/>
          <w:kern w:val="1"/>
          <w:lang w:eastAsia="ar-SA"/>
        </w:rPr>
        <w:t>Případné spory budou rozhodovány u obecných soudů České republiky.</w:t>
      </w:r>
    </w:p>
    <w:p w14:paraId="08651728" w14:textId="77777777" w:rsidR="0092008B" w:rsidRDefault="0092008B" w:rsidP="0092008B">
      <w:pPr>
        <w:pStyle w:val="textsmlouvy"/>
        <w:numPr>
          <w:ilvl w:val="0"/>
          <w:numId w:val="6"/>
        </w:numPr>
        <w:spacing w:after="240"/>
        <w:ind w:left="357" w:hanging="357"/>
        <w:jc w:val="both"/>
      </w:pPr>
      <w:r w:rsidRPr="00E174E3">
        <w:rPr>
          <w:rFonts w:ascii="Arial" w:hAnsi="Arial" w:cs="Arial"/>
          <w:sz w:val="22"/>
          <w:szCs w:val="22"/>
        </w:rPr>
        <w:t xml:space="preserve">Uvedené přílohy jsou nedílnou součástí této smlouvy (Příloha A – Seznam odběrných míst, Příloha B – Cena v položkovém členění, Příloha C – </w:t>
      </w:r>
      <w:r w:rsidRPr="00E174E3">
        <w:rPr>
          <w:rFonts w:ascii="Gill Sans MT" w:hAnsi="Gill Sans MT"/>
          <w:szCs w:val="24"/>
        </w:rPr>
        <w:t>Obchodní a jiné smluvní podmínky dle ZD</w:t>
      </w:r>
      <w:r w:rsidRPr="00E174E3">
        <w:rPr>
          <w:rFonts w:ascii="Arial" w:hAnsi="Arial" w:cs="Arial"/>
          <w:sz w:val="22"/>
          <w:szCs w:val="22"/>
        </w:rPr>
        <w:t xml:space="preserve"> </w:t>
      </w:r>
    </w:p>
    <w:sectPr w:rsidR="0092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ill Sans MT">
    <w:altName w:val="Arial"/>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8" w15:restartNumberingAfterBreak="0">
    <w:nsid w:val="531A63AC"/>
    <w:multiLevelType w:val="hybridMultilevel"/>
    <w:tmpl w:val="212C1FDA"/>
    <w:lvl w:ilvl="0" w:tplc="04050013">
      <w:start w:val="1"/>
      <w:numFmt w:val="upperRoman"/>
      <w:lvlText w:val="%1."/>
      <w:lvlJc w:val="right"/>
      <w:pPr>
        <w:ind w:left="720" w:hanging="360"/>
      </w:pPr>
    </w:lvl>
    <w:lvl w:ilvl="1" w:tplc="A7724F5E">
      <w:start w:val="1"/>
      <w:numFmt w:val="upperRoman"/>
      <w:suff w:val="space"/>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9"/>
  </w:num>
  <w:num w:numId="7">
    <w:abstractNumId w:val="7"/>
  </w:num>
  <w:num w:numId="8">
    <w:abstractNumId w:val="6"/>
  </w:num>
  <w:num w:numId="9">
    <w:abstractNumId w:val="1"/>
  </w:num>
  <w:num w:numId="10">
    <w:abstractNumId w:val="8"/>
  </w:num>
  <w:num w:numId="11">
    <w:abstractNumId w:val="10"/>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4428" w:hanging="720"/>
        </w:pPr>
        <w:rPr>
          <w:rFonts w:hint="default"/>
        </w:rPr>
      </w:lvl>
    </w:lvlOverride>
    <w:lvlOverride w:ilvl="3">
      <w:lvl w:ilvl="3">
        <w:start w:val="1"/>
        <w:numFmt w:val="decimal"/>
        <w:lvlText w:val="%1.%2.%3.%4"/>
        <w:lvlJc w:val="left"/>
        <w:pPr>
          <w:ind w:left="6282" w:hanging="720"/>
        </w:pPr>
        <w:rPr>
          <w:rFonts w:hint="default"/>
        </w:rPr>
      </w:lvl>
    </w:lvlOverride>
    <w:lvlOverride w:ilvl="4">
      <w:lvl w:ilvl="4">
        <w:start w:val="1"/>
        <w:numFmt w:val="decimal"/>
        <w:lvlText w:val="%1.%2.%3.%4.%5"/>
        <w:lvlJc w:val="left"/>
        <w:pPr>
          <w:ind w:left="8496" w:hanging="1080"/>
        </w:pPr>
        <w:rPr>
          <w:rFonts w:hint="default"/>
        </w:rPr>
      </w:lvl>
    </w:lvlOverride>
    <w:lvlOverride w:ilvl="5">
      <w:lvl w:ilvl="5">
        <w:start w:val="1"/>
        <w:numFmt w:val="decimal"/>
        <w:lvlText w:val="%1.%2.%3.%4.%5.%6"/>
        <w:lvlJc w:val="left"/>
        <w:pPr>
          <w:ind w:left="10350" w:hanging="1080"/>
        </w:pPr>
        <w:rPr>
          <w:rFonts w:hint="default"/>
        </w:rPr>
      </w:lvl>
    </w:lvlOverride>
    <w:lvlOverride w:ilvl="6">
      <w:lvl w:ilvl="6">
        <w:start w:val="1"/>
        <w:numFmt w:val="decimal"/>
        <w:lvlText w:val="%1.%2.%3.%4.%5.%6.%7"/>
        <w:lvlJc w:val="left"/>
        <w:pPr>
          <w:ind w:left="12564" w:hanging="1440"/>
        </w:pPr>
        <w:rPr>
          <w:rFonts w:hint="default"/>
        </w:rPr>
      </w:lvl>
    </w:lvlOverride>
    <w:lvlOverride w:ilvl="7">
      <w:lvl w:ilvl="7">
        <w:start w:val="1"/>
        <w:numFmt w:val="decimal"/>
        <w:lvlText w:val="%1.%2.%3.%4.%5.%6.%7.%8"/>
        <w:lvlJc w:val="left"/>
        <w:pPr>
          <w:ind w:left="14418" w:hanging="1440"/>
        </w:pPr>
        <w:rPr>
          <w:rFonts w:hint="default"/>
        </w:rPr>
      </w:lvl>
    </w:lvlOverride>
    <w:lvlOverride w:ilvl="8">
      <w:lvl w:ilvl="8">
        <w:start w:val="1"/>
        <w:numFmt w:val="decimal"/>
        <w:lvlText w:val="%1.%2.%3.%4.%5.%6.%7.%8.%9"/>
        <w:lvlJc w:val="left"/>
        <w:pPr>
          <w:ind w:left="16632"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B"/>
    <w:rsid w:val="001C6ED3"/>
    <w:rsid w:val="003B2C1E"/>
    <w:rsid w:val="0092008B"/>
    <w:rsid w:val="00B73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FAC6"/>
  <w15:docId w15:val="{0C084FFB-0158-45CF-B2A4-3938B058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smlouvy">
    <w:name w:val="text smlouvy"/>
    <w:basedOn w:val="Normln"/>
    <w:rsid w:val="0092008B"/>
    <w:pPr>
      <w:suppressAutoHyphens/>
      <w:spacing w:after="0" w:line="240" w:lineRule="auto"/>
      <w:ind w:firstLine="540"/>
    </w:pPr>
    <w:rPr>
      <w:rFonts w:ascii="Times" w:eastAsia="Times New Roman" w:hAnsi="Times" w:cs="Times New Roman"/>
      <w:color w:val="000000"/>
      <w:kern w:val="1"/>
      <w:sz w:val="24"/>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ri.kunc@ppas.cz" TargetMode="External"/><Relationship Id="rId5" Type="http://schemas.openxmlformats.org/officeDocument/2006/relationships/hyperlink" Target="mailto:posta@vlad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7692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 Jiří</dc:creator>
  <cp:lastModifiedBy>Langmajerová Ivana</cp:lastModifiedBy>
  <cp:revision>2</cp:revision>
  <dcterms:created xsi:type="dcterms:W3CDTF">2020-12-14T15:07:00Z</dcterms:created>
  <dcterms:modified xsi:type="dcterms:W3CDTF">2020-12-14T15:07:00Z</dcterms:modified>
</cp:coreProperties>
</file>