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6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3S300003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26.9.2013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64E9B6B6" w:rsidR="00ED2E79" w:rsidRPr="00381282" w:rsidRDefault="00D7409F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Miloslav Všetečka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45CF9850" w:rsidR="00D40EB6" w:rsidRPr="000A731B" w:rsidRDefault="00D7409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Příbram II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56724826" w:rsidR="00D40EB6" w:rsidRPr="000A731B" w:rsidRDefault="00D7409F" w:rsidP="00D7409F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Václavské nám. 1</w:t>
            </w:r>
            <w:r w:rsidR="00D40EB6">
              <w:rPr>
                <w:rFonts w:ascii="Arial" w:hAnsi="Arial" w:cs="Arial"/>
                <w:sz w:val="18"/>
                <w:szCs w:val="18"/>
              </w:rPr>
              <w:t>, 264 01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5D4DFA3" w14:textId="137EA85E" w:rsidR="00D40EB6" w:rsidRPr="00D7409F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7409F">
              <w:rPr>
                <w:rFonts w:ascii="Arial" w:hAnsi="Arial" w:cs="Arial"/>
                <w:i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Miloslav Všetečka, provozovatel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45090866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30803000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207E2F32" w:rsidR="00C266F5" w:rsidRPr="0022665B" w:rsidRDefault="009C44D4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:………</w:t>
      </w:r>
      <w:r w:rsidR="00303428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…………….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2D294750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6DBBDB36" w14:textId="552DB8DD" w:rsidR="00CE1270" w:rsidRDefault="00CE1270" w:rsidP="00CE1270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 w:rsidR="00303428">
        <w:rPr>
          <w:rFonts w:ascii="Arial" w:hAnsi="Arial" w:cs="Arial"/>
          <w:sz w:val="18"/>
          <w:szCs w:val="18"/>
        </w:rPr>
        <w:t>Příbrami</w:t>
      </w:r>
      <w:r w:rsidRPr="004A6583">
        <w:rPr>
          <w:rFonts w:ascii="Arial" w:hAnsi="Arial" w:cs="Arial"/>
          <w:sz w:val="18"/>
          <w:szCs w:val="18"/>
        </w:rPr>
        <w:t xml:space="preserve"> dne</w:t>
      </w:r>
      <w:r w:rsidR="00303428">
        <w:rPr>
          <w:rFonts w:ascii="Arial" w:hAnsi="Arial" w:cs="Arial"/>
          <w:sz w:val="18"/>
          <w:szCs w:val="18"/>
        </w:rPr>
        <w:t xml:space="preserve"> 26.1.2017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</w:t>
      </w:r>
      <w:r w:rsidR="00303428">
        <w:rPr>
          <w:rFonts w:ascii="Arial" w:hAnsi="Arial" w:cs="Arial"/>
          <w:sz w:val="18"/>
          <w:szCs w:val="18"/>
        </w:rPr>
        <w:t>Praze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 w:rsidR="00303428">
        <w:rPr>
          <w:rFonts w:ascii="Arial" w:hAnsi="Arial" w:cs="Arial"/>
          <w:sz w:val="18"/>
          <w:szCs w:val="18"/>
        </w:rPr>
        <w:t>3.2.2017</w:t>
      </w:r>
      <w:bookmarkStart w:id="0" w:name="_GoBack"/>
      <w:bookmarkEnd w:id="0"/>
    </w:p>
    <w:p w14:paraId="5AD59D87" w14:textId="77777777" w:rsidR="00CE1270" w:rsidRPr="00CE1270" w:rsidRDefault="00CE1270" w:rsidP="00CE1270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E1270" w:rsidRPr="004A6583" w14:paraId="057E0C65" w14:textId="77777777" w:rsidTr="00927DA4">
        <w:trPr>
          <w:trHeight w:hRule="exact" w:val="851"/>
        </w:trPr>
        <w:tc>
          <w:tcPr>
            <w:tcW w:w="2500" w:type="pct"/>
            <w:vAlign w:val="center"/>
          </w:tcPr>
          <w:p w14:paraId="50092812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0A532730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33131E73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7F83FC96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CE1270" w:rsidRPr="004A6583" w14:paraId="5013BE51" w14:textId="77777777" w:rsidTr="00927DA4">
        <w:trPr>
          <w:trHeight w:hRule="exact" w:val="1134"/>
        </w:trPr>
        <w:tc>
          <w:tcPr>
            <w:tcW w:w="2500" w:type="pct"/>
          </w:tcPr>
          <w:p w14:paraId="4FAE2295" w14:textId="4FED7726" w:rsidR="00CE1270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 w:rsidR="00E071B1"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66718831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Miloslav Všetečka</w:t>
            </w:r>
          </w:p>
          <w:p w14:paraId="2C82A661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2B35A444" w14:textId="77777777" w:rsidR="00CE1270" w:rsidRPr="004A6583" w:rsidRDefault="00CE1270" w:rsidP="00CE12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43EB940D" w14:textId="77777777" w:rsidR="00CE1270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3F9B9E46" w14:textId="77777777" w:rsidR="00CE1270" w:rsidRPr="00286B06" w:rsidRDefault="00CE1270" w:rsidP="00CE1270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25D4DFF8" w14:textId="7B9712DE" w:rsidR="00C442AF" w:rsidRPr="00ED0CCD" w:rsidRDefault="00C442AF" w:rsidP="00CE1270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C442AF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26DD87" w14:textId="77777777" w:rsidR="008C2C18" w:rsidRDefault="008C2C18" w:rsidP="00C442AF">
      <w:r>
        <w:separator/>
      </w:r>
    </w:p>
  </w:endnote>
  <w:endnote w:type="continuationSeparator" w:id="0">
    <w:p w14:paraId="15C6398D" w14:textId="77777777" w:rsidR="008C2C18" w:rsidRDefault="008C2C18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0342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0342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0342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0342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18600" w14:textId="77777777" w:rsidR="008C2C18" w:rsidRDefault="008C2C18" w:rsidP="00C442AF">
      <w:r>
        <w:separator/>
      </w:r>
    </w:p>
  </w:footnote>
  <w:footnote w:type="continuationSeparator" w:id="0">
    <w:p w14:paraId="5B2968C0" w14:textId="77777777" w:rsidR="008C2C18" w:rsidRDefault="008C2C18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0F63"/>
    <w:rsid w:val="000A6414"/>
    <w:rsid w:val="000C51CB"/>
    <w:rsid w:val="000E2E9A"/>
    <w:rsid w:val="000E30CE"/>
    <w:rsid w:val="000F2C9E"/>
    <w:rsid w:val="001451FA"/>
    <w:rsid w:val="00181F60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53A4"/>
    <w:rsid w:val="002C6700"/>
    <w:rsid w:val="002D271D"/>
    <w:rsid w:val="002D73B0"/>
    <w:rsid w:val="002E1084"/>
    <w:rsid w:val="002E2BC9"/>
    <w:rsid w:val="00303428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64957"/>
    <w:rsid w:val="00474F0B"/>
    <w:rsid w:val="0049048A"/>
    <w:rsid w:val="004A2C2E"/>
    <w:rsid w:val="004B0B9C"/>
    <w:rsid w:val="004C5470"/>
    <w:rsid w:val="004C5B67"/>
    <w:rsid w:val="004F41D8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309E7"/>
    <w:rsid w:val="00732BFB"/>
    <w:rsid w:val="007618BF"/>
    <w:rsid w:val="007B15DA"/>
    <w:rsid w:val="007E4EBB"/>
    <w:rsid w:val="00815C00"/>
    <w:rsid w:val="00835451"/>
    <w:rsid w:val="00847206"/>
    <w:rsid w:val="008A162D"/>
    <w:rsid w:val="008A655C"/>
    <w:rsid w:val="008B509F"/>
    <w:rsid w:val="008C2C18"/>
    <w:rsid w:val="008E3264"/>
    <w:rsid w:val="008E4E0C"/>
    <w:rsid w:val="00923B16"/>
    <w:rsid w:val="00962ACA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1B10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243B"/>
    <w:rsid w:val="00C101AF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1270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7409F"/>
    <w:rsid w:val="00D92109"/>
    <w:rsid w:val="00DB7940"/>
    <w:rsid w:val="00DE3019"/>
    <w:rsid w:val="00E071B1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0F6F"/>
    <w:rsid w:val="00FA43E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68139A-942B-44CA-A30A-E84613AA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3</cp:revision>
  <cp:lastPrinted>2017-01-19T08:21:00Z</cp:lastPrinted>
  <dcterms:created xsi:type="dcterms:W3CDTF">2017-01-19T08:21:00Z</dcterms:created>
  <dcterms:modified xsi:type="dcterms:W3CDTF">2017-02-21T09:01:00Z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